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4.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8.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9.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0.xml" ContentType="application/vnd.openxmlformats-officedocument.themeOverride+xml"/>
  <Override PartName="/word/charts/chart22.xml" ContentType="application/vnd.openxmlformats-officedocument.drawingml.chart+xml"/>
  <Override PartName="/word/theme/themeOverride11.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2.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BE610D" w14:textId="48736C10" w:rsidR="003E0CFC" w:rsidRDefault="003E0CFC" w:rsidP="009C520E">
      <w:pPr>
        <w:jc w:val="center"/>
        <w:rPr>
          <w:rFonts w:ascii="Franklin Gothic Medium" w:hAnsi="Franklin Gothic Medium"/>
          <w:color w:val="385623" w:themeColor="accent6" w:themeShade="80"/>
          <w:sz w:val="40"/>
          <w:szCs w:val="40"/>
        </w:rPr>
      </w:pPr>
      <w:bookmarkStart w:id="0" w:name="_GoBack"/>
      <w:bookmarkEnd w:id="0"/>
    </w:p>
    <w:p w14:paraId="32049EED" w14:textId="09A8024E" w:rsidR="003E0CFC" w:rsidRDefault="003E0CFC" w:rsidP="009C520E">
      <w:pPr>
        <w:jc w:val="center"/>
        <w:rPr>
          <w:rFonts w:ascii="Franklin Gothic Medium" w:hAnsi="Franklin Gothic Medium"/>
          <w:color w:val="385623" w:themeColor="accent6" w:themeShade="80"/>
          <w:sz w:val="40"/>
          <w:szCs w:val="40"/>
        </w:rPr>
      </w:pPr>
    </w:p>
    <w:p w14:paraId="4E32F833" w14:textId="433475D7" w:rsidR="003E0CFC" w:rsidRDefault="003E0CFC" w:rsidP="009C520E">
      <w:pPr>
        <w:jc w:val="center"/>
        <w:rPr>
          <w:rFonts w:ascii="Franklin Gothic Medium" w:hAnsi="Franklin Gothic Medium"/>
          <w:color w:val="385623" w:themeColor="accent6" w:themeShade="80"/>
          <w:sz w:val="40"/>
          <w:szCs w:val="40"/>
        </w:rPr>
      </w:pPr>
    </w:p>
    <w:p w14:paraId="75AEE226" w14:textId="33F1EB1E" w:rsidR="009C520E" w:rsidRPr="00965E0E" w:rsidRDefault="009C520E" w:rsidP="009C520E">
      <w:pPr>
        <w:jc w:val="center"/>
        <w:rPr>
          <w:rFonts w:ascii="Franklin Gothic Medium" w:hAnsi="Franklin Gothic Medium"/>
          <w:color w:val="385623" w:themeColor="accent6" w:themeShade="80"/>
          <w:sz w:val="40"/>
          <w:szCs w:val="40"/>
        </w:rPr>
      </w:pPr>
      <w:r w:rsidRPr="00965E0E">
        <w:rPr>
          <w:rFonts w:ascii="Franklin Gothic Medium" w:hAnsi="Franklin Gothic Medium"/>
          <w:color w:val="385623" w:themeColor="accent6" w:themeShade="80"/>
          <w:sz w:val="40"/>
          <w:szCs w:val="40"/>
        </w:rPr>
        <w:t>Florida Statewide Quality Assurance Program</w:t>
      </w:r>
    </w:p>
    <w:p w14:paraId="5126B9A6" w14:textId="1C3A3911" w:rsidR="009C520E" w:rsidRDefault="009C520E" w:rsidP="009C520E">
      <w:pPr>
        <w:jc w:val="center"/>
      </w:pPr>
    </w:p>
    <w:p w14:paraId="55ACFA3B" w14:textId="118A26A4" w:rsidR="009C520E" w:rsidRPr="00663C10" w:rsidRDefault="009C520E" w:rsidP="009C520E">
      <w:pPr>
        <w:jc w:val="center"/>
      </w:pPr>
    </w:p>
    <w:p w14:paraId="68089CF9" w14:textId="5E0A6888" w:rsidR="009C520E" w:rsidRPr="00965E0E" w:rsidRDefault="0095765F" w:rsidP="009C520E">
      <w:pPr>
        <w:jc w:val="center"/>
        <w:rPr>
          <w:rFonts w:ascii="Franklin Gothic Medium" w:hAnsi="Franklin Gothic Medium"/>
          <w:sz w:val="32"/>
          <w:szCs w:val="32"/>
        </w:rPr>
      </w:pPr>
      <w:r>
        <w:rPr>
          <w:rFonts w:ascii="Franklin Gothic Medium" w:hAnsi="Franklin Gothic Medium"/>
          <w:sz w:val="32"/>
          <w:szCs w:val="32"/>
        </w:rPr>
        <w:t>FY</w:t>
      </w:r>
      <w:r w:rsidR="00523106">
        <w:rPr>
          <w:rFonts w:ascii="Franklin Gothic Medium" w:hAnsi="Franklin Gothic Medium"/>
          <w:sz w:val="32"/>
          <w:szCs w:val="32"/>
        </w:rPr>
        <w:t xml:space="preserve"> </w:t>
      </w:r>
      <w:r w:rsidR="009B4783">
        <w:rPr>
          <w:rFonts w:ascii="Franklin Gothic Medium" w:hAnsi="Franklin Gothic Medium"/>
          <w:sz w:val="32"/>
          <w:szCs w:val="32"/>
        </w:rPr>
        <w:t>202</w:t>
      </w:r>
      <w:r w:rsidR="00834A3F">
        <w:rPr>
          <w:rFonts w:ascii="Franklin Gothic Medium" w:hAnsi="Franklin Gothic Medium"/>
          <w:sz w:val="32"/>
          <w:szCs w:val="32"/>
        </w:rPr>
        <w:t>1</w:t>
      </w:r>
      <w:r w:rsidR="00B90257">
        <w:rPr>
          <w:rFonts w:ascii="Franklin Gothic Medium" w:hAnsi="Franklin Gothic Medium"/>
          <w:sz w:val="32"/>
          <w:szCs w:val="32"/>
        </w:rPr>
        <w:t xml:space="preserve">: Year </w:t>
      </w:r>
      <w:r w:rsidR="0061097C">
        <w:rPr>
          <w:rFonts w:ascii="Franklin Gothic Medium" w:hAnsi="Franklin Gothic Medium"/>
          <w:sz w:val="32"/>
          <w:szCs w:val="32"/>
        </w:rPr>
        <w:t xml:space="preserve">4 Quarter </w:t>
      </w:r>
      <w:r w:rsidR="00EE67C2">
        <w:rPr>
          <w:rFonts w:ascii="Franklin Gothic Medium" w:hAnsi="Franklin Gothic Medium"/>
          <w:sz w:val="32"/>
          <w:szCs w:val="32"/>
        </w:rPr>
        <w:t>2</w:t>
      </w:r>
      <w:r w:rsidR="0061097C">
        <w:rPr>
          <w:rFonts w:ascii="Franklin Gothic Medium" w:hAnsi="Franklin Gothic Medium"/>
          <w:sz w:val="32"/>
          <w:szCs w:val="32"/>
        </w:rPr>
        <w:t xml:space="preserve"> Report</w:t>
      </w:r>
    </w:p>
    <w:p w14:paraId="2D7AD9BF" w14:textId="02A4001B" w:rsidR="009C520E" w:rsidRDefault="009C520E" w:rsidP="009C520E">
      <w:pPr>
        <w:jc w:val="center"/>
        <w:rPr>
          <w:rFonts w:ascii="Franklin Gothic Medium" w:hAnsi="Franklin Gothic Medium"/>
          <w:sz w:val="32"/>
          <w:szCs w:val="32"/>
        </w:rPr>
      </w:pPr>
    </w:p>
    <w:p w14:paraId="5D002D55" w14:textId="5D8355E4" w:rsidR="009C520E" w:rsidRPr="00965E0E" w:rsidRDefault="009C520E" w:rsidP="009C520E">
      <w:pPr>
        <w:jc w:val="center"/>
        <w:rPr>
          <w:rFonts w:ascii="Franklin Gothic Medium" w:hAnsi="Franklin Gothic Medium"/>
          <w:sz w:val="32"/>
          <w:szCs w:val="32"/>
        </w:rPr>
      </w:pPr>
    </w:p>
    <w:p w14:paraId="6AD7F184" w14:textId="698198D7" w:rsidR="009C520E" w:rsidRPr="00965E0E" w:rsidRDefault="00EE67C2" w:rsidP="009C520E">
      <w:pPr>
        <w:jc w:val="center"/>
        <w:rPr>
          <w:rFonts w:ascii="Franklin Gothic Medium" w:hAnsi="Franklin Gothic Medium"/>
          <w:sz w:val="32"/>
          <w:szCs w:val="32"/>
        </w:rPr>
      </w:pPr>
      <w:r>
        <w:rPr>
          <w:rFonts w:ascii="Franklin Gothic Medium" w:hAnsi="Franklin Gothic Medium"/>
          <w:sz w:val="32"/>
          <w:szCs w:val="32"/>
        </w:rPr>
        <w:t>October - December</w:t>
      </w:r>
      <w:r w:rsidR="0061097C">
        <w:rPr>
          <w:rFonts w:ascii="Franklin Gothic Medium" w:hAnsi="Franklin Gothic Medium"/>
          <w:sz w:val="32"/>
          <w:szCs w:val="32"/>
        </w:rPr>
        <w:t xml:space="preserve"> </w:t>
      </w:r>
      <w:r w:rsidR="008D121D">
        <w:rPr>
          <w:rFonts w:ascii="Franklin Gothic Medium" w:hAnsi="Franklin Gothic Medium"/>
          <w:sz w:val="32"/>
          <w:szCs w:val="32"/>
        </w:rPr>
        <w:t>20</w:t>
      </w:r>
      <w:r w:rsidR="0061097C">
        <w:rPr>
          <w:rFonts w:ascii="Franklin Gothic Medium" w:hAnsi="Franklin Gothic Medium"/>
          <w:sz w:val="32"/>
          <w:szCs w:val="32"/>
        </w:rPr>
        <w:t>20</w:t>
      </w:r>
      <w:r w:rsidR="008D121D">
        <w:rPr>
          <w:rFonts w:ascii="Franklin Gothic Medium" w:hAnsi="Franklin Gothic Medium"/>
          <w:sz w:val="32"/>
          <w:szCs w:val="32"/>
        </w:rPr>
        <w:t xml:space="preserve"> </w:t>
      </w:r>
    </w:p>
    <w:p w14:paraId="79593469" w14:textId="16968E32" w:rsidR="009C520E" w:rsidRDefault="009C520E" w:rsidP="009C520E"/>
    <w:p w14:paraId="2381EEE1" w14:textId="4EC7CB24" w:rsidR="009C520E" w:rsidRDefault="009C520E" w:rsidP="009C520E">
      <w:pPr>
        <w:spacing w:line="240" w:lineRule="auto"/>
      </w:pPr>
    </w:p>
    <w:p w14:paraId="7678CA5C" w14:textId="5B569248" w:rsidR="003E0CFC" w:rsidRDefault="003E0CFC" w:rsidP="009C520E">
      <w:pPr>
        <w:spacing w:line="240" w:lineRule="auto"/>
      </w:pPr>
    </w:p>
    <w:p w14:paraId="2336AF32" w14:textId="28651F26" w:rsidR="003E0CFC" w:rsidRDefault="003E0CFC" w:rsidP="009C520E">
      <w:pPr>
        <w:spacing w:line="240" w:lineRule="auto"/>
      </w:pPr>
    </w:p>
    <w:p w14:paraId="4A68C44E" w14:textId="1D5CB97B" w:rsidR="003E0CFC" w:rsidRDefault="003E0CFC" w:rsidP="009C520E">
      <w:pPr>
        <w:spacing w:line="240" w:lineRule="auto"/>
      </w:pPr>
    </w:p>
    <w:p w14:paraId="09445657" w14:textId="77777777" w:rsidR="003E0CFC" w:rsidRDefault="003E0CFC" w:rsidP="009C520E">
      <w:pPr>
        <w:spacing w:line="240" w:lineRule="auto"/>
      </w:pPr>
    </w:p>
    <w:p w14:paraId="2E09EE5E" w14:textId="77777777" w:rsidR="00786E60" w:rsidRDefault="00786E60" w:rsidP="009C520E">
      <w:pPr>
        <w:spacing w:line="240" w:lineRule="auto"/>
      </w:pPr>
    </w:p>
    <w:p w14:paraId="4AB5F080" w14:textId="73FE85B2"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Submitted to:</w:t>
      </w:r>
    </w:p>
    <w:p w14:paraId="40D83245" w14:textId="7DD90139"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Agency for Health Care Administration and</w:t>
      </w:r>
    </w:p>
    <w:p w14:paraId="410D5DC1" w14:textId="3EFF6430"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Agency for Persons with Disabilities</w:t>
      </w:r>
    </w:p>
    <w:p w14:paraId="38D2830A" w14:textId="3426C600" w:rsidR="009C520E" w:rsidRDefault="009C520E" w:rsidP="009C520E">
      <w:pPr>
        <w:jc w:val="center"/>
        <w:rPr>
          <w:rFonts w:ascii="Franklin Gothic Medium" w:hAnsi="Franklin Gothic Medium"/>
          <w:sz w:val="28"/>
          <w:szCs w:val="28"/>
        </w:rPr>
      </w:pPr>
    </w:p>
    <w:p w14:paraId="4E86AF1D" w14:textId="2763C83C" w:rsidR="00A12498" w:rsidRDefault="00A12498" w:rsidP="009C520E">
      <w:pPr>
        <w:jc w:val="center"/>
        <w:rPr>
          <w:rFonts w:ascii="Franklin Gothic Medium" w:hAnsi="Franklin Gothic Medium"/>
          <w:sz w:val="28"/>
          <w:szCs w:val="28"/>
        </w:rPr>
      </w:pPr>
    </w:p>
    <w:p w14:paraId="41B1ABAD" w14:textId="12887C64" w:rsidR="00A12498" w:rsidRDefault="00A12498" w:rsidP="00786E60">
      <w:pPr>
        <w:spacing w:line="240" w:lineRule="auto"/>
        <w:jc w:val="center"/>
        <w:rPr>
          <w:rFonts w:ascii="Franklin Gothic Medium" w:hAnsi="Franklin Gothic Medium"/>
          <w:sz w:val="28"/>
          <w:szCs w:val="28"/>
        </w:rPr>
      </w:pPr>
    </w:p>
    <w:p w14:paraId="7EF9ECDF" w14:textId="77777777" w:rsidR="009C520E" w:rsidRPr="0054786F" w:rsidRDefault="009C520E" w:rsidP="009C520E">
      <w:pPr>
        <w:jc w:val="center"/>
        <w:rPr>
          <w:rFonts w:ascii="Franklin Gothic Medium" w:hAnsi="Franklin Gothic Medium"/>
          <w:sz w:val="28"/>
          <w:szCs w:val="28"/>
        </w:rPr>
      </w:pPr>
    </w:p>
    <w:p w14:paraId="550129D6" w14:textId="77777777" w:rsidR="009C520E" w:rsidRPr="0054786F" w:rsidRDefault="009C520E" w:rsidP="009C520E">
      <w:pPr>
        <w:spacing w:line="240" w:lineRule="auto"/>
        <w:rPr>
          <w:rFonts w:ascii="Franklin Gothic Medium" w:hAnsi="Franklin Gothic Medium"/>
          <w:sz w:val="28"/>
          <w:szCs w:val="28"/>
        </w:rPr>
      </w:pPr>
      <w:r>
        <w:rPr>
          <w:noProof/>
        </w:rPr>
        <w:drawing>
          <wp:inline distT="0" distB="0" distL="0" distR="0" wp14:anchorId="5A9D26E7" wp14:editId="59EA495A">
            <wp:extent cx="2318918" cy="1119226"/>
            <wp:effectExtent l="0" t="0" r="5715" b="5080"/>
            <wp:docPr id="2055" name="Picture 5" descr="APD_Logo_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5" descr="APD_Logo_1_10"/>
                    <pic:cNvPicPr>
                      <a:picLocks noChangeAspect="1"/>
                    </pic:cNvPicPr>
                  </pic:nvPicPr>
                  <pic:blipFill>
                    <a:blip r:embed="rId11" cstate="print"/>
                    <a:srcRect/>
                    <a:stretch>
                      <a:fillRect/>
                    </a:stretch>
                  </pic:blipFill>
                  <pic:spPr bwMode="auto">
                    <a:xfrm>
                      <a:off x="0" y="0"/>
                      <a:ext cx="2321603" cy="112052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0C0CEEF2" wp14:editId="673766F2">
            <wp:extent cx="1360627" cy="994867"/>
            <wp:effectExtent l="0" t="0" r="0" b="0"/>
            <wp:docPr id="3" name="Picture 7" descr="C:\Users\moormanr\Documents\AHCA logo 2015.png" title="Agency for Healthcare Administ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Users\moormanr\Documents\AHCA logo 2015.png" title="Agency for Healthcare Administration Logo"/>
                    <pic:cNvPicPr>
                      <a:picLocks noChangeAspect="1" noChangeArrowheads="1"/>
                    </pic:cNvPicPr>
                  </pic:nvPicPr>
                  <pic:blipFill>
                    <a:blip r:embed="rId12"/>
                    <a:srcRect/>
                    <a:stretch>
                      <a:fillRect/>
                    </a:stretch>
                  </pic:blipFill>
                  <pic:spPr bwMode="auto">
                    <a:xfrm>
                      <a:off x="0" y="0"/>
                      <a:ext cx="1360627" cy="994867"/>
                    </a:xfrm>
                    <a:prstGeom prst="rect">
                      <a:avLst/>
                    </a:prstGeom>
                    <a:noFill/>
                    <a:extLst/>
                  </pic:spPr>
                </pic:pic>
              </a:graphicData>
            </a:graphic>
          </wp:inline>
        </w:drawing>
      </w:r>
    </w:p>
    <w:p w14:paraId="28AED647" w14:textId="77777777" w:rsidR="009C520E" w:rsidRDefault="009C520E" w:rsidP="009C520E">
      <w:pPr>
        <w:spacing w:line="240" w:lineRule="auto"/>
        <w:rPr>
          <w:rFonts w:ascii="Franklin Gothic Medium" w:hAnsi="Franklin Gothic Medium"/>
          <w:sz w:val="28"/>
          <w:szCs w:val="28"/>
        </w:rPr>
      </w:pPr>
    </w:p>
    <w:p w14:paraId="37AD5F6F" w14:textId="7F9FCDF2" w:rsidR="0036205B" w:rsidRDefault="0036205B" w:rsidP="009C520E">
      <w:pPr>
        <w:spacing w:line="240" w:lineRule="auto"/>
        <w:rPr>
          <w:rFonts w:ascii="Franklin Gothic Medium" w:hAnsi="Franklin Gothic Medium"/>
          <w:sz w:val="28"/>
          <w:szCs w:val="28"/>
        </w:rPr>
      </w:pPr>
    </w:p>
    <w:p w14:paraId="79D87B62" w14:textId="3538E679" w:rsidR="009C520E" w:rsidRPr="0054786F" w:rsidRDefault="009C520E" w:rsidP="009C520E">
      <w:pPr>
        <w:spacing w:line="240" w:lineRule="auto"/>
        <w:rPr>
          <w:rFonts w:ascii="Franklin Gothic Medium" w:hAnsi="Franklin Gothic Medium"/>
          <w:sz w:val="28"/>
          <w:szCs w:val="28"/>
        </w:rPr>
      </w:pPr>
    </w:p>
    <w:p w14:paraId="51F082AF" w14:textId="0897434F" w:rsidR="009C520E" w:rsidRPr="0054786F" w:rsidRDefault="00EE67C2" w:rsidP="009C520E">
      <w:pPr>
        <w:jc w:val="center"/>
        <w:rPr>
          <w:rFonts w:ascii="Franklin Gothic Medium" w:hAnsi="Franklin Gothic Medium"/>
          <w:sz w:val="28"/>
          <w:szCs w:val="28"/>
        </w:rPr>
      </w:pPr>
      <w:r>
        <w:rPr>
          <w:rFonts w:ascii="Franklin Gothic Medium" w:hAnsi="Franklin Gothic Medium"/>
          <w:sz w:val="28"/>
          <w:szCs w:val="28"/>
        </w:rPr>
        <w:lastRenderedPageBreak/>
        <w:t>February 15</w:t>
      </w:r>
      <w:r w:rsidR="008D121D">
        <w:rPr>
          <w:rFonts w:ascii="Franklin Gothic Medium" w:hAnsi="Franklin Gothic Medium"/>
          <w:sz w:val="28"/>
          <w:szCs w:val="28"/>
        </w:rPr>
        <w:t>,</w:t>
      </w:r>
      <w:r w:rsidR="00450D18">
        <w:rPr>
          <w:rFonts w:ascii="Franklin Gothic Medium" w:hAnsi="Franklin Gothic Medium"/>
          <w:sz w:val="28"/>
          <w:szCs w:val="28"/>
        </w:rPr>
        <w:t xml:space="preserve"> 20</w:t>
      </w:r>
      <w:r w:rsidR="005B5217">
        <w:rPr>
          <w:rFonts w:ascii="Franklin Gothic Medium" w:hAnsi="Franklin Gothic Medium"/>
          <w:sz w:val="28"/>
          <w:szCs w:val="28"/>
        </w:rPr>
        <w:t>2</w:t>
      </w:r>
      <w:r>
        <w:rPr>
          <w:rFonts w:ascii="Franklin Gothic Medium" w:hAnsi="Franklin Gothic Medium"/>
          <w:sz w:val="28"/>
          <w:szCs w:val="28"/>
        </w:rPr>
        <w:t>1</w:t>
      </w:r>
    </w:p>
    <w:p w14:paraId="2AE7C203" w14:textId="35E33BB9" w:rsidR="009C520E" w:rsidRDefault="009C520E" w:rsidP="009C520E">
      <w:pPr>
        <w:spacing w:line="240" w:lineRule="auto"/>
      </w:pPr>
    </w:p>
    <w:p w14:paraId="7707D460" w14:textId="5FE6044C" w:rsidR="00457ACB" w:rsidRDefault="00457ACB" w:rsidP="00C31230">
      <w:pPr>
        <w:spacing w:after="240"/>
        <w:jc w:val="center"/>
        <w:rPr>
          <w:rFonts w:ascii="Franklin Gothic Medium" w:hAnsi="Franklin Gothic Medium"/>
          <w:sz w:val="28"/>
          <w:szCs w:val="28"/>
        </w:rPr>
      </w:pPr>
      <w:r>
        <w:rPr>
          <w:rFonts w:ascii="Franklin Gothic Medium" w:hAnsi="Franklin Gothic Medium"/>
          <w:sz w:val="28"/>
          <w:szCs w:val="28"/>
        </w:rPr>
        <w:t xml:space="preserve">Prepared by </w:t>
      </w:r>
    </w:p>
    <w:p w14:paraId="3403E8E2" w14:textId="5C5018E2" w:rsidR="00457ACB" w:rsidRDefault="00457ACB" w:rsidP="005F1DE4">
      <w:pPr>
        <w:spacing w:line="240" w:lineRule="auto"/>
        <w:jc w:val="center"/>
        <w:rPr>
          <w:rFonts w:ascii="Franklin Gothic Medium" w:hAnsi="Franklin Gothic Medium"/>
          <w:sz w:val="28"/>
          <w:szCs w:val="28"/>
        </w:rPr>
      </w:pPr>
    </w:p>
    <w:p w14:paraId="67D77A04" w14:textId="70D84A03" w:rsidR="00457ACB" w:rsidRDefault="00C31230" w:rsidP="00C31230">
      <w:pPr>
        <w:spacing w:line="240" w:lineRule="auto"/>
        <w:jc w:val="center"/>
        <w:rPr>
          <w:rFonts w:ascii="Franklin Gothic Medium" w:hAnsi="Franklin Gothic Medium"/>
          <w:sz w:val="28"/>
          <w:szCs w:val="28"/>
        </w:rPr>
      </w:pPr>
      <w:r w:rsidRPr="00C31230">
        <w:rPr>
          <w:noProof/>
        </w:rPr>
        <w:drawing>
          <wp:inline distT="0" distB="0" distL="0" distR="0" wp14:anchorId="66D00F9F" wp14:editId="7534F303">
            <wp:extent cx="1600200" cy="402336"/>
            <wp:effectExtent l="0" t="0" r="0" b="0"/>
            <wp:docPr id="14" name="Picture 14" descr="C:\Users\allenk\Desktop\Misc\Logo Files\Logo_Hi_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lenk\Desktop\Misc\Logo Files\Logo_Hi_Re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0200" cy="402336"/>
                    </a:xfrm>
                    <a:prstGeom prst="rect">
                      <a:avLst/>
                    </a:prstGeom>
                    <a:noFill/>
                    <a:ln>
                      <a:noFill/>
                    </a:ln>
                  </pic:spPr>
                </pic:pic>
              </a:graphicData>
            </a:graphic>
          </wp:inline>
        </w:drawing>
      </w:r>
    </w:p>
    <w:p w14:paraId="5155D83D" w14:textId="77777777" w:rsidR="00457ACB" w:rsidRPr="0054786F" w:rsidRDefault="00457ACB" w:rsidP="005F1DE4">
      <w:pPr>
        <w:spacing w:line="240" w:lineRule="auto"/>
        <w:jc w:val="center"/>
        <w:rPr>
          <w:rFonts w:ascii="Franklin Gothic Medium" w:hAnsi="Franklin Gothic Medium"/>
          <w:sz w:val="28"/>
          <w:szCs w:val="28"/>
        </w:rPr>
      </w:pPr>
    </w:p>
    <w:sdt>
      <w:sdtPr>
        <w:rPr>
          <w:b/>
          <w:bCs/>
        </w:rPr>
        <w:id w:val="31308200"/>
        <w:docPartObj>
          <w:docPartGallery w:val="Table of Contents"/>
          <w:docPartUnique/>
        </w:docPartObj>
      </w:sdtPr>
      <w:sdtEndPr>
        <w:rPr>
          <w:b w:val="0"/>
          <w:bCs w:val="0"/>
          <w:noProof/>
        </w:rPr>
      </w:sdtEndPr>
      <w:sdtContent>
        <w:p w14:paraId="22907224" w14:textId="77777777" w:rsidR="0069628A" w:rsidRPr="003F08C1" w:rsidRDefault="0069628A" w:rsidP="0069628A">
          <w:pPr>
            <w:spacing w:line="240" w:lineRule="auto"/>
            <w:rPr>
              <w:rStyle w:val="Heading1Char"/>
            </w:rPr>
          </w:pPr>
          <w:r w:rsidRPr="003F08C1">
            <w:rPr>
              <w:rStyle w:val="Heading1Char"/>
            </w:rPr>
            <w:t>Table of Contents</w:t>
          </w:r>
        </w:p>
        <w:p w14:paraId="51DF94C0" w14:textId="0D2164BC" w:rsidR="003F08C1" w:rsidRDefault="0069628A">
          <w:pPr>
            <w:pStyle w:val="TOC1"/>
            <w:rPr>
              <w:rFonts w:asciiTheme="minorHAnsi" w:eastAsiaTheme="minorEastAsia" w:hAnsiTheme="minorHAnsi"/>
              <w:noProof/>
              <w:sz w:val="22"/>
            </w:rPr>
          </w:pPr>
          <w:r w:rsidRPr="003F08C1">
            <w:fldChar w:fldCharType="begin"/>
          </w:r>
          <w:r w:rsidRPr="003F08C1">
            <w:instrText xml:space="preserve"> TOC \o "1-3" \h \z \u </w:instrText>
          </w:r>
          <w:r w:rsidRPr="003F08C1">
            <w:fldChar w:fldCharType="separate"/>
          </w:r>
          <w:hyperlink w:anchor="_Toc64285511" w:history="1">
            <w:r w:rsidR="003F08C1" w:rsidRPr="000F59C8">
              <w:rPr>
                <w:rStyle w:val="Hyperlink"/>
                <w:rFonts w:eastAsia="Times New Roman"/>
                <w:noProof/>
              </w:rPr>
              <w:t>List of Acronyms</w:t>
            </w:r>
            <w:r w:rsidR="003F08C1">
              <w:rPr>
                <w:noProof/>
                <w:webHidden/>
              </w:rPr>
              <w:tab/>
            </w:r>
            <w:r w:rsidR="003F08C1">
              <w:rPr>
                <w:noProof/>
                <w:webHidden/>
              </w:rPr>
              <w:fldChar w:fldCharType="begin"/>
            </w:r>
            <w:r w:rsidR="003F08C1">
              <w:rPr>
                <w:noProof/>
                <w:webHidden/>
              </w:rPr>
              <w:instrText xml:space="preserve"> PAGEREF _Toc64285511 \h </w:instrText>
            </w:r>
            <w:r w:rsidR="003F08C1">
              <w:rPr>
                <w:noProof/>
                <w:webHidden/>
              </w:rPr>
            </w:r>
            <w:r w:rsidR="003F08C1">
              <w:rPr>
                <w:noProof/>
                <w:webHidden/>
              </w:rPr>
              <w:fldChar w:fldCharType="separate"/>
            </w:r>
            <w:r w:rsidR="003F08C1">
              <w:rPr>
                <w:noProof/>
                <w:webHidden/>
              </w:rPr>
              <w:t>4</w:t>
            </w:r>
            <w:r w:rsidR="003F08C1">
              <w:rPr>
                <w:noProof/>
                <w:webHidden/>
              </w:rPr>
              <w:fldChar w:fldCharType="end"/>
            </w:r>
          </w:hyperlink>
        </w:p>
        <w:p w14:paraId="095A74D4" w14:textId="363376AD" w:rsidR="003F08C1" w:rsidRDefault="00C05150">
          <w:pPr>
            <w:pStyle w:val="TOC1"/>
            <w:rPr>
              <w:rFonts w:asciiTheme="minorHAnsi" w:eastAsiaTheme="minorEastAsia" w:hAnsiTheme="minorHAnsi"/>
              <w:noProof/>
              <w:sz w:val="22"/>
            </w:rPr>
          </w:pPr>
          <w:hyperlink w:anchor="_Toc64285512" w:history="1">
            <w:r w:rsidR="003F08C1" w:rsidRPr="000F59C8">
              <w:rPr>
                <w:rStyle w:val="Hyperlink"/>
                <w:noProof/>
              </w:rPr>
              <w:t>Executive Summary</w:t>
            </w:r>
            <w:r w:rsidR="003F08C1">
              <w:rPr>
                <w:noProof/>
                <w:webHidden/>
              </w:rPr>
              <w:tab/>
            </w:r>
            <w:r w:rsidR="003F08C1">
              <w:rPr>
                <w:noProof/>
                <w:webHidden/>
              </w:rPr>
              <w:fldChar w:fldCharType="begin"/>
            </w:r>
            <w:r w:rsidR="003F08C1">
              <w:rPr>
                <w:noProof/>
                <w:webHidden/>
              </w:rPr>
              <w:instrText xml:space="preserve"> PAGEREF _Toc64285512 \h </w:instrText>
            </w:r>
            <w:r w:rsidR="003F08C1">
              <w:rPr>
                <w:noProof/>
                <w:webHidden/>
              </w:rPr>
            </w:r>
            <w:r w:rsidR="003F08C1">
              <w:rPr>
                <w:noProof/>
                <w:webHidden/>
              </w:rPr>
              <w:fldChar w:fldCharType="separate"/>
            </w:r>
            <w:r w:rsidR="003F08C1">
              <w:rPr>
                <w:noProof/>
                <w:webHidden/>
              </w:rPr>
              <w:t>5</w:t>
            </w:r>
            <w:r w:rsidR="003F08C1">
              <w:rPr>
                <w:noProof/>
                <w:webHidden/>
              </w:rPr>
              <w:fldChar w:fldCharType="end"/>
            </w:r>
          </w:hyperlink>
        </w:p>
        <w:p w14:paraId="6E408BC8" w14:textId="51010B7E" w:rsidR="003F08C1" w:rsidRDefault="00C05150">
          <w:pPr>
            <w:pStyle w:val="TOC1"/>
            <w:rPr>
              <w:rFonts w:asciiTheme="minorHAnsi" w:eastAsiaTheme="minorEastAsia" w:hAnsiTheme="minorHAnsi"/>
              <w:noProof/>
              <w:sz w:val="22"/>
            </w:rPr>
          </w:pPr>
          <w:hyperlink w:anchor="_Toc64285513" w:history="1">
            <w:r w:rsidR="003F08C1" w:rsidRPr="000F59C8">
              <w:rPr>
                <w:rStyle w:val="Hyperlink"/>
                <w:noProof/>
              </w:rPr>
              <w:t>Introduction</w:t>
            </w:r>
            <w:r w:rsidR="003F08C1">
              <w:rPr>
                <w:noProof/>
                <w:webHidden/>
              </w:rPr>
              <w:tab/>
            </w:r>
            <w:r w:rsidR="003F08C1">
              <w:rPr>
                <w:noProof/>
                <w:webHidden/>
              </w:rPr>
              <w:fldChar w:fldCharType="begin"/>
            </w:r>
            <w:r w:rsidR="003F08C1">
              <w:rPr>
                <w:noProof/>
                <w:webHidden/>
              </w:rPr>
              <w:instrText xml:space="preserve"> PAGEREF _Toc64285513 \h </w:instrText>
            </w:r>
            <w:r w:rsidR="003F08C1">
              <w:rPr>
                <w:noProof/>
                <w:webHidden/>
              </w:rPr>
            </w:r>
            <w:r w:rsidR="003F08C1">
              <w:rPr>
                <w:noProof/>
                <w:webHidden/>
              </w:rPr>
              <w:fldChar w:fldCharType="separate"/>
            </w:r>
            <w:r w:rsidR="003F08C1">
              <w:rPr>
                <w:noProof/>
                <w:webHidden/>
              </w:rPr>
              <w:t>7</w:t>
            </w:r>
            <w:r w:rsidR="003F08C1">
              <w:rPr>
                <w:noProof/>
                <w:webHidden/>
              </w:rPr>
              <w:fldChar w:fldCharType="end"/>
            </w:r>
          </w:hyperlink>
        </w:p>
        <w:p w14:paraId="3D3F5C49" w14:textId="0ADD18ED" w:rsidR="003F08C1" w:rsidRDefault="00C05150">
          <w:pPr>
            <w:pStyle w:val="TOC1"/>
            <w:rPr>
              <w:rFonts w:asciiTheme="minorHAnsi" w:eastAsiaTheme="minorEastAsia" w:hAnsiTheme="minorHAnsi"/>
              <w:noProof/>
              <w:sz w:val="22"/>
            </w:rPr>
          </w:pPr>
          <w:hyperlink w:anchor="_Toc64285514" w:history="1">
            <w:r w:rsidR="003F08C1" w:rsidRPr="000F59C8">
              <w:rPr>
                <w:rStyle w:val="Hyperlink"/>
                <w:noProof/>
              </w:rPr>
              <w:t>Section I:  Significant Contract Activity</w:t>
            </w:r>
            <w:r w:rsidR="003F08C1">
              <w:rPr>
                <w:noProof/>
                <w:webHidden/>
              </w:rPr>
              <w:tab/>
            </w:r>
            <w:r w:rsidR="003F08C1">
              <w:rPr>
                <w:noProof/>
                <w:webHidden/>
              </w:rPr>
              <w:fldChar w:fldCharType="begin"/>
            </w:r>
            <w:r w:rsidR="003F08C1">
              <w:rPr>
                <w:noProof/>
                <w:webHidden/>
              </w:rPr>
              <w:instrText xml:space="preserve"> PAGEREF _Toc64285514 \h </w:instrText>
            </w:r>
            <w:r w:rsidR="003F08C1">
              <w:rPr>
                <w:noProof/>
                <w:webHidden/>
              </w:rPr>
            </w:r>
            <w:r w:rsidR="003F08C1">
              <w:rPr>
                <w:noProof/>
                <w:webHidden/>
              </w:rPr>
              <w:fldChar w:fldCharType="separate"/>
            </w:r>
            <w:r w:rsidR="003F08C1">
              <w:rPr>
                <w:noProof/>
                <w:webHidden/>
              </w:rPr>
              <w:t>10</w:t>
            </w:r>
            <w:r w:rsidR="003F08C1">
              <w:rPr>
                <w:noProof/>
                <w:webHidden/>
              </w:rPr>
              <w:fldChar w:fldCharType="end"/>
            </w:r>
          </w:hyperlink>
        </w:p>
        <w:p w14:paraId="42C43443" w14:textId="25221EE7" w:rsidR="003F08C1" w:rsidRDefault="00C05150">
          <w:pPr>
            <w:pStyle w:val="TOC2"/>
            <w:tabs>
              <w:tab w:val="right" w:leader="dot" w:pos="9350"/>
            </w:tabs>
            <w:rPr>
              <w:rFonts w:asciiTheme="minorHAnsi" w:eastAsiaTheme="minorEastAsia" w:hAnsiTheme="minorHAnsi"/>
              <w:noProof/>
              <w:sz w:val="22"/>
            </w:rPr>
          </w:pPr>
          <w:hyperlink w:anchor="_Toc64285515" w:history="1">
            <w:r w:rsidR="003F08C1" w:rsidRPr="000F59C8">
              <w:rPr>
                <w:rStyle w:val="Hyperlink"/>
                <w:noProof/>
              </w:rPr>
              <w:t>Quality Assurance Activities (October-December 2020)</w:t>
            </w:r>
            <w:r w:rsidR="003F08C1">
              <w:rPr>
                <w:noProof/>
                <w:webHidden/>
              </w:rPr>
              <w:tab/>
            </w:r>
            <w:r w:rsidR="003F08C1">
              <w:rPr>
                <w:noProof/>
                <w:webHidden/>
              </w:rPr>
              <w:fldChar w:fldCharType="begin"/>
            </w:r>
            <w:r w:rsidR="003F08C1">
              <w:rPr>
                <w:noProof/>
                <w:webHidden/>
              </w:rPr>
              <w:instrText xml:space="preserve"> PAGEREF _Toc64285515 \h </w:instrText>
            </w:r>
            <w:r w:rsidR="003F08C1">
              <w:rPr>
                <w:noProof/>
                <w:webHidden/>
              </w:rPr>
            </w:r>
            <w:r w:rsidR="003F08C1">
              <w:rPr>
                <w:noProof/>
                <w:webHidden/>
              </w:rPr>
              <w:fldChar w:fldCharType="separate"/>
            </w:r>
            <w:r w:rsidR="003F08C1">
              <w:rPr>
                <w:noProof/>
                <w:webHidden/>
              </w:rPr>
              <w:t>10</w:t>
            </w:r>
            <w:r w:rsidR="003F08C1">
              <w:rPr>
                <w:noProof/>
                <w:webHidden/>
              </w:rPr>
              <w:fldChar w:fldCharType="end"/>
            </w:r>
          </w:hyperlink>
        </w:p>
        <w:p w14:paraId="7C15BCB6" w14:textId="7937083D" w:rsidR="003F08C1" w:rsidRDefault="00C05150">
          <w:pPr>
            <w:pStyle w:val="TOC3"/>
            <w:tabs>
              <w:tab w:val="right" w:leader="dot" w:pos="9350"/>
            </w:tabs>
            <w:rPr>
              <w:rFonts w:asciiTheme="minorHAnsi" w:eastAsiaTheme="minorEastAsia" w:hAnsiTheme="minorHAnsi"/>
              <w:noProof/>
              <w:sz w:val="22"/>
            </w:rPr>
          </w:pPr>
          <w:hyperlink w:anchor="_Toc64285516" w:history="1">
            <w:r w:rsidR="003F08C1" w:rsidRPr="000F59C8">
              <w:rPr>
                <w:rStyle w:val="Hyperlink"/>
                <w:noProof/>
              </w:rPr>
              <w:t>Status Meetings</w:t>
            </w:r>
            <w:r w:rsidR="003F08C1">
              <w:rPr>
                <w:noProof/>
                <w:webHidden/>
              </w:rPr>
              <w:tab/>
            </w:r>
            <w:r w:rsidR="003F08C1">
              <w:rPr>
                <w:noProof/>
                <w:webHidden/>
              </w:rPr>
              <w:fldChar w:fldCharType="begin"/>
            </w:r>
            <w:r w:rsidR="003F08C1">
              <w:rPr>
                <w:noProof/>
                <w:webHidden/>
              </w:rPr>
              <w:instrText xml:space="preserve"> PAGEREF _Toc64285516 \h </w:instrText>
            </w:r>
            <w:r w:rsidR="003F08C1">
              <w:rPr>
                <w:noProof/>
                <w:webHidden/>
              </w:rPr>
            </w:r>
            <w:r w:rsidR="003F08C1">
              <w:rPr>
                <w:noProof/>
                <w:webHidden/>
              </w:rPr>
              <w:fldChar w:fldCharType="separate"/>
            </w:r>
            <w:r w:rsidR="003F08C1">
              <w:rPr>
                <w:noProof/>
                <w:webHidden/>
              </w:rPr>
              <w:t>10</w:t>
            </w:r>
            <w:r w:rsidR="003F08C1">
              <w:rPr>
                <w:noProof/>
                <w:webHidden/>
              </w:rPr>
              <w:fldChar w:fldCharType="end"/>
            </w:r>
          </w:hyperlink>
        </w:p>
        <w:p w14:paraId="68F5922B" w14:textId="4597864B" w:rsidR="003F08C1" w:rsidRDefault="00C05150">
          <w:pPr>
            <w:pStyle w:val="TOC3"/>
            <w:tabs>
              <w:tab w:val="right" w:leader="dot" w:pos="9350"/>
            </w:tabs>
            <w:rPr>
              <w:rFonts w:asciiTheme="minorHAnsi" w:eastAsiaTheme="minorEastAsia" w:hAnsiTheme="minorHAnsi"/>
              <w:noProof/>
              <w:sz w:val="22"/>
            </w:rPr>
          </w:pPr>
          <w:hyperlink w:anchor="_Toc64285517" w:history="1">
            <w:r w:rsidR="003F08C1" w:rsidRPr="000F59C8">
              <w:rPr>
                <w:rStyle w:val="Hyperlink"/>
                <w:noProof/>
              </w:rPr>
              <w:t>Reliability</w:t>
            </w:r>
            <w:r w:rsidR="003F08C1">
              <w:rPr>
                <w:noProof/>
                <w:webHidden/>
              </w:rPr>
              <w:tab/>
            </w:r>
            <w:r w:rsidR="003F08C1">
              <w:rPr>
                <w:noProof/>
                <w:webHidden/>
              </w:rPr>
              <w:fldChar w:fldCharType="begin"/>
            </w:r>
            <w:r w:rsidR="003F08C1">
              <w:rPr>
                <w:noProof/>
                <w:webHidden/>
              </w:rPr>
              <w:instrText xml:space="preserve"> PAGEREF _Toc64285517 \h </w:instrText>
            </w:r>
            <w:r w:rsidR="003F08C1">
              <w:rPr>
                <w:noProof/>
                <w:webHidden/>
              </w:rPr>
            </w:r>
            <w:r w:rsidR="003F08C1">
              <w:rPr>
                <w:noProof/>
                <w:webHidden/>
              </w:rPr>
              <w:fldChar w:fldCharType="separate"/>
            </w:r>
            <w:r w:rsidR="003F08C1">
              <w:rPr>
                <w:noProof/>
                <w:webHidden/>
              </w:rPr>
              <w:t>10</w:t>
            </w:r>
            <w:r w:rsidR="003F08C1">
              <w:rPr>
                <w:noProof/>
                <w:webHidden/>
              </w:rPr>
              <w:fldChar w:fldCharType="end"/>
            </w:r>
          </w:hyperlink>
        </w:p>
        <w:p w14:paraId="2FF565CC" w14:textId="553D22EB" w:rsidR="003F08C1" w:rsidRDefault="00C05150">
          <w:pPr>
            <w:pStyle w:val="TOC3"/>
            <w:tabs>
              <w:tab w:val="right" w:leader="dot" w:pos="9350"/>
            </w:tabs>
            <w:rPr>
              <w:rFonts w:asciiTheme="minorHAnsi" w:eastAsiaTheme="minorEastAsia" w:hAnsiTheme="minorHAnsi"/>
              <w:noProof/>
              <w:sz w:val="22"/>
            </w:rPr>
          </w:pPr>
          <w:hyperlink w:anchor="_Toc64285518" w:history="1">
            <w:r w:rsidR="003F08C1" w:rsidRPr="000F59C8">
              <w:rPr>
                <w:rStyle w:val="Hyperlink"/>
                <w:noProof/>
              </w:rPr>
              <w:t>Internal Annual Training/Conference</w:t>
            </w:r>
            <w:r w:rsidR="003F08C1">
              <w:rPr>
                <w:noProof/>
                <w:webHidden/>
              </w:rPr>
              <w:tab/>
            </w:r>
            <w:r w:rsidR="003F08C1">
              <w:rPr>
                <w:noProof/>
                <w:webHidden/>
              </w:rPr>
              <w:fldChar w:fldCharType="begin"/>
            </w:r>
            <w:r w:rsidR="003F08C1">
              <w:rPr>
                <w:noProof/>
                <w:webHidden/>
              </w:rPr>
              <w:instrText xml:space="preserve"> PAGEREF _Toc64285518 \h </w:instrText>
            </w:r>
            <w:r w:rsidR="003F08C1">
              <w:rPr>
                <w:noProof/>
                <w:webHidden/>
              </w:rPr>
            </w:r>
            <w:r w:rsidR="003F08C1">
              <w:rPr>
                <w:noProof/>
                <w:webHidden/>
              </w:rPr>
              <w:fldChar w:fldCharType="separate"/>
            </w:r>
            <w:r w:rsidR="003F08C1">
              <w:rPr>
                <w:noProof/>
                <w:webHidden/>
              </w:rPr>
              <w:t>10</w:t>
            </w:r>
            <w:r w:rsidR="003F08C1">
              <w:rPr>
                <w:noProof/>
                <w:webHidden/>
              </w:rPr>
              <w:fldChar w:fldCharType="end"/>
            </w:r>
          </w:hyperlink>
        </w:p>
        <w:p w14:paraId="744F0558" w14:textId="296A5BAE" w:rsidR="003F08C1" w:rsidRDefault="00C05150">
          <w:pPr>
            <w:pStyle w:val="TOC3"/>
            <w:tabs>
              <w:tab w:val="right" w:leader="dot" w:pos="9350"/>
            </w:tabs>
            <w:rPr>
              <w:rFonts w:asciiTheme="minorHAnsi" w:eastAsiaTheme="minorEastAsia" w:hAnsiTheme="minorHAnsi"/>
              <w:noProof/>
              <w:sz w:val="22"/>
            </w:rPr>
          </w:pPr>
          <w:hyperlink w:anchor="_Toc64285519" w:history="1">
            <w:r w:rsidR="003F08C1" w:rsidRPr="000F59C8">
              <w:rPr>
                <w:rStyle w:val="Hyperlink"/>
                <w:noProof/>
              </w:rPr>
              <w:t>External Training</w:t>
            </w:r>
            <w:r w:rsidR="003F08C1">
              <w:rPr>
                <w:noProof/>
                <w:webHidden/>
              </w:rPr>
              <w:tab/>
            </w:r>
            <w:r w:rsidR="003F08C1">
              <w:rPr>
                <w:noProof/>
                <w:webHidden/>
              </w:rPr>
              <w:fldChar w:fldCharType="begin"/>
            </w:r>
            <w:r w:rsidR="003F08C1">
              <w:rPr>
                <w:noProof/>
                <w:webHidden/>
              </w:rPr>
              <w:instrText xml:space="preserve"> PAGEREF _Toc64285519 \h </w:instrText>
            </w:r>
            <w:r w:rsidR="003F08C1">
              <w:rPr>
                <w:noProof/>
                <w:webHidden/>
              </w:rPr>
            </w:r>
            <w:r w:rsidR="003F08C1">
              <w:rPr>
                <w:noProof/>
                <w:webHidden/>
              </w:rPr>
              <w:fldChar w:fldCharType="separate"/>
            </w:r>
            <w:r w:rsidR="003F08C1">
              <w:rPr>
                <w:noProof/>
                <w:webHidden/>
              </w:rPr>
              <w:t>11</w:t>
            </w:r>
            <w:r w:rsidR="003F08C1">
              <w:rPr>
                <w:noProof/>
                <w:webHidden/>
              </w:rPr>
              <w:fldChar w:fldCharType="end"/>
            </w:r>
          </w:hyperlink>
        </w:p>
        <w:p w14:paraId="168CF0B1" w14:textId="012260AC" w:rsidR="003F08C1" w:rsidRDefault="00C05150">
          <w:pPr>
            <w:pStyle w:val="TOC2"/>
            <w:tabs>
              <w:tab w:val="right" w:leader="dot" w:pos="9350"/>
            </w:tabs>
            <w:rPr>
              <w:rFonts w:asciiTheme="minorHAnsi" w:eastAsiaTheme="minorEastAsia" w:hAnsiTheme="minorHAnsi"/>
              <w:noProof/>
              <w:sz w:val="22"/>
            </w:rPr>
          </w:pPr>
          <w:hyperlink w:anchor="_Toc64285520" w:history="1">
            <w:r w:rsidR="003F08C1" w:rsidRPr="000F59C8">
              <w:rPr>
                <w:rStyle w:val="Hyperlink"/>
                <w:noProof/>
              </w:rPr>
              <w:t>Tool and Process Revisions</w:t>
            </w:r>
            <w:r w:rsidR="003F08C1">
              <w:rPr>
                <w:noProof/>
                <w:webHidden/>
              </w:rPr>
              <w:tab/>
            </w:r>
            <w:r w:rsidR="003F08C1">
              <w:rPr>
                <w:noProof/>
                <w:webHidden/>
              </w:rPr>
              <w:fldChar w:fldCharType="begin"/>
            </w:r>
            <w:r w:rsidR="003F08C1">
              <w:rPr>
                <w:noProof/>
                <w:webHidden/>
              </w:rPr>
              <w:instrText xml:space="preserve"> PAGEREF _Toc64285520 \h </w:instrText>
            </w:r>
            <w:r w:rsidR="003F08C1">
              <w:rPr>
                <w:noProof/>
                <w:webHidden/>
              </w:rPr>
            </w:r>
            <w:r w:rsidR="003F08C1">
              <w:rPr>
                <w:noProof/>
                <w:webHidden/>
              </w:rPr>
              <w:fldChar w:fldCharType="separate"/>
            </w:r>
            <w:r w:rsidR="003F08C1">
              <w:rPr>
                <w:noProof/>
                <w:webHidden/>
              </w:rPr>
              <w:t>11</w:t>
            </w:r>
            <w:r w:rsidR="003F08C1">
              <w:rPr>
                <w:noProof/>
                <w:webHidden/>
              </w:rPr>
              <w:fldChar w:fldCharType="end"/>
            </w:r>
          </w:hyperlink>
        </w:p>
        <w:p w14:paraId="37FA632F" w14:textId="604B8265" w:rsidR="003F08C1" w:rsidRDefault="00C05150">
          <w:pPr>
            <w:pStyle w:val="TOC2"/>
            <w:tabs>
              <w:tab w:val="right" w:leader="dot" w:pos="9350"/>
            </w:tabs>
            <w:rPr>
              <w:rFonts w:asciiTheme="minorHAnsi" w:eastAsiaTheme="minorEastAsia" w:hAnsiTheme="minorHAnsi"/>
              <w:noProof/>
              <w:sz w:val="22"/>
            </w:rPr>
          </w:pPr>
          <w:hyperlink w:anchor="_Toc64285521" w:history="1">
            <w:r w:rsidR="003F08C1" w:rsidRPr="000F59C8">
              <w:rPr>
                <w:rStyle w:val="Hyperlink"/>
                <w:noProof/>
              </w:rPr>
              <w:t>Regional Quarterly Meetings</w:t>
            </w:r>
            <w:r w:rsidR="003F08C1">
              <w:rPr>
                <w:noProof/>
                <w:webHidden/>
              </w:rPr>
              <w:tab/>
            </w:r>
            <w:r w:rsidR="003F08C1">
              <w:rPr>
                <w:noProof/>
                <w:webHidden/>
              </w:rPr>
              <w:fldChar w:fldCharType="begin"/>
            </w:r>
            <w:r w:rsidR="003F08C1">
              <w:rPr>
                <w:noProof/>
                <w:webHidden/>
              </w:rPr>
              <w:instrText xml:space="preserve"> PAGEREF _Toc64285521 \h </w:instrText>
            </w:r>
            <w:r w:rsidR="003F08C1">
              <w:rPr>
                <w:noProof/>
                <w:webHidden/>
              </w:rPr>
            </w:r>
            <w:r w:rsidR="003F08C1">
              <w:rPr>
                <w:noProof/>
                <w:webHidden/>
              </w:rPr>
              <w:fldChar w:fldCharType="separate"/>
            </w:r>
            <w:r w:rsidR="003F08C1">
              <w:rPr>
                <w:noProof/>
                <w:webHidden/>
              </w:rPr>
              <w:t>11</w:t>
            </w:r>
            <w:r w:rsidR="003F08C1">
              <w:rPr>
                <w:noProof/>
                <w:webHidden/>
              </w:rPr>
              <w:fldChar w:fldCharType="end"/>
            </w:r>
          </w:hyperlink>
        </w:p>
        <w:p w14:paraId="1BBBD459" w14:textId="1B408D06" w:rsidR="003F08C1" w:rsidRDefault="00C05150">
          <w:pPr>
            <w:pStyle w:val="TOC2"/>
            <w:tabs>
              <w:tab w:val="right" w:leader="dot" w:pos="9350"/>
            </w:tabs>
            <w:rPr>
              <w:rFonts w:asciiTheme="minorHAnsi" w:eastAsiaTheme="minorEastAsia" w:hAnsiTheme="minorHAnsi"/>
              <w:noProof/>
              <w:sz w:val="22"/>
            </w:rPr>
          </w:pPr>
          <w:hyperlink w:anchor="_Toc64285522" w:history="1">
            <w:r w:rsidR="003F08C1" w:rsidRPr="000F59C8">
              <w:rPr>
                <w:rStyle w:val="Hyperlink"/>
                <w:noProof/>
              </w:rPr>
              <w:t>Quality Council (QC)</w:t>
            </w:r>
            <w:r w:rsidR="003F08C1">
              <w:rPr>
                <w:noProof/>
                <w:webHidden/>
              </w:rPr>
              <w:tab/>
            </w:r>
            <w:r w:rsidR="003F08C1">
              <w:rPr>
                <w:noProof/>
                <w:webHidden/>
              </w:rPr>
              <w:fldChar w:fldCharType="begin"/>
            </w:r>
            <w:r w:rsidR="003F08C1">
              <w:rPr>
                <w:noProof/>
                <w:webHidden/>
              </w:rPr>
              <w:instrText xml:space="preserve"> PAGEREF _Toc64285522 \h </w:instrText>
            </w:r>
            <w:r w:rsidR="003F08C1">
              <w:rPr>
                <w:noProof/>
                <w:webHidden/>
              </w:rPr>
            </w:r>
            <w:r w:rsidR="003F08C1">
              <w:rPr>
                <w:noProof/>
                <w:webHidden/>
              </w:rPr>
              <w:fldChar w:fldCharType="separate"/>
            </w:r>
            <w:r w:rsidR="003F08C1">
              <w:rPr>
                <w:noProof/>
                <w:webHidden/>
              </w:rPr>
              <w:t>11</w:t>
            </w:r>
            <w:r w:rsidR="003F08C1">
              <w:rPr>
                <w:noProof/>
                <w:webHidden/>
              </w:rPr>
              <w:fldChar w:fldCharType="end"/>
            </w:r>
          </w:hyperlink>
        </w:p>
        <w:p w14:paraId="0FCE1EBF" w14:textId="12B9A2AD" w:rsidR="003F08C1" w:rsidRDefault="00C05150">
          <w:pPr>
            <w:pStyle w:val="TOC2"/>
            <w:tabs>
              <w:tab w:val="right" w:leader="dot" w:pos="9350"/>
            </w:tabs>
            <w:rPr>
              <w:rFonts w:asciiTheme="minorHAnsi" w:eastAsiaTheme="minorEastAsia" w:hAnsiTheme="minorHAnsi"/>
              <w:noProof/>
              <w:sz w:val="22"/>
            </w:rPr>
          </w:pPr>
          <w:hyperlink w:anchor="_Toc64285523" w:history="1">
            <w:r w:rsidR="003F08C1" w:rsidRPr="000F59C8">
              <w:rPr>
                <w:rStyle w:val="Hyperlink"/>
                <w:noProof/>
              </w:rPr>
              <w:t>Provider Feedback Survey</w:t>
            </w:r>
            <w:r w:rsidR="003F08C1">
              <w:rPr>
                <w:noProof/>
                <w:webHidden/>
              </w:rPr>
              <w:tab/>
            </w:r>
            <w:r w:rsidR="003F08C1">
              <w:rPr>
                <w:noProof/>
                <w:webHidden/>
              </w:rPr>
              <w:fldChar w:fldCharType="begin"/>
            </w:r>
            <w:r w:rsidR="003F08C1">
              <w:rPr>
                <w:noProof/>
                <w:webHidden/>
              </w:rPr>
              <w:instrText xml:space="preserve"> PAGEREF _Toc64285523 \h </w:instrText>
            </w:r>
            <w:r w:rsidR="003F08C1">
              <w:rPr>
                <w:noProof/>
                <w:webHidden/>
              </w:rPr>
            </w:r>
            <w:r w:rsidR="003F08C1">
              <w:rPr>
                <w:noProof/>
                <w:webHidden/>
              </w:rPr>
              <w:fldChar w:fldCharType="separate"/>
            </w:r>
            <w:r w:rsidR="003F08C1">
              <w:rPr>
                <w:noProof/>
                <w:webHidden/>
              </w:rPr>
              <w:t>12</w:t>
            </w:r>
            <w:r w:rsidR="003F08C1">
              <w:rPr>
                <w:noProof/>
                <w:webHidden/>
              </w:rPr>
              <w:fldChar w:fldCharType="end"/>
            </w:r>
          </w:hyperlink>
        </w:p>
        <w:p w14:paraId="717E32A4" w14:textId="1CCB54D7" w:rsidR="003F08C1" w:rsidRDefault="00C05150">
          <w:pPr>
            <w:pStyle w:val="TOC2"/>
            <w:tabs>
              <w:tab w:val="right" w:leader="dot" w:pos="9350"/>
            </w:tabs>
            <w:rPr>
              <w:rFonts w:asciiTheme="minorHAnsi" w:eastAsiaTheme="minorEastAsia" w:hAnsiTheme="minorHAnsi"/>
              <w:noProof/>
              <w:sz w:val="22"/>
            </w:rPr>
          </w:pPr>
          <w:hyperlink w:anchor="_Toc64285524" w:history="1">
            <w:r w:rsidR="003F08C1" w:rsidRPr="000F59C8">
              <w:rPr>
                <w:rStyle w:val="Hyperlink"/>
                <w:noProof/>
              </w:rPr>
              <w:t>Summary of Customer Service Calls</w:t>
            </w:r>
            <w:r w:rsidR="003F08C1">
              <w:rPr>
                <w:noProof/>
                <w:webHidden/>
              </w:rPr>
              <w:tab/>
            </w:r>
            <w:r w:rsidR="003F08C1">
              <w:rPr>
                <w:noProof/>
                <w:webHidden/>
              </w:rPr>
              <w:fldChar w:fldCharType="begin"/>
            </w:r>
            <w:r w:rsidR="003F08C1">
              <w:rPr>
                <w:noProof/>
                <w:webHidden/>
              </w:rPr>
              <w:instrText xml:space="preserve"> PAGEREF _Toc64285524 \h </w:instrText>
            </w:r>
            <w:r w:rsidR="003F08C1">
              <w:rPr>
                <w:noProof/>
                <w:webHidden/>
              </w:rPr>
            </w:r>
            <w:r w:rsidR="003F08C1">
              <w:rPr>
                <w:noProof/>
                <w:webHidden/>
              </w:rPr>
              <w:fldChar w:fldCharType="separate"/>
            </w:r>
            <w:r w:rsidR="003F08C1">
              <w:rPr>
                <w:noProof/>
                <w:webHidden/>
              </w:rPr>
              <w:t>13</w:t>
            </w:r>
            <w:r w:rsidR="003F08C1">
              <w:rPr>
                <w:noProof/>
                <w:webHidden/>
              </w:rPr>
              <w:fldChar w:fldCharType="end"/>
            </w:r>
          </w:hyperlink>
        </w:p>
        <w:p w14:paraId="1169B2B2" w14:textId="12B56310" w:rsidR="003F08C1" w:rsidRDefault="00C05150">
          <w:pPr>
            <w:pStyle w:val="TOC2"/>
            <w:tabs>
              <w:tab w:val="right" w:leader="dot" w:pos="9350"/>
            </w:tabs>
            <w:rPr>
              <w:rFonts w:asciiTheme="minorHAnsi" w:eastAsiaTheme="minorEastAsia" w:hAnsiTheme="minorHAnsi"/>
              <w:noProof/>
              <w:sz w:val="22"/>
            </w:rPr>
          </w:pPr>
          <w:hyperlink w:anchor="_Toc64285525" w:history="1">
            <w:r w:rsidR="003F08C1" w:rsidRPr="000F59C8">
              <w:rPr>
                <w:rStyle w:val="Hyperlink"/>
                <w:noProof/>
              </w:rPr>
              <w:t>Data Availability</w:t>
            </w:r>
            <w:r w:rsidR="003F08C1">
              <w:rPr>
                <w:noProof/>
                <w:webHidden/>
              </w:rPr>
              <w:tab/>
            </w:r>
            <w:r w:rsidR="003F08C1">
              <w:rPr>
                <w:noProof/>
                <w:webHidden/>
              </w:rPr>
              <w:fldChar w:fldCharType="begin"/>
            </w:r>
            <w:r w:rsidR="003F08C1">
              <w:rPr>
                <w:noProof/>
                <w:webHidden/>
              </w:rPr>
              <w:instrText xml:space="preserve"> PAGEREF _Toc64285525 \h </w:instrText>
            </w:r>
            <w:r w:rsidR="003F08C1">
              <w:rPr>
                <w:noProof/>
                <w:webHidden/>
              </w:rPr>
            </w:r>
            <w:r w:rsidR="003F08C1">
              <w:rPr>
                <w:noProof/>
                <w:webHidden/>
              </w:rPr>
              <w:fldChar w:fldCharType="separate"/>
            </w:r>
            <w:r w:rsidR="003F08C1">
              <w:rPr>
                <w:noProof/>
                <w:webHidden/>
              </w:rPr>
              <w:t>13</w:t>
            </w:r>
            <w:r w:rsidR="003F08C1">
              <w:rPr>
                <w:noProof/>
                <w:webHidden/>
              </w:rPr>
              <w:fldChar w:fldCharType="end"/>
            </w:r>
          </w:hyperlink>
        </w:p>
        <w:p w14:paraId="1EF9068C" w14:textId="71DBE437" w:rsidR="003F08C1" w:rsidRDefault="00C05150">
          <w:pPr>
            <w:pStyle w:val="TOC2"/>
            <w:tabs>
              <w:tab w:val="right" w:leader="dot" w:pos="9350"/>
            </w:tabs>
            <w:rPr>
              <w:rFonts w:asciiTheme="minorHAnsi" w:eastAsiaTheme="minorEastAsia" w:hAnsiTheme="minorHAnsi"/>
              <w:noProof/>
              <w:sz w:val="22"/>
            </w:rPr>
          </w:pPr>
          <w:hyperlink w:anchor="_Toc64285526" w:history="1">
            <w:r w:rsidR="003F08C1" w:rsidRPr="000F59C8">
              <w:rPr>
                <w:rStyle w:val="Hyperlink"/>
                <w:noProof/>
              </w:rPr>
              <w:t>Staff Updates</w:t>
            </w:r>
            <w:r w:rsidR="003F08C1">
              <w:rPr>
                <w:noProof/>
                <w:webHidden/>
              </w:rPr>
              <w:tab/>
            </w:r>
            <w:r w:rsidR="003F08C1">
              <w:rPr>
                <w:noProof/>
                <w:webHidden/>
              </w:rPr>
              <w:fldChar w:fldCharType="begin"/>
            </w:r>
            <w:r w:rsidR="003F08C1">
              <w:rPr>
                <w:noProof/>
                <w:webHidden/>
              </w:rPr>
              <w:instrText xml:space="preserve"> PAGEREF _Toc64285526 \h </w:instrText>
            </w:r>
            <w:r w:rsidR="003F08C1">
              <w:rPr>
                <w:noProof/>
                <w:webHidden/>
              </w:rPr>
            </w:r>
            <w:r w:rsidR="003F08C1">
              <w:rPr>
                <w:noProof/>
                <w:webHidden/>
              </w:rPr>
              <w:fldChar w:fldCharType="separate"/>
            </w:r>
            <w:r w:rsidR="003F08C1">
              <w:rPr>
                <w:noProof/>
                <w:webHidden/>
              </w:rPr>
              <w:t>13</w:t>
            </w:r>
            <w:r w:rsidR="003F08C1">
              <w:rPr>
                <w:noProof/>
                <w:webHidden/>
              </w:rPr>
              <w:fldChar w:fldCharType="end"/>
            </w:r>
          </w:hyperlink>
        </w:p>
        <w:p w14:paraId="527CDEF5" w14:textId="65D4D2CF" w:rsidR="003F08C1" w:rsidRDefault="00C05150">
          <w:pPr>
            <w:pStyle w:val="TOC1"/>
            <w:rPr>
              <w:rFonts w:asciiTheme="minorHAnsi" w:eastAsiaTheme="minorEastAsia" w:hAnsiTheme="minorHAnsi"/>
              <w:noProof/>
              <w:sz w:val="22"/>
            </w:rPr>
          </w:pPr>
          <w:hyperlink w:anchor="_Toc64285527" w:history="1">
            <w:r w:rsidR="003F08C1" w:rsidRPr="000F59C8">
              <w:rPr>
                <w:rStyle w:val="Hyperlink"/>
                <w:noProof/>
              </w:rPr>
              <w:t>Section II:  Data from Review Activities</w:t>
            </w:r>
            <w:r w:rsidR="003F08C1">
              <w:rPr>
                <w:noProof/>
                <w:webHidden/>
              </w:rPr>
              <w:tab/>
            </w:r>
            <w:r w:rsidR="003F08C1">
              <w:rPr>
                <w:noProof/>
                <w:webHidden/>
              </w:rPr>
              <w:fldChar w:fldCharType="begin"/>
            </w:r>
            <w:r w:rsidR="003F08C1">
              <w:rPr>
                <w:noProof/>
                <w:webHidden/>
              </w:rPr>
              <w:instrText xml:space="preserve"> PAGEREF _Toc64285527 \h </w:instrText>
            </w:r>
            <w:r w:rsidR="003F08C1">
              <w:rPr>
                <w:noProof/>
                <w:webHidden/>
              </w:rPr>
            </w:r>
            <w:r w:rsidR="003F08C1">
              <w:rPr>
                <w:noProof/>
                <w:webHidden/>
              </w:rPr>
              <w:fldChar w:fldCharType="separate"/>
            </w:r>
            <w:r w:rsidR="003F08C1">
              <w:rPr>
                <w:noProof/>
                <w:webHidden/>
              </w:rPr>
              <w:t>13</w:t>
            </w:r>
            <w:r w:rsidR="003F08C1">
              <w:rPr>
                <w:noProof/>
                <w:webHidden/>
              </w:rPr>
              <w:fldChar w:fldCharType="end"/>
            </w:r>
          </w:hyperlink>
        </w:p>
        <w:p w14:paraId="1B823C64" w14:textId="17C7291A" w:rsidR="003F08C1" w:rsidRDefault="00C05150">
          <w:pPr>
            <w:pStyle w:val="TOC2"/>
            <w:tabs>
              <w:tab w:val="right" w:leader="dot" w:pos="9350"/>
            </w:tabs>
            <w:rPr>
              <w:rFonts w:asciiTheme="minorHAnsi" w:eastAsiaTheme="minorEastAsia" w:hAnsiTheme="minorHAnsi"/>
              <w:noProof/>
              <w:sz w:val="22"/>
            </w:rPr>
          </w:pPr>
          <w:hyperlink w:anchor="_Toc64285528" w:history="1">
            <w:r w:rsidR="003F08C1" w:rsidRPr="000F59C8">
              <w:rPr>
                <w:rStyle w:val="Hyperlink"/>
                <w:noProof/>
              </w:rPr>
              <w:t>Person Centered Reviews (PCR)</w:t>
            </w:r>
            <w:r w:rsidR="003F08C1">
              <w:rPr>
                <w:noProof/>
                <w:webHidden/>
              </w:rPr>
              <w:tab/>
            </w:r>
            <w:r w:rsidR="003F08C1">
              <w:rPr>
                <w:noProof/>
                <w:webHidden/>
              </w:rPr>
              <w:fldChar w:fldCharType="begin"/>
            </w:r>
            <w:r w:rsidR="003F08C1">
              <w:rPr>
                <w:noProof/>
                <w:webHidden/>
              </w:rPr>
              <w:instrText xml:space="preserve"> PAGEREF _Toc64285528 \h </w:instrText>
            </w:r>
            <w:r w:rsidR="003F08C1">
              <w:rPr>
                <w:noProof/>
                <w:webHidden/>
              </w:rPr>
            </w:r>
            <w:r w:rsidR="003F08C1">
              <w:rPr>
                <w:noProof/>
                <w:webHidden/>
              </w:rPr>
              <w:fldChar w:fldCharType="separate"/>
            </w:r>
            <w:r w:rsidR="003F08C1">
              <w:rPr>
                <w:noProof/>
                <w:webHidden/>
              </w:rPr>
              <w:t>13</w:t>
            </w:r>
            <w:r w:rsidR="003F08C1">
              <w:rPr>
                <w:noProof/>
                <w:webHidden/>
              </w:rPr>
              <w:fldChar w:fldCharType="end"/>
            </w:r>
          </w:hyperlink>
        </w:p>
        <w:p w14:paraId="6E538491" w14:textId="652A1CBB" w:rsidR="003F08C1" w:rsidRDefault="00C05150">
          <w:pPr>
            <w:pStyle w:val="TOC3"/>
            <w:tabs>
              <w:tab w:val="right" w:leader="dot" w:pos="9350"/>
            </w:tabs>
            <w:rPr>
              <w:rFonts w:asciiTheme="minorHAnsi" w:eastAsiaTheme="minorEastAsia" w:hAnsiTheme="minorHAnsi"/>
              <w:noProof/>
              <w:sz w:val="22"/>
            </w:rPr>
          </w:pPr>
          <w:hyperlink w:anchor="_Toc64285529" w:history="1">
            <w:r w:rsidR="003F08C1" w:rsidRPr="000F59C8">
              <w:rPr>
                <w:rStyle w:val="Hyperlink"/>
                <w:noProof/>
              </w:rPr>
              <w:t>Demographics</w:t>
            </w:r>
            <w:r w:rsidR="003F08C1">
              <w:rPr>
                <w:noProof/>
                <w:webHidden/>
              </w:rPr>
              <w:tab/>
            </w:r>
            <w:r w:rsidR="003F08C1">
              <w:rPr>
                <w:noProof/>
                <w:webHidden/>
              </w:rPr>
              <w:fldChar w:fldCharType="begin"/>
            </w:r>
            <w:r w:rsidR="003F08C1">
              <w:rPr>
                <w:noProof/>
                <w:webHidden/>
              </w:rPr>
              <w:instrText xml:space="preserve"> PAGEREF _Toc64285529 \h </w:instrText>
            </w:r>
            <w:r w:rsidR="003F08C1">
              <w:rPr>
                <w:noProof/>
                <w:webHidden/>
              </w:rPr>
            </w:r>
            <w:r w:rsidR="003F08C1">
              <w:rPr>
                <w:noProof/>
                <w:webHidden/>
              </w:rPr>
              <w:fldChar w:fldCharType="separate"/>
            </w:r>
            <w:r w:rsidR="003F08C1">
              <w:rPr>
                <w:noProof/>
                <w:webHidden/>
              </w:rPr>
              <w:t>14</w:t>
            </w:r>
            <w:r w:rsidR="003F08C1">
              <w:rPr>
                <w:noProof/>
                <w:webHidden/>
              </w:rPr>
              <w:fldChar w:fldCharType="end"/>
            </w:r>
          </w:hyperlink>
        </w:p>
        <w:p w14:paraId="1511B061" w14:textId="1BB741A7" w:rsidR="003F08C1" w:rsidRDefault="00C05150">
          <w:pPr>
            <w:pStyle w:val="TOC3"/>
            <w:tabs>
              <w:tab w:val="right" w:leader="dot" w:pos="9350"/>
            </w:tabs>
            <w:rPr>
              <w:rFonts w:asciiTheme="minorHAnsi" w:eastAsiaTheme="minorEastAsia" w:hAnsiTheme="minorHAnsi"/>
              <w:noProof/>
              <w:sz w:val="22"/>
            </w:rPr>
          </w:pPr>
          <w:hyperlink w:anchor="_Toc64285530" w:history="1">
            <w:r w:rsidR="003F08C1" w:rsidRPr="000F59C8">
              <w:rPr>
                <w:rStyle w:val="Hyperlink"/>
                <w:noProof/>
              </w:rPr>
              <w:t>PCR My Life Interview (MLI)</w:t>
            </w:r>
            <w:r w:rsidR="003F08C1">
              <w:rPr>
                <w:noProof/>
                <w:webHidden/>
              </w:rPr>
              <w:tab/>
            </w:r>
            <w:r w:rsidR="003F08C1">
              <w:rPr>
                <w:noProof/>
                <w:webHidden/>
              </w:rPr>
              <w:fldChar w:fldCharType="begin"/>
            </w:r>
            <w:r w:rsidR="003F08C1">
              <w:rPr>
                <w:noProof/>
                <w:webHidden/>
              </w:rPr>
              <w:instrText xml:space="preserve"> PAGEREF _Toc64285530 \h </w:instrText>
            </w:r>
            <w:r w:rsidR="003F08C1">
              <w:rPr>
                <w:noProof/>
                <w:webHidden/>
              </w:rPr>
            </w:r>
            <w:r w:rsidR="003F08C1">
              <w:rPr>
                <w:noProof/>
                <w:webHidden/>
              </w:rPr>
              <w:fldChar w:fldCharType="separate"/>
            </w:r>
            <w:r w:rsidR="003F08C1">
              <w:rPr>
                <w:noProof/>
                <w:webHidden/>
              </w:rPr>
              <w:t>15</w:t>
            </w:r>
            <w:r w:rsidR="003F08C1">
              <w:rPr>
                <w:noProof/>
                <w:webHidden/>
              </w:rPr>
              <w:fldChar w:fldCharType="end"/>
            </w:r>
          </w:hyperlink>
        </w:p>
        <w:p w14:paraId="62A83CE6" w14:textId="00C698F4" w:rsidR="003F08C1" w:rsidRDefault="00C05150">
          <w:pPr>
            <w:pStyle w:val="TOC3"/>
            <w:tabs>
              <w:tab w:val="right" w:leader="dot" w:pos="9350"/>
            </w:tabs>
            <w:rPr>
              <w:rFonts w:asciiTheme="minorHAnsi" w:eastAsiaTheme="minorEastAsia" w:hAnsiTheme="minorHAnsi"/>
              <w:noProof/>
              <w:sz w:val="22"/>
            </w:rPr>
          </w:pPr>
          <w:hyperlink w:anchor="_Toc64285531" w:history="1">
            <w:r w:rsidR="003F08C1" w:rsidRPr="000F59C8">
              <w:rPr>
                <w:rStyle w:val="Hyperlink"/>
                <w:noProof/>
              </w:rPr>
              <w:t>PCR Waiver Support Coordinator and CDC+ Consultant Record Reviews</w:t>
            </w:r>
            <w:r w:rsidR="003F08C1">
              <w:rPr>
                <w:noProof/>
                <w:webHidden/>
              </w:rPr>
              <w:tab/>
            </w:r>
            <w:r w:rsidR="003F08C1">
              <w:rPr>
                <w:noProof/>
                <w:webHidden/>
              </w:rPr>
              <w:fldChar w:fldCharType="begin"/>
            </w:r>
            <w:r w:rsidR="003F08C1">
              <w:rPr>
                <w:noProof/>
                <w:webHidden/>
              </w:rPr>
              <w:instrText xml:space="preserve"> PAGEREF _Toc64285531 \h </w:instrText>
            </w:r>
            <w:r w:rsidR="003F08C1">
              <w:rPr>
                <w:noProof/>
                <w:webHidden/>
              </w:rPr>
            </w:r>
            <w:r w:rsidR="003F08C1">
              <w:rPr>
                <w:noProof/>
                <w:webHidden/>
              </w:rPr>
              <w:fldChar w:fldCharType="separate"/>
            </w:r>
            <w:r w:rsidR="003F08C1">
              <w:rPr>
                <w:noProof/>
                <w:webHidden/>
              </w:rPr>
              <w:t>23</w:t>
            </w:r>
            <w:r w:rsidR="003F08C1">
              <w:rPr>
                <w:noProof/>
                <w:webHidden/>
              </w:rPr>
              <w:fldChar w:fldCharType="end"/>
            </w:r>
          </w:hyperlink>
        </w:p>
        <w:p w14:paraId="6B351E37" w14:textId="5628341F" w:rsidR="003F08C1" w:rsidRDefault="00C05150">
          <w:pPr>
            <w:pStyle w:val="TOC3"/>
            <w:tabs>
              <w:tab w:val="right" w:leader="dot" w:pos="9350"/>
            </w:tabs>
            <w:rPr>
              <w:rFonts w:asciiTheme="minorHAnsi" w:eastAsiaTheme="minorEastAsia" w:hAnsiTheme="minorHAnsi"/>
              <w:noProof/>
              <w:sz w:val="22"/>
            </w:rPr>
          </w:pPr>
          <w:hyperlink w:anchor="_Toc64285532" w:history="1">
            <w:r w:rsidR="003F08C1" w:rsidRPr="000F59C8">
              <w:rPr>
                <w:rStyle w:val="Hyperlink"/>
                <w:noProof/>
              </w:rPr>
              <w:t>CDC+ Representative (Representative)</w:t>
            </w:r>
            <w:r w:rsidR="003F08C1">
              <w:rPr>
                <w:noProof/>
                <w:webHidden/>
              </w:rPr>
              <w:tab/>
            </w:r>
            <w:r w:rsidR="003F08C1">
              <w:rPr>
                <w:noProof/>
                <w:webHidden/>
              </w:rPr>
              <w:fldChar w:fldCharType="begin"/>
            </w:r>
            <w:r w:rsidR="003F08C1">
              <w:rPr>
                <w:noProof/>
                <w:webHidden/>
              </w:rPr>
              <w:instrText xml:space="preserve"> PAGEREF _Toc64285532 \h </w:instrText>
            </w:r>
            <w:r w:rsidR="003F08C1">
              <w:rPr>
                <w:noProof/>
                <w:webHidden/>
              </w:rPr>
            </w:r>
            <w:r w:rsidR="003F08C1">
              <w:rPr>
                <w:noProof/>
                <w:webHidden/>
              </w:rPr>
              <w:fldChar w:fldCharType="separate"/>
            </w:r>
            <w:r w:rsidR="003F08C1">
              <w:rPr>
                <w:noProof/>
                <w:webHidden/>
              </w:rPr>
              <w:t>27</w:t>
            </w:r>
            <w:r w:rsidR="003F08C1">
              <w:rPr>
                <w:noProof/>
                <w:webHidden/>
              </w:rPr>
              <w:fldChar w:fldCharType="end"/>
            </w:r>
          </w:hyperlink>
        </w:p>
        <w:p w14:paraId="6FD51BF0" w14:textId="531B2710" w:rsidR="003F08C1" w:rsidRDefault="00C05150">
          <w:pPr>
            <w:pStyle w:val="TOC3"/>
            <w:tabs>
              <w:tab w:val="right" w:leader="dot" w:pos="9350"/>
            </w:tabs>
            <w:rPr>
              <w:rFonts w:asciiTheme="minorHAnsi" w:eastAsiaTheme="minorEastAsia" w:hAnsiTheme="minorHAnsi"/>
              <w:noProof/>
              <w:sz w:val="22"/>
            </w:rPr>
          </w:pPr>
          <w:hyperlink w:anchor="_Toc64285533" w:history="1">
            <w:r w:rsidR="003F08C1" w:rsidRPr="000F59C8">
              <w:rPr>
                <w:rStyle w:val="Hyperlink"/>
                <w:noProof/>
              </w:rPr>
              <w:t>PCR Summary Results</w:t>
            </w:r>
            <w:r w:rsidR="003F08C1">
              <w:rPr>
                <w:noProof/>
                <w:webHidden/>
              </w:rPr>
              <w:tab/>
            </w:r>
            <w:r w:rsidR="003F08C1">
              <w:rPr>
                <w:noProof/>
                <w:webHidden/>
              </w:rPr>
              <w:fldChar w:fldCharType="begin"/>
            </w:r>
            <w:r w:rsidR="003F08C1">
              <w:rPr>
                <w:noProof/>
                <w:webHidden/>
              </w:rPr>
              <w:instrText xml:space="preserve"> PAGEREF _Toc64285533 \h </w:instrText>
            </w:r>
            <w:r w:rsidR="003F08C1">
              <w:rPr>
                <w:noProof/>
                <w:webHidden/>
              </w:rPr>
            </w:r>
            <w:r w:rsidR="003F08C1">
              <w:rPr>
                <w:noProof/>
                <w:webHidden/>
              </w:rPr>
              <w:fldChar w:fldCharType="separate"/>
            </w:r>
            <w:r w:rsidR="003F08C1">
              <w:rPr>
                <w:noProof/>
                <w:webHidden/>
              </w:rPr>
              <w:t>29</w:t>
            </w:r>
            <w:r w:rsidR="003F08C1">
              <w:rPr>
                <w:noProof/>
                <w:webHidden/>
              </w:rPr>
              <w:fldChar w:fldCharType="end"/>
            </w:r>
          </w:hyperlink>
        </w:p>
        <w:p w14:paraId="5D9DBF0C" w14:textId="241C14F9" w:rsidR="003F08C1" w:rsidRDefault="00C05150">
          <w:pPr>
            <w:pStyle w:val="TOC3"/>
            <w:tabs>
              <w:tab w:val="right" w:leader="dot" w:pos="9350"/>
            </w:tabs>
            <w:rPr>
              <w:rFonts w:asciiTheme="minorHAnsi" w:eastAsiaTheme="minorEastAsia" w:hAnsiTheme="minorHAnsi"/>
              <w:noProof/>
              <w:sz w:val="22"/>
            </w:rPr>
          </w:pPr>
          <w:hyperlink w:anchor="_Toc64285534" w:history="1">
            <w:r w:rsidR="003F08C1" w:rsidRPr="000F59C8">
              <w:rPr>
                <w:rStyle w:val="Hyperlink"/>
                <w:noProof/>
              </w:rPr>
              <w:t>Health Summary</w:t>
            </w:r>
            <w:r w:rsidR="003F08C1">
              <w:rPr>
                <w:noProof/>
                <w:webHidden/>
              </w:rPr>
              <w:tab/>
            </w:r>
            <w:r w:rsidR="003F08C1">
              <w:rPr>
                <w:noProof/>
                <w:webHidden/>
              </w:rPr>
              <w:fldChar w:fldCharType="begin"/>
            </w:r>
            <w:r w:rsidR="003F08C1">
              <w:rPr>
                <w:noProof/>
                <w:webHidden/>
              </w:rPr>
              <w:instrText xml:space="preserve"> PAGEREF _Toc64285534 \h </w:instrText>
            </w:r>
            <w:r w:rsidR="003F08C1">
              <w:rPr>
                <w:noProof/>
                <w:webHidden/>
              </w:rPr>
            </w:r>
            <w:r w:rsidR="003F08C1">
              <w:rPr>
                <w:noProof/>
                <w:webHidden/>
              </w:rPr>
              <w:fldChar w:fldCharType="separate"/>
            </w:r>
            <w:r w:rsidR="003F08C1">
              <w:rPr>
                <w:noProof/>
                <w:webHidden/>
              </w:rPr>
              <w:t>30</w:t>
            </w:r>
            <w:r w:rsidR="003F08C1">
              <w:rPr>
                <w:noProof/>
                <w:webHidden/>
              </w:rPr>
              <w:fldChar w:fldCharType="end"/>
            </w:r>
          </w:hyperlink>
        </w:p>
        <w:p w14:paraId="07B708C1" w14:textId="7C2412AC" w:rsidR="003F08C1" w:rsidRDefault="00C05150">
          <w:pPr>
            <w:pStyle w:val="TOC2"/>
            <w:tabs>
              <w:tab w:val="right" w:leader="dot" w:pos="9350"/>
            </w:tabs>
            <w:rPr>
              <w:rFonts w:asciiTheme="minorHAnsi" w:eastAsiaTheme="minorEastAsia" w:hAnsiTheme="minorHAnsi"/>
              <w:noProof/>
              <w:sz w:val="22"/>
            </w:rPr>
          </w:pPr>
          <w:hyperlink w:anchor="_Toc64285535" w:history="1">
            <w:r w:rsidR="003F08C1" w:rsidRPr="000F59C8">
              <w:rPr>
                <w:rStyle w:val="Hyperlink"/>
                <w:noProof/>
              </w:rPr>
              <w:t>Provider Discovery Reviews (PDR)</w:t>
            </w:r>
            <w:r w:rsidR="003F08C1">
              <w:rPr>
                <w:noProof/>
                <w:webHidden/>
              </w:rPr>
              <w:tab/>
            </w:r>
            <w:r w:rsidR="003F08C1">
              <w:rPr>
                <w:noProof/>
                <w:webHidden/>
              </w:rPr>
              <w:fldChar w:fldCharType="begin"/>
            </w:r>
            <w:r w:rsidR="003F08C1">
              <w:rPr>
                <w:noProof/>
                <w:webHidden/>
              </w:rPr>
              <w:instrText xml:space="preserve"> PAGEREF _Toc64285535 \h </w:instrText>
            </w:r>
            <w:r w:rsidR="003F08C1">
              <w:rPr>
                <w:noProof/>
                <w:webHidden/>
              </w:rPr>
            </w:r>
            <w:r w:rsidR="003F08C1">
              <w:rPr>
                <w:noProof/>
                <w:webHidden/>
              </w:rPr>
              <w:fldChar w:fldCharType="separate"/>
            </w:r>
            <w:r w:rsidR="003F08C1">
              <w:rPr>
                <w:noProof/>
                <w:webHidden/>
              </w:rPr>
              <w:t>33</w:t>
            </w:r>
            <w:r w:rsidR="003F08C1">
              <w:rPr>
                <w:noProof/>
                <w:webHidden/>
              </w:rPr>
              <w:fldChar w:fldCharType="end"/>
            </w:r>
          </w:hyperlink>
        </w:p>
        <w:p w14:paraId="13D77BFA" w14:textId="1EA3B48A" w:rsidR="003F08C1" w:rsidRDefault="00C05150">
          <w:pPr>
            <w:pStyle w:val="TOC3"/>
            <w:tabs>
              <w:tab w:val="right" w:leader="dot" w:pos="9350"/>
            </w:tabs>
            <w:rPr>
              <w:rFonts w:asciiTheme="minorHAnsi" w:eastAsiaTheme="minorEastAsia" w:hAnsiTheme="minorHAnsi"/>
              <w:noProof/>
              <w:sz w:val="22"/>
            </w:rPr>
          </w:pPr>
          <w:hyperlink w:anchor="_Toc64285536" w:history="1">
            <w:r w:rsidR="003F08C1" w:rsidRPr="000F59C8">
              <w:rPr>
                <w:rStyle w:val="Hyperlink"/>
                <w:noProof/>
              </w:rPr>
              <w:t>PDR My Life Interview</w:t>
            </w:r>
            <w:r w:rsidR="003F08C1">
              <w:rPr>
                <w:noProof/>
                <w:webHidden/>
              </w:rPr>
              <w:tab/>
            </w:r>
            <w:r w:rsidR="003F08C1">
              <w:rPr>
                <w:noProof/>
                <w:webHidden/>
              </w:rPr>
              <w:fldChar w:fldCharType="begin"/>
            </w:r>
            <w:r w:rsidR="003F08C1">
              <w:rPr>
                <w:noProof/>
                <w:webHidden/>
              </w:rPr>
              <w:instrText xml:space="preserve"> PAGEREF _Toc64285536 \h </w:instrText>
            </w:r>
            <w:r w:rsidR="003F08C1">
              <w:rPr>
                <w:noProof/>
                <w:webHidden/>
              </w:rPr>
            </w:r>
            <w:r w:rsidR="003F08C1">
              <w:rPr>
                <w:noProof/>
                <w:webHidden/>
              </w:rPr>
              <w:fldChar w:fldCharType="separate"/>
            </w:r>
            <w:r w:rsidR="003F08C1">
              <w:rPr>
                <w:noProof/>
                <w:webHidden/>
              </w:rPr>
              <w:t>34</w:t>
            </w:r>
            <w:r w:rsidR="003F08C1">
              <w:rPr>
                <w:noProof/>
                <w:webHidden/>
              </w:rPr>
              <w:fldChar w:fldCharType="end"/>
            </w:r>
          </w:hyperlink>
        </w:p>
        <w:p w14:paraId="4CBBF193" w14:textId="06D19C27" w:rsidR="003F08C1" w:rsidRDefault="00C05150">
          <w:pPr>
            <w:pStyle w:val="TOC3"/>
            <w:tabs>
              <w:tab w:val="right" w:leader="dot" w:pos="9350"/>
            </w:tabs>
            <w:rPr>
              <w:rFonts w:asciiTheme="minorHAnsi" w:eastAsiaTheme="minorEastAsia" w:hAnsiTheme="minorHAnsi"/>
              <w:noProof/>
              <w:sz w:val="22"/>
            </w:rPr>
          </w:pPr>
          <w:hyperlink w:anchor="_Toc64285537" w:history="1">
            <w:r w:rsidR="003F08C1" w:rsidRPr="000F59C8">
              <w:rPr>
                <w:rStyle w:val="Hyperlink"/>
                <w:noProof/>
              </w:rPr>
              <w:t>Observations</w:t>
            </w:r>
            <w:r w:rsidR="003F08C1">
              <w:rPr>
                <w:noProof/>
                <w:webHidden/>
              </w:rPr>
              <w:tab/>
            </w:r>
            <w:r w:rsidR="003F08C1">
              <w:rPr>
                <w:noProof/>
                <w:webHidden/>
              </w:rPr>
              <w:fldChar w:fldCharType="begin"/>
            </w:r>
            <w:r w:rsidR="003F08C1">
              <w:rPr>
                <w:noProof/>
                <w:webHidden/>
              </w:rPr>
              <w:instrText xml:space="preserve"> PAGEREF _Toc64285537 \h </w:instrText>
            </w:r>
            <w:r w:rsidR="003F08C1">
              <w:rPr>
                <w:noProof/>
                <w:webHidden/>
              </w:rPr>
            </w:r>
            <w:r w:rsidR="003F08C1">
              <w:rPr>
                <w:noProof/>
                <w:webHidden/>
              </w:rPr>
              <w:fldChar w:fldCharType="separate"/>
            </w:r>
            <w:r w:rsidR="003F08C1">
              <w:rPr>
                <w:noProof/>
                <w:webHidden/>
              </w:rPr>
              <w:t>36</w:t>
            </w:r>
            <w:r w:rsidR="003F08C1">
              <w:rPr>
                <w:noProof/>
                <w:webHidden/>
              </w:rPr>
              <w:fldChar w:fldCharType="end"/>
            </w:r>
          </w:hyperlink>
        </w:p>
        <w:p w14:paraId="612F6061" w14:textId="4417998C" w:rsidR="003F08C1" w:rsidRDefault="00C05150">
          <w:pPr>
            <w:pStyle w:val="TOC3"/>
            <w:tabs>
              <w:tab w:val="right" w:leader="dot" w:pos="9350"/>
            </w:tabs>
            <w:rPr>
              <w:rFonts w:asciiTheme="minorHAnsi" w:eastAsiaTheme="minorEastAsia" w:hAnsiTheme="minorHAnsi"/>
              <w:noProof/>
              <w:sz w:val="22"/>
            </w:rPr>
          </w:pPr>
          <w:hyperlink w:anchor="_Toc64285538" w:history="1">
            <w:r w:rsidR="003F08C1" w:rsidRPr="000F59C8">
              <w:rPr>
                <w:rStyle w:val="Hyperlink"/>
                <w:noProof/>
              </w:rPr>
              <w:t>Administrative Policies and Procedures</w:t>
            </w:r>
            <w:r w:rsidR="003F08C1">
              <w:rPr>
                <w:noProof/>
                <w:webHidden/>
              </w:rPr>
              <w:tab/>
            </w:r>
            <w:r w:rsidR="003F08C1">
              <w:rPr>
                <w:noProof/>
                <w:webHidden/>
              </w:rPr>
              <w:fldChar w:fldCharType="begin"/>
            </w:r>
            <w:r w:rsidR="003F08C1">
              <w:rPr>
                <w:noProof/>
                <w:webHidden/>
              </w:rPr>
              <w:instrText xml:space="preserve"> PAGEREF _Toc64285538 \h </w:instrText>
            </w:r>
            <w:r w:rsidR="003F08C1">
              <w:rPr>
                <w:noProof/>
                <w:webHidden/>
              </w:rPr>
            </w:r>
            <w:r w:rsidR="003F08C1">
              <w:rPr>
                <w:noProof/>
                <w:webHidden/>
              </w:rPr>
              <w:fldChar w:fldCharType="separate"/>
            </w:r>
            <w:r w:rsidR="003F08C1">
              <w:rPr>
                <w:noProof/>
                <w:webHidden/>
              </w:rPr>
              <w:t>36</w:t>
            </w:r>
            <w:r w:rsidR="003F08C1">
              <w:rPr>
                <w:noProof/>
                <w:webHidden/>
              </w:rPr>
              <w:fldChar w:fldCharType="end"/>
            </w:r>
          </w:hyperlink>
        </w:p>
        <w:p w14:paraId="71914A1E" w14:textId="1F60AB0D" w:rsidR="003F08C1" w:rsidRDefault="00C05150">
          <w:pPr>
            <w:pStyle w:val="TOC3"/>
            <w:tabs>
              <w:tab w:val="right" w:leader="dot" w:pos="9350"/>
            </w:tabs>
            <w:rPr>
              <w:rFonts w:asciiTheme="minorHAnsi" w:eastAsiaTheme="minorEastAsia" w:hAnsiTheme="minorHAnsi"/>
              <w:noProof/>
              <w:sz w:val="22"/>
            </w:rPr>
          </w:pPr>
          <w:hyperlink w:anchor="_Toc64285539" w:history="1">
            <w:r w:rsidR="003F08C1" w:rsidRPr="000F59C8">
              <w:rPr>
                <w:rStyle w:val="Hyperlink"/>
                <w:noProof/>
              </w:rPr>
              <w:t>Qualifications and Training Requirements</w:t>
            </w:r>
            <w:r w:rsidR="003F08C1">
              <w:rPr>
                <w:noProof/>
                <w:webHidden/>
              </w:rPr>
              <w:tab/>
            </w:r>
            <w:r w:rsidR="003F08C1">
              <w:rPr>
                <w:noProof/>
                <w:webHidden/>
              </w:rPr>
              <w:fldChar w:fldCharType="begin"/>
            </w:r>
            <w:r w:rsidR="003F08C1">
              <w:rPr>
                <w:noProof/>
                <w:webHidden/>
              </w:rPr>
              <w:instrText xml:space="preserve"> PAGEREF _Toc64285539 \h </w:instrText>
            </w:r>
            <w:r w:rsidR="003F08C1">
              <w:rPr>
                <w:noProof/>
                <w:webHidden/>
              </w:rPr>
            </w:r>
            <w:r w:rsidR="003F08C1">
              <w:rPr>
                <w:noProof/>
                <w:webHidden/>
              </w:rPr>
              <w:fldChar w:fldCharType="separate"/>
            </w:r>
            <w:r w:rsidR="003F08C1">
              <w:rPr>
                <w:noProof/>
                <w:webHidden/>
              </w:rPr>
              <w:t>40</w:t>
            </w:r>
            <w:r w:rsidR="003F08C1">
              <w:rPr>
                <w:noProof/>
                <w:webHidden/>
              </w:rPr>
              <w:fldChar w:fldCharType="end"/>
            </w:r>
          </w:hyperlink>
        </w:p>
        <w:p w14:paraId="6DD55BC7" w14:textId="0BEE03EF" w:rsidR="003F08C1" w:rsidRDefault="00C05150">
          <w:pPr>
            <w:pStyle w:val="TOC3"/>
            <w:tabs>
              <w:tab w:val="right" w:leader="dot" w:pos="9350"/>
            </w:tabs>
            <w:rPr>
              <w:rFonts w:asciiTheme="minorHAnsi" w:eastAsiaTheme="minorEastAsia" w:hAnsiTheme="minorHAnsi"/>
              <w:noProof/>
              <w:sz w:val="22"/>
            </w:rPr>
          </w:pPr>
          <w:hyperlink w:anchor="_Toc64285540" w:history="1">
            <w:r w:rsidR="003F08C1" w:rsidRPr="000F59C8">
              <w:rPr>
                <w:rStyle w:val="Hyperlink"/>
                <w:noProof/>
              </w:rPr>
              <w:t>Service Specific Record Review Results (SSRR)</w:t>
            </w:r>
            <w:r w:rsidR="003F08C1">
              <w:rPr>
                <w:noProof/>
                <w:webHidden/>
              </w:rPr>
              <w:tab/>
            </w:r>
            <w:r w:rsidR="003F08C1">
              <w:rPr>
                <w:noProof/>
                <w:webHidden/>
              </w:rPr>
              <w:fldChar w:fldCharType="begin"/>
            </w:r>
            <w:r w:rsidR="003F08C1">
              <w:rPr>
                <w:noProof/>
                <w:webHidden/>
              </w:rPr>
              <w:instrText xml:space="preserve"> PAGEREF _Toc64285540 \h </w:instrText>
            </w:r>
            <w:r w:rsidR="003F08C1">
              <w:rPr>
                <w:noProof/>
                <w:webHidden/>
              </w:rPr>
            </w:r>
            <w:r w:rsidR="003F08C1">
              <w:rPr>
                <w:noProof/>
                <w:webHidden/>
              </w:rPr>
              <w:fldChar w:fldCharType="separate"/>
            </w:r>
            <w:r w:rsidR="003F08C1">
              <w:rPr>
                <w:noProof/>
                <w:webHidden/>
              </w:rPr>
              <w:t>45</w:t>
            </w:r>
            <w:r w:rsidR="003F08C1">
              <w:rPr>
                <w:noProof/>
                <w:webHidden/>
              </w:rPr>
              <w:fldChar w:fldCharType="end"/>
            </w:r>
          </w:hyperlink>
        </w:p>
        <w:p w14:paraId="2D2EDD4D" w14:textId="3B3D07D7" w:rsidR="003F08C1" w:rsidRDefault="00C05150">
          <w:pPr>
            <w:pStyle w:val="TOC3"/>
            <w:tabs>
              <w:tab w:val="right" w:leader="dot" w:pos="9350"/>
            </w:tabs>
            <w:rPr>
              <w:rFonts w:asciiTheme="minorHAnsi" w:eastAsiaTheme="minorEastAsia" w:hAnsiTheme="minorHAnsi"/>
              <w:noProof/>
              <w:sz w:val="22"/>
            </w:rPr>
          </w:pPr>
          <w:hyperlink w:anchor="_Toc64285541" w:history="1">
            <w:r w:rsidR="003F08C1" w:rsidRPr="000F59C8">
              <w:rPr>
                <w:rStyle w:val="Hyperlink"/>
                <w:noProof/>
              </w:rPr>
              <w:t>Alerts</w:t>
            </w:r>
            <w:r w:rsidR="003F08C1">
              <w:rPr>
                <w:noProof/>
                <w:webHidden/>
              </w:rPr>
              <w:tab/>
            </w:r>
            <w:r w:rsidR="003F08C1">
              <w:rPr>
                <w:noProof/>
                <w:webHidden/>
              </w:rPr>
              <w:fldChar w:fldCharType="begin"/>
            </w:r>
            <w:r w:rsidR="003F08C1">
              <w:rPr>
                <w:noProof/>
                <w:webHidden/>
              </w:rPr>
              <w:instrText xml:space="preserve"> PAGEREF _Toc64285541 \h </w:instrText>
            </w:r>
            <w:r w:rsidR="003F08C1">
              <w:rPr>
                <w:noProof/>
                <w:webHidden/>
              </w:rPr>
            </w:r>
            <w:r w:rsidR="003F08C1">
              <w:rPr>
                <w:noProof/>
                <w:webHidden/>
              </w:rPr>
              <w:fldChar w:fldCharType="separate"/>
            </w:r>
            <w:r w:rsidR="003F08C1">
              <w:rPr>
                <w:noProof/>
                <w:webHidden/>
              </w:rPr>
              <w:t>48</w:t>
            </w:r>
            <w:r w:rsidR="003F08C1">
              <w:rPr>
                <w:noProof/>
                <w:webHidden/>
              </w:rPr>
              <w:fldChar w:fldCharType="end"/>
            </w:r>
          </w:hyperlink>
        </w:p>
        <w:p w14:paraId="79EC9E1F" w14:textId="39EBBA53" w:rsidR="003F08C1" w:rsidRDefault="00C05150">
          <w:pPr>
            <w:pStyle w:val="TOC3"/>
            <w:tabs>
              <w:tab w:val="right" w:leader="dot" w:pos="9350"/>
            </w:tabs>
            <w:rPr>
              <w:rFonts w:asciiTheme="minorHAnsi" w:eastAsiaTheme="minorEastAsia" w:hAnsiTheme="minorHAnsi"/>
              <w:noProof/>
              <w:sz w:val="22"/>
            </w:rPr>
          </w:pPr>
          <w:hyperlink w:anchor="_Toc64285542" w:history="1">
            <w:r w:rsidR="003F08C1" w:rsidRPr="000F59C8">
              <w:rPr>
                <w:rStyle w:val="Hyperlink"/>
                <w:noProof/>
              </w:rPr>
              <w:t>Background Screening</w:t>
            </w:r>
            <w:r w:rsidR="003F08C1">
              <w:rPr>
                <w:noProof/>
                <w:webHidden/>
              </w:rPr>
              <w:tab/>
            </w:r>
            <w:r w:rsidR="003F08C1">
              <w:rPr>
                <w:noProof/>
                <w:webHidden/>
              </w:rPr>
              <w:fldChar w:fldCharType="begin"/>
            </w:r>
            <w:r w:rsidR="003F08C1">
              <w:rPr>
                <w:noProof/>
                <w:webHidden/>
              </w:rPr>
              <w:instrText xml:space="preserve"> PAGEREF _Toc64285542 \h </w:instrText>
            </w:r>
            <w:r w:rsidR="003F08C1">
              <w:rPr>
                <w:noProof/>
                <w:webHidden/>
              </w:rPr>
            </w:r>
            <w:r w:rsidR="003F08C1">
              <w:rPr>
                <w:noProof/>
                <w:webHidden/>
              </w:rPr>
              <w:fldChar w:fldCharType="separate"/>
            </w:r>
            <w:r w:rsidR="003F08C1">
              <w:rPr>
                <w:noProof/>
                <w:webHidden/>
              </w:rPr>
              <w:t>49</w:t>
            </w:r>
            <w:r w:rsidR="003F08C1">
              <w:rPr>
                <w:noProof/>
                <w:webHidden/>
              </w:rPr>
              <w:fldChar w:fldCharType="end"/>
            </w:r>
          </w:hyperlink>
        </w:p>
        <w:p w14:paraId="057B1296" w14:textId="02EE67E1" w:rsidR="003F08C1" w:rsidRDefault="00C05150">
          <w:pPr>
            <w:pStyle w:val="TOC3"/>
            <w:tabs>
              <w:tab w:val="right" w:leader="dot" w:pos="9350"/>
            </w:tabs>
            <w:rPr>
              <w:rFonts w:asciiTheme="minorHAnsi" w:eastAsiaTheme="minorEastAsia" w:hAnsiTheme="minorHAnsi"/>
              <w:noProof/>
              <w:sz w:val="22"/>
            </w:rPr>
          </w:pPr>
          <w:hyperlink w:anchor="_Toc64285543" w:history="1">
            <w:r w:rsidR="003F08C1" w:rsidRPr="000F59C8">
              <w:rPr>
                <w:rStyle w:val="Hyperlink"/>
                <w:noProof/>
              </w:rPr>
              <w:t>Potential Billing Discrepancy</w:t>
            </w:r>
            <w:r w:rsidR="003F08C1">
              <w:rPr>
                <w:noProof/>
                <w:webHidden/>
              </w:rPr>
              <w:tab/>
            </w:r>
            <w:r w:rsidR="003F08C1">
              <w:rPr>
                <w:noProof/>
                <w:webHidden/>
              </w:rPr>
              <w:fldChar w:fldCharType="begin"/>
            </w:r>
            <w:r w:rsidR="003F08C1">
              <w:rPr>
                <w:noProof/>
                <w:webHidden/>
              </w:rPr>
              <w:instrText xml:space="preserve"> PAGEREF _Toc64285543 \h </w:instrText>
            </w:r>
            <w:r w:rsidR="003F08C1">
              <w:rPr>
                <w:noProof/>
                <w:webHidden/>
              </w:rPr>
            </w:r>
            <w:r w:rsidR="003F08C1">
              <w:rPr>
                <w:noProof/>
                <w:webHidden/>
              </w:rPr>
              <w:fldChar w:fldCharType="separate"/>
            </w:r>
            <w:r w:rsidR="003F08C1">
              <w:rPr>
                <w:noProof/>
                <w:webHidden/>
              </w:rPr>
              <w:t>49</w:t>
            </w:r>
            <w:r w:rsidR="003F08C1">
              <w:rPr>
                <w:noProof/>
                <w:webHidden/>
              </w:rPr>
              <w:fldChar w:fldCharType="end"/>
            </w:r>
          </w:hyperlink>
        </w:p>
        <w:p w14:paraId="5D84B9C4" w14:textId="18932629" w:rsidR="003F08C1" w:rsidRDefault="00C05150">
          <w:pPr>
            <w:pStyle w:val="TOC3"/>
            <w:tabs>
              <w:tab w:val="right" w:leader="dot" w:pos="9350"/>
            </w:tabs>
            <w:rPr>
              <w:rFonts w:asciiTheme="minorHAnsi" w:eastAsiaTheme="minorEastAsia" w:hAnsiTheme="minorHAnsi"/>
              <w:noProof/>
              <w:sz w:val="22"/>
            </w:rPr>
          </w:pPr>
          <w:hyperlink w:anchor="_Toc64285544" w:history="1">
            <w:r w:rsidR="003F08C1" w:rsidRPr="000F59C8">
              <w:rPr>
                <w:rStyle w:val="Hyperlink"/>
                <w:noProof/>
              </w:rPr>
              <w:t>PDR Summary Results</w:t>
            </w:r>
            <w:r w:rsidR="003F08C1">
              <w:rPr>
                <w:noProof/>
                <w:webHidden/>
              </w:rPr>
              <w:tab/>
            </w:r>
            <w:r w:rsidR="003F08C1">
              <w:rPr>
                <w:noProof/>
                <w:webHidden/>
              </w:rPr>
              <w:fldChar w:fldCharType="begin"/>
            </w:r>
            <w:r w:rsidR="003F08C1">
              <w:rPr>
                <w:noProof/>
                <w:webHidden/>
              </w:rPr>
              <w:instrText xml:space="preserve"> PAGEREF _Toc64285544 \h </w:instrText>
            </w:r>
            <w:r w:rsidR="003F08C1">
              <w:rPr>
                <w:noProof/>
                <w:webHidden/>
              </w:rPr>
            </w:r>
            <w:r w:rsidR="003F08C1">
              <w:rPr>
                <w:noProof/>
                <w:webHidden/>
              </w:rPr>
              <w:fldChar w:fldCharType="separate"/>
            </w:r>
            <w:r w:rsidR="003F08C1">
              <w:rPr>
                <w:noProof/>
                <w:webHidden/>
              </w:rPr>
              <w:t>51</w:t>
            </w:r>
            <w:r w:rsidR="003F08C1">
              <w:rPr>
                <w:noProof/>
                <w:webHidden/>
              </w:rPr>
              <w:fldChar w:fldCharType="end"/>
            </w:r>
          </w:hyperlink>
        </w:p>
        <w:p w14:paraId="47D773A9" w14:textId="3CAF8D1A" w:rsidR="003F08C1" w:rsidRDefault="00C05150">
          <w:pPr>
            <w:pStyle w:val="TOC1"/>
            <w:rPr>
              <w:rFonts w:asciiTheme="minorHAnsi" w:eastAsiaTheme="minorEastAsia" w:hAnsiTheme="minorHAnsi"/>
              <w:noProof/>
              <w:sz w:val="22"/>
            </w:rPr>
          </w:pPr>
          <w:hyperlink w:anchor="_Toc64285545" w:history="1">
            <w:r w:rsidR="003F08C1" w:rsidRPr="000F59C8">
              <w:rPr>
                <w:rStyle w:val="Hyperlink"/>
                <w:noProof/>
              </w:rPr>
              <w:t>Section III:  Discussion and Recommendations</w:t>
            </w:r>
            <w:r w:rsidR="003F08C1">
              <w:rPr>
                <w:noProof/>
                <w:webHidden/>
              </w:rPr>
              <w:tab/>
            </w:r>
            <w:r w:rsidR="003F08C1">
              <w:rPr>
                <w:noProof/>
                <w:webHidden/>
              </w:rPr>
              <w:fldChar w:fldCharType="begin"/>
            </w:r>
            <w:r w:rsidR="003F08C1">
              <w:rPr>
                <w:noProof/>
                <w:webHidden/>
              </w:rPr>
              <w:instrText xml:space="preserve"> PAGEREF _Toc64285545 \h </w:instrText>
            </w:r>
            <w:r w:rsidR="003F08C1">
              <w:rPr>
                <w:noProof/>
                <w:webHidden/>
              </w:rPr>
            </w:r>
            <w:r w:rsidR="003F08C1">
              <w:rPr>
                <w:noProof/>
                <w:webHidden/>
              </w:rPr>
              <w:fldChar w:fldCharType="separate"/>
            </w:r>
            <w:r w:rsidR="003F08C1">
              <w:rPr>
                <w:noProof/>
                <w:webHidden/>
              </w:rPr>
              <w:t>54</w:t>
            </w:r>
            <w:r w:rsidR="003F08C1">
              <w:rPr>
                <w:noProof/>
                <w:webHidden/>
              </w:rPr>
              <w:fldChar w:fldCharType="end"/>
            </w:r>
          </w:hyperlink>
        </w:p>
        <w:p w14:paraId="2F7D03F8" w14:textId="522543A5" w:rsidR="003F08C1" w:rsidRDefault="00C05150">
          <w:pPr>
            <w:pStyle w:val="TOC2"/>
            <w:tabs>
              <w:tab w:val="right" w:leader="dot" w:pos="9350"/>
            </w:tabs>
            <w:rPr>
              <w:rFonts w:asciiTheme="minorHAnsi" w:eastAsiaTheme="minorEastAsia" w:hAnsiTheme="minorHAnsi"/>
              <w:noProof/>
              <w:sz w:val="22"/>
            </w:rPr>
          </w:pPr>
          <w:hyperlink w:anchor="_Toc64285546" w:history="1">
            <w:r w:rsidR="003F08C1" w:rsidRPr="000F59C8">
              <w:rPr>
                <w:rStyle w:val="Hyperlink"/>
                <w:noProof/>
              </w:rPr>
              <w:t>Overall Review Findings</w:t>
            </w:r>
            <w:r w:rsidR="003F08C1">
              <w:rPr>
                <w:noProof/>
                <w:webHidden/>
              </w:rPr>
              <w:tab/>
            </w:r>
            <w:r w:rsidR="003F08C1">
              <w:rPr>
                <w:noProof/>
                <w:webHidden/>
              </w:rPr>
              <w:fldChar w:fldCharType="begin"/>
            </w:r>
            <w:r w:rsidR="003F08C1">
              <w:rPr>
                <w:noProof/>
                <w:webHidden/>
              </w:rPr>
              <w:instrText xml:space="preserve"> PAGEREF _Toc64285546 \h </w:instrText>
            </w:r>
            <w:r w:rsidR="003F08C1">
              <w:rPr>
                <w:noProof/>
                <w:webHidden/>
              </w:rPr>
            </w:r>
            <w:r w:rsidR="003F08C1">
              <w:rPr>
                <w:noProof/>
                <w:webHidden/>
              </w:rPr>
              <w:fldChar w:fldCharType="separate"/>
            </w:r>
            <w:r w:rsidR="003F08C1">
              <w:rPr>
                <w:noProof/>
                <w:webHidden/>
              </w:rPr>
              <w:t>54</w:t>
            </w:r>
            <w:r w:rsidR="003F08C1">
              <w:rPr>
                <w:noProof/>
                <w:webHidden/>
              </w:rPr>
              <w:fldChar w:fldCharType="end"/>
            </w:r>
          </w:hyperlink>
        </w:p>
        <w:p w14:paraId="6A0E184F" w14:textId="4F6E4FC9" w:rsidR="003F08C1" w:rsidRDefault="00C05150">
          <w:pPr>
            <w:pStyle w:val="TOC2"/>
            <w:tabs>
              <w:tab w:val="right" w:leader="dot" w:pos="9350"/>
            </w:tabs>
            <w:rPr>
              <w:rFonts w:asciiTheme="minorHAnsi" w:eastAsiaTheme="minorEastAsia" w:hAnsiTheme="minorHAnsi"/>
              <w:noProof/>
              <w:sz w:val="22"/>
            </w:rPr>
          </w:pPr>
          <w:hyperlink w:anchor="_Toc64285547" w:history="1">
            <w:r w:rsidR="003F08C1" w:rsidRPr="000F59C8">
              <w:rPr>
                <w:rStyle w:val="Hyperlink"/>
                <w:noProof/>
              </w:rPr>
              <w:t>Recommendations</w:t>
            </w:r>
            <w:r w:rsidR="003F08C1">
              <w:rPr>
                <w:noProof/>
                <w:webHidden/>
              </w:rPr>
              <w:tab/>
            </w:r>
            <w:r w:rsidR="003F08C1">
              <w:rPr>
                <w:noProof/>
                <w:webHidden/>
              </w:rPr>
              <w:fldChar w:fldCharType="begin"/>
            </w:r>
            <w:r w:rsidR="003F08C1">
              <w:rPr>
                <w:noProof/>
                <w:webHidden/>
              </w:rPr>
              <w:instrText xml:space="preserve"> PAGEREF _Toc64285547 \h </w:instrText>
            </w:r>
            <w:r w:rsidR="003F08C1">
              <w:rPr>
                <w:noProof/>
                <w:webHidden/>
              </w:rPr>
            </w:r>
            <w:r w:rsidR="003F08C1">
              <w:rPr>
                <w:noProof/>
                <w:webHidden/>
              </w:rPr>
              <w:fldChar w:fldCharType="separate"/>
            </w:r>
            <w:r w:rsidR="003F08C1">
              <w:rPr>
                <w:noProof/>
                <w:webHidden/>
              </w:rPr>
              <w:t>55</w:t>
            </w:r>
            <w:r w:rsidR="003F08C1">
              <w:rPr>
                <w:noProof/>
                <w:webHidden/>
              </w:rPr>
              <w:fldChar w:fldCharType="end"/>
            </w:r>
          </w:hyperlink>
        </w:p>
        <w:p w14:paraId="39C77906" w14:textId="00CC59E6" w:rsidR="003F08C1" w:rsidRDefault="00C05150">
          <w:pPr>
            <w:pStyle w:val="TOC3"/>
            <w:tabs>
              <w:tab w:val="right" w:leader="dot" w:pos="9350"/>
            </w:tabs>
            <w:rPr>
              <w:rFonts w:asciiTheme="minorHAnsi" w:eastAsiaTheme="minorEastAsia" w:hAnsiTheme="minorHAnsi"/>
              <w:noProof/>
              <w:sz w:val="22"/>
            </w:rPr>
          </w:pPr>
          <w:hyperlink w:anchor="_Toc64285548" w:history="1">
            <w:r w:rsidR="003F08C1" w:rsidRPr="000F59C8">
              <w:rPr>
                <w:rStyle w:val="Hyperlink"/>
                <w:noProof/>
              </w:rPr>
              <w:t>Safety</w:t>
            </w:r>
            <w:r w:rsidR="003F08C1">
              <w:rPr>
                <w:noProof/>
                <w:webHidden/>
              </w:rPr>
              <w:tab/>
            </w:r>
            <w:r w:rsidR="003F08C1">
              <w:rPr>
                <w:noProof/>
                <w:webHidden/>
              </w:rPr>
              <w:fldChar w:fldCharType="begin"/>
            </w:r>
            <w:r w:rsidR="003F08C1">
              <w:rPr>
                <w:noProof/>
                <w:webHidden/>
              </w:rPr>
              <w:instrText xml:space="preserve"> PAGEREF _Toc64285548 \h </w:instrText>
            </w:r>
            <w:r w:rsidR="003F08C1">
              <w:rPr>
                <w:noProof/>
                <w:webHidden/>
              </w:rPr>
            </w:r>
            <w:r w:rsidR="003F08C1">
              <w:rPr>
                <w:noProof/>
                <w:webHidden/>
              </w:rPr>
              <w:fldChar w:fldCharType="separate"/>
            </w:r>
            <w:r w:rsidR="003F08C1">
              <w:rPr>
                <w:noProof/>
                <w:webHidden/>
              </w:rPr>
              <w:t>55</w:t>
            </w:r>
            <w:r w:rsidR="003F08C1">
              <w:rPr>
                <w:noProof/>
                <w:webHidden/>
              </w:rPr>
              <w:fldChar w:fldCharType="end"/>
            </w:r>
          </w:hyperlink>
        </w:p>
        <w:p w14:paraId="347AAB5B" w14:textId="25C65681" w:rsidR="003F08C1" w:rsidRDefault="00C05150">
          <w:pPr>
            <w:pStyle w:val="TOC3"/>
            <w:tabs>
              <w:tab w:val="right" w:leader="dot" w:pos="9350"/>
            </w:tabs>
            <w:rPr>
              <w:rFonts w:asciiTheme="minorHAnsi" w:eastAsiaTheme="minorEastAsia" w:hAnsiTheme="minorHAnsi"/>
              <w:noProof/>
              <w:sz w:val="22"/>
            </w:rPr>
          </w:pPr>
          <w:hyperlink w:anchor="_Toc64285549" w:history="1">
            <w:r w:rsidR="003F08C1" w:rsidRPr="000F59C8">
              <w:rPr>
                <w:rStyle w:val="Hyperlink"/>
                <w:noProof/>
              </w:rPr>
              <w:t>Possible Impact from the Coronavirus Pandemic</w:t>
            </w:r>
            <w:r w:rsidR="003F08C1">
              <w:rPr>
                <w:noProof/>
                <w:webHidden/>
              </w:rPr>
              <w:tab/>
            </w:r>
            <w:r w:rsidR="003F08C1">
              <w:rPr>
                <w:noProof/>
                <w:webHidden/>
              </w:rPr>
              <w:fldChar w:fldCharType="begin"/>
            </w:r>
            <w:r w:rsidR="003F08C1">
              <w:rPr>
                <w:noProof/>
                <w:webHidden/>
              </w:rPr>
              <w:instrText xml:space="preserve"> PAGEREF _Toc64285549 \h </w:instrText>
            </w:r>
            <w:r w:rsidR="003F08C1">
              <w:rPr>
                <w:noProof/>
                <w:webHidden/>
              </w:rPr>
            </w:r>
            <w:r w:rsidR="003F08C1">
              <w:rPr>
                <w:noProof/>
                <w:webHidden/>
              </w:rPr>
              <w:fldChar w:fldCharType="separate"/>
            </w:r>
            <w:r w:rsidR="003F08C1">
              <w:rPr>
                <w:noProof/>
                <w:webHidden/>
              </w:rPr>
              <w:t>56</w:t>
            </w:r>
            <w:r w:rsidR="003F08C1">
              <w:rPr>
                <w:noProof/>
                <w:webHidden/>
              </w:rPr>
              <w:fldChar w:fldCharType="end"/>
            </w:r>
          </w:hyperlink>
        </w:p>
        <w:p w14:paraId="610C832B" w14:textId="5DB7D1B0" w:rsidR="003F08C1" w:rsidRDefault="00C05150">
          <w:pPr>
            <w:pStyle w:val="TOC3"/>
            <w:tabs>
              <w:tab w:val="right" w:leader="dot" w:pos="9350"/>
            </w:tabs>
            <w:rPr>
              <w:rFonts w:asciiTheme="minorHAnsi" w:eastAsiaTheme="minorEastAsia" w:hAnsiTheme="minorHAnsi"/>
              <w:noProof/>
              <w:sz w:val="22"/>
            </w:rPr>
          </w:pPr>
          <w:hyperlink w:anchor="_Toc64285550" w:history="1">
            <w:r w:rsidR="003F08C1" w:rsidRPr="000F59C8">
              <w:rPr>
                <w:rStyle w:val="Hyperlink"/>
                <w:noProof/>
              </w:rPr>
              <w:t>Medication Use</w:t>
            </w:r>
            <w:r w:rsidR="003F08C1">
              <w:rPr>
                <w:noProof/>
                <w:webHidden/>
              </w:rPr>
              <w:tab/>
            </w:r>
            <w:r w:rsidR="003F08C1">
              <w:rPr>
                <w:noProof/>
                <w:webHidden/>
              </w:rPr>
              <w:fldChar w:fldCharType="begin"/>
            </w:r>
            <w:r w:rsidR="003F08C1">
              <w:rPr>
                <w:noProof/>
                <w:webHidden/>
              </w:rPr>
              <w:instrText xml:space="preserve"> PAGEREF _Toc64285550 \h </w:instrText>
            </w:r>
            <w:r w:rsidR="003F08C1">
              <w:rPr>
                <w:noProof/>
                <w:webHidden/>
              </w:rPr>
            </w:r>
            <w:r w:rsidR="003F08C1">
              <w:rPr>
                <w:noProof/>
                <w:webHidden/>
              </w:rPr>
              <w:fldChar w:fldCharType="separate"/>
            </w:r>
            <w:r w:rsidR="003F08C1">
              <w:rPr>
                <w:noProof/>
                <w:webHidden/>
              </w:rPr>
              <w:t>57</w:t>
            </w:r>
            <w:r w:rsidR="003F08C1">
              <w:rPr>
                <w:noProof/>
                <w:webHidden/>
              </w:rPr>
              <w:fldChar w:fldCharType="end"/>
            </w:r>
          </w:hyperlink>
        </w:p>
        <w:p w14:paraId="381102E8" w14:textId="1DB2396C" w:rsidR="003F08C1" w:rsidRDefault="00C05150">
          <w:pPr>
            <w:pStyle w:val="TOC3"/>
            <w:tabs>
              <w:tab w:val="right" w:leader="dot" w:pos="9350"/>
            </w:tabs>
            <w:rPr>
              <w:rFonts w:asciiTheme="minorHAnsi" w:eastAsiaTheme="minorEastAsia" w:hAnsiTheme="minorHAnsi"/>
              <w:noProof/>
              <w:sz w:val="22"/>
            </w:rPr>
          </w:pPr>
          <w:hyperlink w:anchor="_Toc64285551" w:history="1">
            <w:r w:rsidR="003F08C1" w:rsidRPr="000F59C8">
              <w:rPr>
                <w:rStyle w:val="Hyperlink"/>
                <w:noProof/>
              </w:rPr>
              <w:t>Pre-Support Plan Meeting</w:t>
            </w:r>
            <w:r w:rsidR="003F08C1">
              <w:rPr>
                <w:noProof/>
                <w:webHidden/>
              </w:rPr>
              <w:tab/>
            </w:r>
            <w:r w:rsidR="003F08C1">
              <w:rPr>
                <w:noProof/>
                <w:webHidden/>
              </w:rPr>
              <w:fldChar w:fldCharType="begin"/>
            </w:r>
            <w:r w:rsidR="003F08C1">
              <w:rPr>
                <w:noProof/>
                <w:webHidden/>
              </w:rPr>
              <w:instrText xml:space="preserve"> PAGEREF _Toc64285551 \h </w:instrText>
            </w:r>
            <w:r w:rsidR="003F08C1">
              <w:rPr>
                <w:noProof/>
                <w:webHidden/>
              </w:rPr>
            </w:r>
            <w:r w:rsidR="003F08C1">
              <w:rPr>
                <w:noProof/>
                <w:webHidden/>
              </w:rPr>
              <w:fldChar w:fldCharType="separate"/>
            </w:r>
            <w:r w:rsidR="003F08C1">
              <w:rPr>
                <w:noProof/>
                <w:webHidden/>
              </w:rPr>
              <w:t>57</w:t>
            </w:r>
            <w:r w:rsidR="003F08C1">
              <w:rPr>
                <w:noProof/>
                <w:webHidden/>
              </w:rPr>
              <w:fldChar w:fldCharType="end"/>
            </w:r>
          </w:hyperlink>
        </w:p>
        <w:p w14:paraId="7FA9428A" w14:textId="03B6F798" w:rsidR="003F08C1" w:rsidRDefault="00C05150">
          <w:pPr>
            <w:pStyle w:val="TOC3"/>
            <w:tabs>
              <w:tab w:val="right" w:leader="dot" w:pos="9350"/>
            </w:tabs>
            <w:rPr>
              <w:rFonts w:asciiTheme="minorHAnsi" w:eastAsiaTheme="minorEastAsia" w:hAnsiTheme="minorHAnsi"/>
              <w:noProof/>
              <w:sz w:val="22"/>
            </w:rPr>
          </w:pPr>
          <w:hyperlink w:anchor="_Toc64285552" w:history="1">
            <w:r w:rsidR="003F08C1" w:rsidRPr="000F59C8">
              <w:rPr>
                <w:rStyle w:val="Hyperlink"/>
                <w:noProof/>
              </w:rPr>
              <w:t>CDC+ Representatives</w:t>
            </w:r>
            <w:r w:rsidR="003F08C1">
              <w:rPr>
                <w:noProof/>
                <w:webHidden/>
              </w:rPr>
              <w:tab/>
            </w:r>
            <w:r w:rsidR="003F08C1">
              <w:rPr>
                <w:noProof/>
                <w:webHidden/>
              </w:rPr>
              <w:fldChar w:fldCharType="begin"/>
            </w:r>
            <w:r w:rsidR="003F08C1">
              <w:rPr>
                <w:noProof/>
                <w:webHidden/>
              </w:rPr>
              <w:instrText xml:space="preserve"> PAGEREF _Toc64285552 \h </w:instrText>
            </w:r>
            <w:r w:rsidR="003F08C1">
              <w:rPr>
                <w:noProof/>
                <w:webHidden/>
              </w:rPr>
            </w:r>
            <w:r w:rsidR="003F08C1">
              <w:rPr>
                <w:noProof/>
                <w:webHidden/>
              </w:rPr>
              <w:fldChar w:fldCharType="separate"/>
            </w:r>
            <w:r w:rsidR="003F08C1">
              <w:rPr>
                <w:noProof/>
                <w:webHidden/>
              </w:rPr>
              <w:t>58</w:t>
            </w:r>
            <w:r w:rsidR="003F08C1">
              <w:rPr>
                <w:noProof/>
                <w:webHidden/>
              </w:rPr>
              <w:fldChar w:fldCharType="end"/>
            </w:r>
          </w:hyperlink>
        </w:p>
        <w:p w14:paraId="1B6A942F" w14:textId="1F72F0A1" w:rsidR="003F08C1" w:rsidRDefault="00C05150">
          <w:pPr>
            <w:pStyle w:val="TOC3"/>
            <w:tabs>
              <w:tab w:val="right" w:leader="dot" w:pos="9350"/>
            </w:tabs>
            <w:rPr>
              <w:rFonts w:asciiTheme="minorHAnsi" w:eastAsiaTheme="minorEastAsia" w:hAnsiTheme="minorHAnsi"/>
              <w:noProof/>
              <w:sz w:val="22"/>
            </w:rPr>
          </w:pPr>
          <w:hyperlink w:anchor="_Toc64285553" w:history="1">
            <w:r w:rsidR="003F08C1" w:rsidRPr="000F59C8">
              <w:rPr>
                <w:rStyle w:val="Hyperlink"/>
                <w:noProof/>
              </w:rPr>
              <w:t>Potential Billing Discrepancies</w:t>
            </w:r>
            <w:r w:rsidR="003F08C1">
              <w:rPr>
                <w:noProof/>
                <w:webHidden/>
              </w:rPr>
              <w:tab/>
            </w:r>
            <w:r w:rsidR="003F08C1">
              <w:rPr>
                <w:noProof/>
                <w:webHidden/>
              </w:rPr>
              <w:fldChar w:fldCharType="begin"/>
            </w:r>
            <w:r w:rsidR="003F08C1">
              <w:rPr>
                <w:noProof/>
                <w:webHidden/>
              </w:rPr>
              <w:instrText xml:space="preserve"> PAGEREF _Toc64285553 \h </w:instrText>
            </w:r>
            <w:r w:rsidR="003F08C1">
              <w:rPr>
                <w:noProof/>
                <w:webHidden/>
              </w:rPr>
            </w:r>
            <w:r w:rsidR="003F08C1">
              <w:rPr>
                <w:noProof/>
                <w:webHidden/>
              </w:rPr>
              <w:fldChar w:fldCharType="separate"/>
            </w:r>
            <w:r w:rsidR="003F08C1">
              <w:rPr>
                <w:noProof/>
                <w:webHidden/>
              </w:rPr>
              <w:t>58</w:t>
            </w:r>
            <w:r w:rsidR="003F08C1">
              <w:rPr>
                <w:noProof/>
                <w:webHidden/>
              </w:rPr>
              <w:fldChar w:fldCharType="end"/>
            </w:r>
          </w:hyperlink>
        </w:p>
        <w:p w14:paraId="62C37FDA" w14:textId="46228AF6" w:rsidR="003F08C1" w:rsidRDefault="00C05150">
          <w:pPr>
            <w:pStyle w:val="TOC2"/>
            <w:tabs>
              <w:tab w:val="right" w:leader="dot" w:pos="9350"/>
            </w:tabs>
            <w:rPr>
              <w:rFonts w:asciiTheme="minorHAnsi" w:eastAsiaTheme="minorEastAsia" w:hAnsiTheme="minorHAnsi"/>
              <w:noProof/>
              <w:sz w:val="22"/>
            </w:rPr>
          </w:pPr>
          <w:hyperlink w:anchor="_Toc64285554" w:history="1">
            <w:r w:rsidR="003F08C1" w:rsidRPr="000F59C8">
              <w:rPr>
                <w:rStyle w:val="Hyperlink"/>
                <w:rFonts w:asciiTheme="majorHAnsi" w:eastAsiaTheme="majorEastAsia" w:hAnsiTheme="majorHAnsi" w:cstheme="majorBidi"/>
                <w:b/>
                <w:bCs/>
                <w:noProof/>
              </w:rPr>
              <w:t>Summary</w:t>
            </w:r>
            <w:r w:rsidR="003F08C1">
              <w:rPr>
                <w:noProof/>
                <w:webHidden/>
              </w:rPr>
              <w:tab/>
            </w:r>
            <w:r w:rsidR="003F08C1">
              <w:rPr>
                <w:noProof/>
                <w:webHidden/>
              </w:rPr>
              <w:fldChar w:fldCharType="begin"/>
            </w:r>
            <w:r w:rsidR="003F08C1">
              <w:rPr>
                <w:noProof/>
                <w:webHidden/>
              </w:rPr>
              <w:instrText xml:space="preserve"> PAGEREF _Toc64285554 \h </w:instrText>
            </w:r>
            <w:r w:rsidR="003F08C1">
              <w:rPr>
                <w:noProof/>
                <w:webHidden/>
              </w:rPr>
            </w:r>
            <w:r w:rsidR="003F08C1">
              <w:rPr>
                <w:noProof/>
                <w:webHidden/>
              </w:rPr>
              <w:fldChar w:fldCharType="separate"/>
            </w:r>
            <w:r w:rsidR="003F08C1">
              <w:rPr>
                <w:noProof/>
                <w:webHidden/>
              </w:rPr>
              <w:t>59</w:t>
            </w:r>
            <w:r w:rsidR="003F08C1">
              <w:rPr>
                <w:noProof/>
                <w:webHidden/>
              </w:rPr>
              <w:fldChar w:fldCharType="end"/>
            </w:r>
          </w:hyperlink>
        </w:p>
        <w:p w14:paraId="010CB18E" w14:textId="430D2A52" w:rsidR="003F08C1" w:rsidRDefault="00C05150">
          <w:pPr>
            <w:pStyle w:val="TOC1"/>
            <w:rPr>
              <w:rFonts w:asciiTheme="minorHAnsi" w:eastAsiaTheme="minorEastAsia" w:hAnsiTheme="minorHAnsi"/>
              <w:noProof/>
              <w:sz w:val="22"/>
            </w:rPr>
          </w:pPr>
          <w:hyperlink w:anchor="_Toc64285555" w:history="1">
            <w:r w:rsidR="003F08C1" w:rsidRPr="000F59C8">
              <w:rPr>
                <w:rStyle w:val="Hyperlink"/>
                <w:noProof/>
              </w:rPr>
              <w:t>Attachment 1:  Customer Service Activity</w:t>
            </w:r>
            <w:r w:rsidR="003F08C1">
              <w:rPr>
                <w:noProof/>
                <w:webHidden/>
              </w:rPr>
              <w:tab/>
            </w:r>
            <w:r w:rsidR="003F08C1">
              <w:rPr>
                <w:noProof/>
                <w:webHidden/>
              </w:rPr>
              <w:fldChar w:fldCharType="begin"/>
            </w:r>
            <w:r w:rsidR="003F08C1">
              <w:rPr>
                <w:noProof/>
                <w:webHidden/>
              </w:rPr>
              <w:instrText xml:space="preserve"> PAGEREF _Toc64285555 \h </w:instrText>
            </w:r>
            <w:r w:rsidR="003F08C1">
              <w:rPr>
                <w:noProof/>
                <w:webHidden/>
              </w:rPr>
            </w:r>
            <w:r w:rsidR="003F08C1">
              <w:rPr>
                <w:noProof/>
                <w:webHidden/>
              </w:rPr>
              <w:fldChar w:fldCharType="separate"/>
            </w:r>
            <w:r w:rsidR="003F08C1">
              <w:rPr>
                <w:noProof/>
                <w:webHidden/>
              </w:rPr>
              <w:t>60</w:t>
            </w:r>
            <w:r w:rsidR="003F08C1">
              <w:rPr>
                <w:noProof/>
                <w:webHidden/>
              </w:rPr>
              <w:fldChar w:fldCharType="end"/>
            </w:r>
          </w:hyperlink>
        </w:p>
        <w:p w14:paraId="345B0478" w14:textId="455B1273" w:rsidR="0069628A" w:rsidRDefault="0069628A" w:rsidP="0069628A">
          <w:r w:rsidRPr="003F08C1">
            <w:rPr>
              <w:b/>
              <w:bCs/>
              <w:noProof/>
            </w:rPr>
            <w:fldChar w:fldCharType="end"/>
          </w:r>
        </w:p>
      </w:sdtContent>
    </w:sdt>
    <w:p w14:paraId="4AB0910E" w14:textId="774B530E" w:rsidR="00890113" w:rsidRDefault="00890113" w:rsidP="009C520E">
      <w:pPr>
        <w:pStyle w:val="TOCHeading"/>
      </w:pPr>
    </w:p>
    <w:p w14:paraId="7CF337FF" w14:textId="0B3F6B38" w:rsidR="00104428" w:rsidRDefault="00104428" w:rsidP="009C520E">
      <w:pPr>
        <w:spacing w:line="240" w:lineRule="auto"/>
        <w:rPr>
          <w:rFonts w:asciiTheme="majorHAnsi" w:eastAsiaTheme="majorEastAsia" w:hAnsiTheme="majorHAnsi" w:cstheme="majorBidi"/>
          <w:b/>
          <w:bCs/>
          <w:color w:val="2E74B5" w:themeColor="accent1" w:themeShade="BF"/>
          <w:sz w:val="28"/>
          <w:szCs w:val="28"/>
        </w:rPr>
      </w:pPr>
    </w:p>
    <w:p w14:paraId="76D3BC50" w14:textId="77777777" w:rsidR="00104428" w:rsidRDefault="00104428" w:rsidP="00104428">
      <w:pPr>
        <w:pStyle w:val="Title"/>
      </w:pPr>
    </w:p>
    <w:p w14:paraId="3A364F21" w14:textId="09F0D2CD" w:rsidR="009C520E" w:rsidRDefault="009C520E" w:rsidP="00104428">
      <w:pPr>
        <w:pStyle w:val="Title"/>
      </w:pPr>
      <w:r>
        <w:br w:type="page"/>
      </w:r>
    </w:p>
    <w:p w14:paraId="51B108B7" w14:textId="1E1BB7EB" w:rsidR="009C520E" w:rsidRPr="00380E0A" w:rsidRDefault="009C520E" w:rsidP="00380E0A">
      <w:pPr>
        <w:pStyle w:val="Heading1"/>
        <w:rPr>
          <w:rFonts w:eastAsia="Times New Roman"/>
        </w:rPr>
      </w:pPr>
      <w:bookmarkStart w:id="1" w:name="_Toc372224454"/>
      <w:bookmarkStart w:id="2" w:name="_Toc372224546"/>
      <w:bookmarkStart w:id="3" w:name="_Toc64285511"/>
      <w:r w:rsidRPr="00A73D61">
        <w:rPr>
          <w:rFonts w:eastAsia="Times New Roman"/>
        </w:rPr>
        <w:lastRenderedPageBreak/>
        <w:t>List of Acronyms</w:t>
      </w:r>
      <w:bookmarkEnd w:id="1"/>
      <w:bookmarkEnd w:id="2"/>
      <w:bookmarkEnd w:id="3"/>
    </w:p>
    <w:p w14:paraId="34AD704D" w14:textId="77777777" w:rsidR="00380E0A" w:rsidRDefault="00380E0A" w:rsidP="00380E0A">
      <w:pPr>
        <w:rPr>
          <w:rFonts w:eastAsia="Times New Roman" w:cs="Times New Roman"/>
          <w:kern w:val="32"/>
          <w:szCs w:val="24"/>
        </w:rPr>
      </w:pPr>
      <w:r>
        <w:rPr>
          <w:rFonts w:eastAsia="Times New Roman" w:cs="Times New Roman"/>
          <w:kern w:val="32"/>
          <w:szCs w:val="24"/>
        </w:rPr>
        <w:t>ABC – Allocation, Budget, and Contract Control System</w:t>
      </w:r>
    </w:p>
    <w:p w14:paraId="69F4C0F8" w14:textId="77777777" w:rsidR="009C520E" w:rsidRDefault="009C520E" w:rsidP="009C520E">
      <w:pPr>
        <w:rPr>
          <w:rFonts w:eastAsia="Times New Roman" w:cs="Times New Roman"/>
          <w:kern w:val="32"/>
          <w:szCs w:val="24"/>
        </w:rPr>
      </w:pPr>
      <w:r w:rsidRPr="00A73D61">
        <w:rPr>
          <w:rFonts w:eastAsia="Times New Roman" w:cs="Times New Roman"/>
          <w:kern w:val="32"/>
          <w:szCs w:val="24"/>
        </w:rPr>
        <w:t>A</w:t>
      </w:r>
      <w:r>
        <w:rPr>
          <w:rFonts w:eastAsia="Times New Roman" w:cs="Times New Roman"/>
          <w:kern w:val="32"/>
          <w:szCs w:val="24"/>
        </w:rPr>
        <w:t>HCA</w:t>
      </w:r>
      <w:r w:rsidRPr="00A73D61">
        <w:rPr>
          <w:rFonts w:eastAsia="Times New Roman" w:cs="Times New Roman"/>
          <w:kern w:val="32"/>
          <w:szCs w:val="24"/>
        </w:rPr>
        <w:t xml:space="preserve"> – </w:t>
      </w:r>
      <w:r>
        <w:rPr>
          <w:rFonts w:eastAsia="Times New Roman" w:cs="Times New Roman"/>
          <w:kern w:val="32"/>
          <w:szCs w:val="24"/>
        </w:rPr>
        <w:t>Agency for Health Care Administration</w:t>
      </w:r>
    </w:p>
    <w:p w14:paraId="486555A9" w14:textId="77777777" w:rsidR="00380E0A" w:rsidRDefault="00380E0A" w:rsidP="009C520E">
      <w:pPr>
        <w:rPr>
          <w:rFonts w:eastAsia="Times New Roman" w:cs="Times New Roman"/>
          <w:kern w:val="32"/>
          <w:szCs w:val="24"/>
        </w:rPr>
      </w:pPr>
      <w:r w:rsidRPr="00380E0A">
        <w:rPr>
          <w:rFonts w:eastAsia="Times New Roman" w:cs="Times New Roman"/>
          <w:kern w:val="32"/>
          <w:szCs w:val="24"/>
        </w:rPr>
        <w:t xml:space="preserve">ANE – Abuse, Neglect and Exploitation </w:t>
      </w:r>
    </w:p>
    <w:p w14:paraId="6D9BDC95" w14:textId="24552C96" w:rsidR="009C520E" w:rsidRDefault="009C520E" w:rsidP="009C520E">
      <w:pPr>
        <w:rPr>
          <w:rFonts w:eastAsia="Times New Roman" w:cs="Times New Roman"/>
          <w:kern w:val="32"/>
          <w:szCs w:val="24"/>
        </w:rPr>
      </w:pPr>
      <w:r>
        <w:rPr>
          <w:rFonts w:eastAsia="Times New Roman" w:cs="Times New Roman"/>
          <w:kern w:val="32"/>
          <w:szCs w:val="24"/>
        </w:rPr>
        <w:t>APD – Agency for Persons with Disabilities</w:t>
      </w:r>
      <w:r w:rsidRPr="00A73D61">
        <w:rPr>
          <w:rFonts w:eastAsia="Times New Roman" w:cs="Times New Roman"/>
          <w:kern w:val="32"/>
          <w:szCs w:val="24"/>
        </w:rPr>
        <w:t xml:space="preserve"> </w:t>
      </w:r>
    </w:p>
    <w:p w14:paraId="7797ECA0" w14:textId="39521863" w:rsidR="009C520E" w:rsidRDefault="009C520E" w:rsidP="009C520E">
      <w:pPr>
        <w:rPr>
          <w:rFonts w:eastAsia="Times New Roman" w:cs="Times New Roman"/>
          <w:kern w:val="32"/>
          <w:szCs w:val="24"/>
        </w:rPr>
      </w:pPr>
      <w:r>
        <w:rPr>
          <w:rFonts w:eastAsia="Times New Roman" w:cs="Times New Roman"/>
          <w:kern w:val="32"/>
          <w:szCs w:val="24"/>
        </w:rPr>
        <w:t>CDC+ - Consumer Directed Care</w:t>
      </w:r>
      <w:r w:rsidR="003F05BA">
        <w:rPr>
          <w:rFonts w:eastAsia="Times New Roman" w:cs="Times New Roman"/>
          <w:kern w:val="32"/>
          <w:szCs w:val="24"/>
        </w:rPr>
        <w:t xml:space="preserve"> Plus</w:t>
      </w:r>
    </w:p>
    <w:p w14:paraId="1D7E71EC" w14:textId="587316B8" w:rsidR="00F14582" w:rsidRDefault="00F14582" w:rsidP="009C520E">
      <w:pPr>
        <w:rPr>
          <w:rFonts w:eastAsia="Times New Roman" w:cs="Times New Roman"/>
          <w:kern w:val="32"/>
          <w:szCs w:val="24"/>
        </w:rPr>
      </w:pPr>
      <w:r>
        <w:rPr>
          <w:rFonts w:eastAsia="Times New Roman" w:cs="Times New Roman"/>
          <w:kern w:val="32"/>
          <w:szCs w:val="24"/>
        </w:rPr>
        <w:t>CDC+ C – CDC+ Consultant</w:t>
      </w:r>
    </w:p>
    <w:p w14:paraId="18AFA043" w14:textId="66721B90" w:rsidR="009C520E" w:rsidRPr="00A73D61" w:rsidRDefault="009C520E" w:rsidP="009C520E">
      <w:pPr>
        <w:rPr>
          <w:rFonts w:eastAsia="Times New Roman" w:cs="Times New Roman"/>
          <w:kern w:val="32"/>
          <w:szCs w:val="24"/>
        </w:rPr>
      </w:pPr>
      <w:r w:rsidRPr="00A73D61">
        <w:rPr>
          <w:rFonts w:eastAsia="Times New Roman" w:cs="Times New Roman"/>
          <w:kern w:val="32"/>
          <w:szCs w:val="24"/>
        </w:rPr>
        <w:t>DD –</w:t>
      </w:r>
      <w:r w:rsidR="00380E0A">
        <w:rPr>
          <w:rFonts w:eastAsia="Times New Roman" w:cs="Times New Roman"/>
          <w:kern w:val="32"/>
          <w:szCs w:val="24"/>
        </w:rPr>
        <w:t xml:space="preserve"> </w:t>
      </w:r>
      <w:r w:rsidRPr="00A73D61">
        <w:rPr>
          <w:rFonts w:eastAsia="Times New Roman" w:cs="Times New Roman"/>
          <w:kern w:val="32"/>
          <w:szCs w:val="24"/>
        </w:rPr>
        <w:t>Developmental Disability</w:t>
      </w:r>
    </w:p>
    <w:p w14:paraId="24A3E96E" w14:textId="623D7522" w:rsidR="009C520E" w:rsidRDefault="009C520E" w:rsidP="009C520E">
      <w:pPr>
        <w:rPr>
          <w:rFonts w:eastAsia="Times New Roman" w:cs="Times New Roman"/>
          <w:kern w:val="32"/>
          <w:szCs w:val="24"/>
        </w:rPr>
      </w:pPr>
      <w:r>
        <w:rPr>
          <w:rFonts w:eastAsia="Times New Roman" w:cs="Times New Roman"/>
          <w:kern w:val="32"/>
          <w:szCs w:val="24"/>
        </w:rPr>
        <w:t>FSQAP – Florida Statewide Quality Assurance Program</w:t>
      </w:r>
    </w:p>
    <w:p w14:paraId="6AC390A3" w14:textId="44852CF9" w:rsidR="00F14582" w:rsidRDefault="00F14582" w:rsidP="009C520E">
      <w:pPr>
        <w:rPr>
          <w:rFonts w:eastAsia="Times New Roman" w:cs="Times New Roman"/>
          <w:kern w:val="32"/>
          <w:szCs w:val="24"/>
        </w:rPr>
      </w:pPr>
      <w:r>
        <w:rPr>
          <w:rFonts w:eastAsia="Times New Roman" w:cs="Times New Roman"/>
          <w:kern w:val="32"/>
          <w:szCs w:val="24"/>
        </w:rPr>
        <w:t>FY – Fiscal Year</w:t>
      </w:r>
      <w:r w:rsidR="0037076B">
        <w:rPr>
          <w:rFonts w:eastAsia="Times New Roman" w:cs="Times New Roman"/>
          <w:kern w:val="32"/>
          <w:szCs w:val="24"/>
        </w:rPr>
        <w:t xml:space="preserve"> (July – June)</w:t>
      </w:r>
    </w:p>
    <w:p w14:paraId="3F3EF88D" w14:textId="77777777" w:rsidR="009C520E" w:rsidRDefault="009C520E" w:rsidP="009C520E">
      <w:pPr>
        <w:rPr>
          <w:rFonts w:eastAsia="Times New Roman" w:cs="Times New Roman"/>
          <w:kern w:val="32"/>
          <w:szCs w:val="24"/>
        </w:rPr>
      </w:pPr>
      <w:r>
        <w:rPr>
          <w:rFonts w:eastAsia="Times New Roman" w:cs="Times New Roman"/>
          <w:kern w:val="32"/>
          <w:szCs w:val="24"/>
        </w:rPr>
        <w:t xml:space="preserve">HCBS – Home and Community-Based Services </w:t>
      </w:r>
    </w:p>
    <w:p w14:paraId="6DD22006" w14:textId="28631A00" w:rsidR="009C520E" w:rsidRDefault="009C520E" w:rsidP="009C520E">
      <w:pPr>
        <w:rPr>
          <w:rFonts w:eastAsia="Times New Roman" w:cs="Times New Roman"/>
          <w:kern w:val="32"/>
          <w:szCs w:val="24"/>
        </w:rPr>
      </w:pPr>
      <w:r w:rsidRPr="00A73D61">
        <w:rPr>
          <w:rFonts w:eastAsia="Times New Roman" w:cs="Times New Roman"/>
          <w:kern w:val="32"/>
          <w:szCs w:val="24"/>
        </w:rPr>
        <w:t>HSRI – Human Services Research Institute</w:t>
      </w:r>
    </w:p>
    <w:p w14:paraId="7CE93FFF" w14:textId="352FE2F2" w:rsidR="006B2B27" w:rsidRPr="00A73D61" w:rsidRDefault="006B2B27" w:rsidP="009C520E">
      <w:pPr>
        <w:rPr>
          <w:rFonts w:eastAsia="Times New Roman" w:cs="Times New Roman"/>
          <w:kern w:val="32"/>
          <w:szCs w:val="24"/>
        </w:rPr>
      </w:pPr>
      <w:r>
        <w:t>iBudget Handbook – Developmental Disabilities Individual Budgeting Waiver Services</w:t>
      </w:r>
      <w:r w:rsidRPr="006B2B27">
        <w:t xml:space="preserve"> Coverage and Limitations Handbook</w:t>
      </w:r>
    </w:p>
    <w:p w14:paraId="3123681D" w14:textId="77777777" w:rsidR="008135AD" w:rsidRDefault="008135AD" w:rsidP="009C520E">
      <w:pPr>
        <w:rPr>
          <w:rFonts w:eastAsia="Times New Roman" w:cs="Times New Roman"/>
          <w:kern w:val="32"/>
          <w:szCs w:val="24"/>
        </w:rPr>
      </w:pPr>
      <w:r>
        <w:rPr>
          <w:rFonts w:eastAsia="Times New Roman" w:cs="Times New Roman"/>
          <w:kern w:val="32"/>
          <w:szCs w:val="24"/>
        </w:rPr>
        <w:t>iBudget Waiver – Individual Budgeting Waiver</w:t>
      </w:r>
    </w:p>
    <w:p w14:paraId="40910B38" w14:textId="3185B571" w:rsidR="0041677B" w:rsidRDefault="0041677B" w:rsidP="009C520E">
      <w:pPr>
        <w:rPr>
          <w:rFonts w:eastAsia="Times New Roman" w:cs="Times New Roman"/>
          <w:kern w:val="32"/>
          <w:szCs w:val="24"/>
        </w:rPr>
      </w:pPr>
      <w:r>
        <w:rPr>
          <w:rFonts w:eastAsia="Times New Roman" w:cs="Times New Roman"/>
          <w:kern w:val="32"/>
          <w:szCs w:val="24"/>
        </w:rPr>
        <w:t>IPS – In Person Survey (NCI)</w:t>
      </w:r>
    </w:p>
    <w:p w14:paraId="365DE399" w14:textId="26FC8542" w:rsidR="009C520E" w:rsidRPr="00A73D61" w:rsidRDefault="009C520E" w:rsidP="009C520E">
      <w:pPr>
        <w:rPr>
          <w:rFonts w:eastAsia="Times New Roman" w:cs="Times New Roman"/>
          <w:kern w:val="32"/>
          <w:szCs w:val="24"/>
        </w:rPr>
      </w:pPr>
      <w:r w:rsidRPr="00A73D61">
        <w:rPr>
          <w:rFonts w:eastAsia="Times New Roman" w:cs="Times New Roman"/>
          <w:kern w:val="32"/>
          <w:szCs w:val="24"/>
        </w:rPr>
        <w:t>IDD – Intellectual and Developmental Disability</w:t>
      </w:r>
    </w:p>
    <w:p w14:paraId="4AF12DDD" w14:textId="77777777" w:rsidR="009C520E" w:rsidRPr="00A73D61" w:rsidRDefault="009C520E" w:rsidP="009C520E">
      <w:pPr>
        <w:rPr>
          <w:rFonts w:eastAsia="Times New Roman" w:cs="Times New Roman"/>
          <w:kern w:val="32"/>
          <w:szCs w:val="24"/>
        </w:rPr>
      </w:pPr>
      <w:r>
        <w:rPr>
          <w:rFonts w:eastAsia="Times New Roman" w:cs="Times New Roman"/>
          <w:kern w:val="32"/>
          <w:szCs w:val="24"/>
        </w:rPr>
        <w:t>IRR – Inter-rater Reliability</w:t>
      </w:r>
    </w:p>
    <w:p w14:paraId="441EE1D6"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IT – Information Technology</w:t>
      </w:r>
    </w:p>
    <w:p w14:paraId="6FCA96E5" w14:textId="6EBD357F" w:rsidR="009C520E" w:rsidRDefault="009C520E" w:rsidP="009C520E">
      <w:pPr>
        <w:rPr>
          <w:rFonts w:eastAsia="Times New Roman" w:cs="Times New Roman"/>
          <w:kern w:val="32"/>
          <w:szCs w:val="24"/>
        </w:rPr>
      </w:pPr>
      <w:r w:rsidRPr="00A73D61">
        <w:rPr>
          <w:rFonts w:eastAsia="Times New Roman" w:cs="Times New Roman"/>
          <w:kern w:val="32"/>
          <w:szCs w:val="24"/>
        </w:rPr>
        <w:t>NCI – National Core Indicators</w:t>
      </w:r>
    </w:p>
    <w:p w14:paraId="4A0BCC52" w14:textId="6D519EA8" w:rsidR="009C520E" w:rsidRDefault="009C520E" w:rsidP="009C520E">
      <w:pPr>
        <w:rPr>
          <w:rFonts w:eastAsia="Times New Roman" w:cs="Times New Roman"/>
          <w:kern w:val="32"/>
          <w:szCs w:val="24"/>
        </w:rPr>
      </w:pPr>
      <w:r>
        <w:rPr>
          <w:rFonts w:eastAsia="Times New Roman" w:cs="Times New Roman"/>
          <w:kern w:val="32"/>
          <w:szCs w:val="24"/>
        </w:rPr>
        <w:t xml:space="preserve">OBS </w:t>
      </w:r>
      <w:r w:rsidR="00380E0A">
        <w:rPr>
          <w:rFonts w:eastAsia="Times New Roman" w:cs="Times New Roman"/>
          <w:kern w:val="32"/>
          <w:szCs w:val="24"/>
        </w:rPr>
        <w:t>–</w:t>
      </w:r>
      <w:r>
        <w:rPr>
          <w:rFonts w:eastAsia="Times New Roman" w:cs="Times New Roman"/>
          <w:kern w:val="32"/>
          <w:szCs w:val="24"/>
        </w:rPr>
        <w:t xml:space="preserve"> Observations</w:t>
      </w:r>
    </w:p>
    <w:p w14:paraId="2D6E094C" w14:textId="11C9A18F" w:rsidR="00380E0A" w:rsidRPr="00A73D61" w:rsidRDefault="00380E0A" w:rsidP="009C520E">
      <w:pPr>
        <w:rPr>
          <w:rFonts w:eastAsia="Times New Roman" w:cs="Times New Roman"/>
          <w:kern w:val="32"/>
          <w:szCs w:val="24"/>
        </w:rPr>
      </w:pPr>
      <w:r w:rsidRPr="00380E0A">
        <w:rPr>
          <w:rFonts w:eastAsia="Times New Roman" w:cs="Times New Roman"/>
          <w:kern w:val="32"/>
          <w:szCs w:val="24"/>
        </w:rPr>
        <w:t>P&amp;P –Policy and Procedure</w:t>
      </w:r>
    </w:p>
    <w:p w14:paraId="41AA4CD1" w14:textId="77777777" w:rsidR="009C520E" w:rsidRDefault="009C520E" w:rsidP="009C520E">
      <w:pPr>
        <w:rPr>
          <w:rFonts w:eastAsia="Times New Roman" w:cs="Times New Roman"/>
          <w:kern w:val="32"/>
          <w:szCs w:val="24"/>
        </w:rPr>
      </w:pPr>
      <w:r w:rsidRPr="00A73D61">
        <w:rPr>
          <w:rFonts w:eastAsia="Times New Roman" w:cs="Times New Roman"/>
          <w:kern w:val="32"/>
          <w:szCs w:val="24"/>
        </w:rPr>
        <w:t>PCR – Person Centered Review</w:t>
      </w:r>
      <w:r w:rsidRPr="00364EF3">
        <w:rPr>
          <w:rFonts w:eastAsia="Times New Roman" w:cs="Times New Roman"/>
          <w:kern w:val="32"/>
          <w:szCs w:val="24"/>
        </w:rPr>
        <w:t xml:space="preserve"> </w:t>
      </w:r>
    </w:p>
    <w:p w14:paraId="3D51BE66" w14:textId="487C5488" w:rsidR="009C520E" w:rsidRDefault="009C520E" w:rsidP="009C520E">
      <w:pPr>
        <w:rPr>
          <w:rFonts w:eastAsia="Times New Roman" w:cs="Times New Roman"/>
          <w:kern w:val="32"/>
          <w:szCs w:val="24"/>
        </w:rPr>
      </w:pPr>
      <w:r>
        <w:rPr>
          <w:rFonts w:eastAsia="Times New Roman" w:cs="Times New Roman"/>
          <w:kern w:val="32"/>
          <w:szCs w:val="24"/>
        </w:rPr>
        <w:t xml:space="preserve">PCR </w:t>
      </w:r>
      <w:r w:rsidR="00F14582">
        <w:rPr>
          <w:rFonts w:eastAsia="Times New Roman" w:cs="Times New Roman"/>
          <w:kern w:val="32"/>
          <w:szCs w:val="24"/>
        </w:rPr>
        <w:t xml:space="preserve">MLI </w:t>
      </w:r>
      <w:r>
        <w:rPr>
          <w:rFonts w:eastAsia="Times New Roman" w:cs="Times New Roman"/>
          <w:kern w:val="32"/>
          <w:szCs w:val="24"/>
        </w:rPr>
        <w:t xml:space="preserve">– Person Centered Review </w:t>
      </w:r>
      <w:r w:rsidR="00F14582">
        <w:rPr>
          <w:rFonts w:eastAsia="Times New Roman" w:cs="Times New Roman"/>
          <w:kern w:val="32"/>
          <w:szCs w:val="24"/>
        </w:rPr>
        <w:t xml:space="preserve">My Life </w:t>
      </w:r>
      <w:r>
        <w:rPr>
          <w:rFonts w:eastAsia="Times New Roman" w:cs="Times New Roman"/>
          <w:kern w:val="32"/>
          <w:szCs w:val="24"/>
        </w:rPr>
        <w:t xml:space="preserve">Interview </w:t>
      </w:r>
    </w:p>
    <w:p w14:paraId="04022C0B" w14:textId="77777777" w:rsidR="009C520E" w:rsidRDefault="009C520E" w:rsidP="009C520E">
      <w:pPr>
        <w:rPr>
          <w:rFonts w:eastAsia="Times New Roman" w:cs="Times New Roman"/>
          <w:kern w:val="32"/>
          <w:szCs w:val="24"/>
        </w:rPr>
      </w:pPr>
      <w:r w:rsidRPr="00A73D61">
        <w:rPr>
          <w:rFonts w:eastAsia="Times New Roman" w:cs="Times New Roman"/>
          <w:kern w:val="32"/>
          <w:szCs w:val="24"/>
        </w:rPr>
        <w:t>P</w:t>
      </w:r>
      <w:r>
        <w:rPr>
          <w:rFonts w:eastAsia="Times New Roman" w:cs="Times New Roman"/>
          <w:kern w:val="32"/>
          <w:szCs w:val="24"/>
        </w:rPr>
        <w:t>D</w:t>
      </w:r>
      <w:r w:rsidRPr="00A73D61">
        <w:rPr>
          <w:rFonts w:eastAsia="Times New Roman" w:cs="Times New Roman"/>
          <w:kern w:val="32"/>
          <w:szCs w:val="24"/>
        </w:rPr>
        <w:t xml:space="preserve">R – Provider </w:t>
      </w:r>
      <w:r>
        <w:rPr>
          <w:rFonts w:eastAsia="Times New Roman" w:cs="Times New Roman"/>
          <w:kern w:val="32"/>
          <w:szCs w:val="24"/>
        </w:rPr>
        <w:t>Discovery</w:t>
      </w:r>
      <w:r w:rsidRPr="00A73D61">
        <w:rPr>
          <w:rFonts w:eastAsia="Times New Roman" w:cs="Times New Roman"/>
          <w:kern w:val="32"/>
          <w:szCs w:val="24"/>
        </w:rPr>
        <w:t xml:space="preserve"> Review</w:t>
      </w:r>
    </w:p>
    <w:p w14:paraId="6260656E" w14:textId="46098463" w:rsidR="009C520E" w:rsidRDefault="009C520E" w:rsidP="009C520E">
      <w:pPr>
        <w:rPr>
          <w:rFonts w:eastAsia="Times New Roman" w:cs="Times New Roman"/>
          <w:kern w:val="32"/>
          <w:szCs w:val="24"/>
        </w:rPr>
      </w:pPr>
      <w:r w:rsidRPr="00A73D61">
        <w:rPr>
          <w:rFonts w:eastAsia="Times New Roman" w:cs="Times New Roman"/>
          <w:kern w:val="32"/>
          <w:szCs w:val="24"/>
        </w:rPr>
        <w:t>P</w:t>
      </w:r>
      <w:r>
        <w:rPr>
          <w:rFonts w:eastAsia="Times New Roman" w:cs="Times New Roman"/>
          <w:kern w:val="32"/>
          <w:szCs w:val="24"/>
        </w:rPr>
        <w:t>D</w:t>
      </w:r>
      <w:r w:rsidRPr="00A73D61">
        <w:rPr>
          <w:rFonts w:eastAsia="Times New Roman" w:cs="Times New Roman"/>
          <w:kern w:val="32"/>
          <w:szCs w:val="24"/>
        </w:rPr>
        <w:t xml:space="preserve">R </w:t>
      </w:r>
      <w:r w:rsidR="00F14582">
        <w:rPr>
          <w:rFonts w:eastAsia="Times New Roman" w:cs="Times New Roman"/>
          <w:kern w:val="32"/>
          <w:szCs w:val="24"/>
        </w:rPr>
        <w:t xml:space="preserve">MLI </w:t>
      </w:r>
      <w:r w:rsidRPr="00A73D61">
        <w:rPr>
          <w:rFonts w:eastAsia="Times New Roman" w:cs="Times New Roman"/>
          <w:kern w:val="32"/>
          <w:szCs w:val="24"/>
        </w:rPr>
        <w:t xml:space="preserve">– Provider </w:t>
      </w:r>
      <w:r>
        <w:rPr>
          <w:rFonts w:eastAsia="Times New Roman" w:cs="Times New Roman"/>
          <w:kern w:val="32"/>
          <w:szCs w:val="24"/>
        </w:rPr>
        <w:t>Discovery</w:t>
      </w:r>
      <w:r w:rsidRPr="00A73D61">
        <w:rPr>
          <w:rFonts w:eastAsia="Times New Roman" w:cs="Times New Roman"/>
          <w:kern w:val="32"/>
          <w:szCs w:val="24"/>
        </w:rPr>
        <w:t xml:space="preserve"> Review</w:t>
      </w:r>
      <w:r>
        <w:rPr>
          <w:rFonts w:eastAsia="Times New Roman" w:cs="Times New Roman"/>
          <w:kern w:val="32"/>
          <w:szCs w:val="24"/>
        </w:rPr>
        <w:t xml:space="preserve"> </w:t>
      </w:r>
      <w:r w:rsidR="00F14582">
        <w:rPr>
          <w:rFonts w:eastAsia="Times New Roman" w:cs="Times New Roman"/>
          <w:kern w:val="32"/>
          <w:szCs w:val="24"/>
        </w:rPr>
        <w:t xml:space="preserve">My Life </w:t>
      </w:r>
      <w:r>
        <w:rPr>
          <w:rFonts w:eastAsia="Times New Roman" w:cs="Times New Roman"/>
          <w:kern w:val="32"/>
          <w:szCs w:val="24"/>
        </w:rPr>
        <w:t>Interview</w:t>
      </w:r>
    </w:p>
    <w:p w14:paraId="7C52104C" w14:textId="77777777" w:rsidR="00D35DEA" w:rsidRDefault="00380E0A" w:rsidP="009C520E">
      <w:pPr>
        <w:rPr>
          <w:rFonts w:eastAsia="Times New Roman" w:cs="Times New Roman"/>
          <w:kern w:val="32"/>
          <w:szCs w:val="24"/>
        </w:rPr>
      </w:pPr>
      <w:r w:rsidRPr="00380E0A">
        <w:rPr>
          <w:rFonts w:eastAsia="Times New Roman" w:cs="Times New Roman"/>
          <w:kern w:val="32"/>
          <w:szCs w:val="24"/>
        </w:rPr>
        <w:t xml:space="preserve">Q&amp;T </w:t>
      </w:r>
      <w:r>
        <w:rPr>
          <w:rFonts w:eastAsia="Times New Roman" w:cs="Times New Roman"/>
          <w:kern w:val="32"/>
          <w:szCs w:val="24"/>
        </w:rPr>
        <w:t xml:space="preserve">– </w:t>
      </w:r>
      <w:r w:rsidRPr="00380E0A">
        <w:rPr>
          <w:rFonts w:eastAsia="Times New Roman" w:cs="Times New Roman"/>
          <w:kern w:val="32"/>
          <w:szCs w:val="24"/>
        </w:rPr>
        <w:t>Qualifications and Training</w:t>
      </w:r>
    </w:p>
    <w:p w14:paraId="27201916" w14:textId="2823B135" w:rsidR="009C520E" w:rsidRDefault="009C520E" w:rsidP="009C520E">
      <w:pPr>
        <w:rPr>
          <w:rFonts w:eastAsia="Times New Roman" w:cs="Times New Roman"/>
          <w:kern w:val="32"/>
          <w:szCs w:val="24"/>
        </w:rPr>
      </w:pPr>
      <w:r w:rsidRPr="00A73D61">
        <w:rPr>
          <w:rFonts w:eastAsia="Times New Roman" w:cs="Times New Roman"/>
          <w:kern w:val="32"/>
          <w:szCs w:val="24"/>
        </w:rPr>
        <w:t>QA – Quality Assurance</w:t>
      </w:r>
    </w:p>
    <w:p w14:paraId="156F1898" w14:textId="77777777" w:rsidR="009C520E" w:rsidRDefault="009C520E" w:rsidP="009C520E">
      <w:pPr>
        <w:rPr>
          <w:rFonts w:eastAsia="Times New Roman" w:cs="Times New Roman"/>
          <w:kern w:val="32"/>
          <w:szCs w:val="24"/>
        </w:rPr>
      </w:pPr>
      <w:r>
        <w:rPr>
          <w:rFonts w:eastAsia="Times New Roman" w:cs="Times New Roman"/>
          <w:kern w:val="32"/>
          <w:szCs w:val="24"/>
        </w:rPr>
        <w:t>QAR – Quality Assurance Reviewer</w:t>
      </w:r>
    </w:p>
    <w:p w14:paraId="620F2A27" w14:textId="77777777" w:rsidR="009C520E" w:rsidRPr="00A73D61" w:rsidRDefault="009C520E" w:rsidP="009C520E">
      <w:pPr>
        <w:rPr>
          <w:rFonts w:eastAsia="Times New Roman" w:cs="Times New Roman"/>
          <w:kern w:val="32"/>
          <w:szCs w:val="24"/>
        </w:rPr>
      </w:pPr>
      <w:r>
        <w:rPr>
          <w:rFonts w:eastAsia="Times New Roman" w:cs="Times New Roman"/>
          <w:kern w:val="32"/>
          <w:szCs w:val="24"/>
        </w:rPr>
        <w:t>QC – Quality Council</w:t>
      </w:r>
    </w:p>
    <w:p w14:paraId="7AD0F713"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QI – Quality Improvement</w:t>
      </w:r>
    </w:p>
    <w:p w14:paraId="3DA39D19"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RM – Regional Manager</w:t>
      </w:r>
    </w:p>
    <w:p w14:paraId="48CE9209"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RTDR – Real Time Data Report</w:t>
      </w:r>
    </w:p>
    <w:p w14:paraId="37C547D3" w14:textId="77777777" w:rsidR="003F05BA" w:rsidRPr="00A73D61" w:rsidRDefault="003F05BA" w:rsidP="003F05BA">
      <w:pPr>
        <w:rPr>
          <w:rFonts w:eastAsia="Times New Roman" w:cs="Times New Roman"/>
          <w:kern w:val="32"/>
          <w:szCs w:val="24"/>
        </w:rPr>
      </w:pPr>
      <w:r w:rsidRPr="00A73D61">
        <w:rPr>
          <w:rFonts w:eastAsia="Times New Roman" w:cs="Times New Roman"/>
          <w:kern w:val="32"/>
          <w:szCs w:val="24"/>
        </w:rPr>
        <w:t>S</w:t>
      </w:r>
      <w:r>
        <w:rPr>
          <w:rFonts w:eastAsia="Times New Roman" w:cs="Times New Roman"/>
          <w:kern w:val="32"/>
          <w:szCs w:val="24"/>
        </w:rPr>
        <w:t>SRR – Service Specific</w:t>
      </w:r>
      <w:r w:rsidRPr="00A73D61">
        <w:rPr>
          <w:rFonts w:eastAsia="Times New Roman" w:cs="Times New Roman"/>
          <w:kern w:val="32"/>
          <w:szCs w:val="24"/>
        </w:rPr>
        <w:t xml:space="preserve"> Record Review</w:t>
      </w:r>
    </w:p>
    <w:p w14:paraId="6E00576A" w14:textId="77777777" w:rsidR="003F05BA" w:rsidRDefault="003F05BA" w:rsidP="003F05BA">
      <w:pPr>
        <w:rPr>
          <w:rFonts w:eastAsia="Times New Roman" w:cs="Times New Roman"/>
          <w:kern w:val="32"/>
          <w:szCs w:val="24"/>
        </w:rPr>
      </w:pPr>
      <w:r>
        <w:rPr>
          <w:rFonts w:eastAsia="Times New Roman" w:cs="Times New Roman"/>
          <w:kern w:val="32"/>
          <w:szCs w:val="24"/>
        </w:rPr>
        <w:t>W</w:t>
      </w:r>
      <w:r w:rsidRPr="00A73D61">
        <w:rPr>
          <w:rFonts w:eastAsia="Times New Roman" w:cs="Times New Roman"/>
          <w:kern w:val="32"/>
          <w:szCs w:val="24"/>
        </w:rPr>
        <w:t xml:space="preserve">SC – </w:t>
      </w:r>
      <w:r>
        <w:rPr>
          <w:rFonts w:eastAsia="Times New Roman" w:cs="Times New Roman"/>
          <w:kern w:val="32"/>
          <w:szCs w:val="24"/>
        </w:rPr>
        <w:t xml:space="preserve">Waiver </w:t>
      </w:r>
      <w:r w:rsidRPr="00A73D61">
        <w:rPr>
          <w:rFonts w:eastAsia="Times New Roman" w:cs="Times New Roman"/>
          <w:kern w:val="32"/>
          <w:szCs w:val="24"/>
        </w:rPr>
        <w:t>Support Coordinator</w:t>
      </w:r>
    </w:p>
    <w:p w14:paraId="1E267FF6" w14:textId="77777777" w:rsidR="009C520E" w:rsidRDefault="009C520E" w:rsidP="009C520E">
      <w:pPr>
        <w:spacing w:line="240" w:lineRule="auto"/>
        <w:rPr>
          <w:rFonts w:asciiTheme="majorHAnsi" w:eastAsiaTheme="majorEastAsia" w:hAnsiTheme="majorHAnsi" w:cstheme="majorBidi"/>
          <w:b/>
          <w:bCs/>
          <w:color w:val="2E74B5" w:themeColor="accent1" w:themeShade="BF"/>
          <w:sz w:val="28"/>
          <w:szCs w:val="28"/>
        </w:rPr>
      </w:pPr>
    </w:p>
    <w:p w14:paraId="4607BCFC" w14:textId="046E40D7" w:rsidR="009C520E" w:rsidRDefault="009C520E" w:rsidP="009C520E">
      <w:pPr>
        <w:pStyle w:val="Heading1"/>
      </w:pPr>
      <w:bookmarkStart w:id="4" w:name="_Toc64285512"/>
      <w:r>
        <w:lastRenderedPageBreak/>
        <w:t>Executive Summary</w:t>
      </w:r>
      <w:bookmarkEnd w:id="4"/>
      <w:r>
        <w:t xml:space="preserve"> </w:t>
      </w:r>
    </w:p>
    <w:p w14:paraId="31E9E75D" w14:textId="145A64F8" w:rsidR="009C520E" w:rsidRDefault="009C520E" w:rsidP="009C520E"/>
    <w:p w14:paraId="755DB020" w14:textId="709620F2" w:rsidR="009C520E" w:rsidRPr="00C3545D" w:rsidRDefault="00417191" w:rsidP="009C520E">
      <w:r>
        <w:rPr>
          <w:noProof/>
        </w:rPr>
        <w:drawing>
          <wp:anchor distT="0" distB="0" distL="114300" distR="114300" simplePos="0" relativeHeight="251658246" behindDoc="0" locked="0" layoutInCell="1" allowOverlap="1" wp14:anchorId="0E4D4C13" wp14:editId="6B1ED29F">
            <wp:simplePos x="0" y="0"/>
            <wp:positionH relativeFrom="margin">
              <wp:align>left</wp:align>
            </wp:positionH>
            <wp:positionV relativeFrom="paragraph">
              <wp:posOffset>89535</wp:posOffset>
            </wp:positionV>
            <wp:extent cx="779145" cy="732790"/>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er-review[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9145" cy="732790"/>
                    </a:xfrm>
                    <a:prstGeom prst="rect">
                      <a:avLst/>
                    </a:prstGeom>
                  </pic:spPr>
                </pic:pic>
              </a:graphicData>
            </a:graphic>
            <wp14:sizeRelH relativeFrom="margin">
              <wp14:pctWidth>0</wp14:pctWidth>
            </wp14:sizeRelH>
            <wp14:sizeRelV relativeFrom="margin">
              <wp14:pctHeight>0</wp14:pctHeight>
            </wp14:sizeRelV>
          </wp:anchor>
        </w:drawing>
      </w:r>
      <w:r w:rsidR="009C520E" w:rsidRPr="00485649">
        <w:t xml:space="preserve">In </w:t>
      </w:r>
      <w:r w:rsidR="00C3545D" w:rsidRPr="00485649">
        <w:t>July 20</w:t>
      </w:r>
      <w:r w:rsidR="00FA1088">
        <w:t>20</w:t>
      </w:r>
      <w:r w:rsidR="009C520E" w:rsidRPr="00485649">
        <w:t>, the</w:t>
      </w:r>
      <w:r w:rsidR="008135AD" w:rsidRPr="00485649">
        <w:t xml:space="preserve"> Agency for Health Care Administration entered into</w:t>
      </w:r>
      <w:r w:rsidR="009C520E" w:rsidRPr="00485649">
        <w:t xml:space="preserve"> </w:t>
      </w:r>
      <w:r w:rsidR="00FC5FCE">
        <w:t xml:space="preserve">the </w:t>
      </w:r>
      <w:r w:rsidR="00FA1088">
        <w:t>fourth</w:t>
      </w:r>
      <w:r w:rsidR="00EF6D3F">
        <w:t xml:space="preserve"> </w:t>
      </w:r>
      <w:r w:rsidR="00FC5FCE">
        <w:t xml:space="preserve">year of the current </w:t>
      </w:r>
      <w:r w:rsidR="008135AD" w:rsidRPr="00485649">
        <w:t xml:space="preserve">contract with </w:t>
      </w:r>
      <w:r w:rsidR="00AC4078" w:rsidRPr="00485649">
        <w:t>Qlarant</w:t>
      </w:r>
      <w:r w:rsidR="00FA1088">
        <w:t>,</w:t>
      </w:r>
      <w:r w:rsidR="00FC5FCE">
        <w:t xml:space="preserve"> </w:t>
      </w:r>
      <w:r w:rsidR="00F93DB5" w:rsidRPr="00485649">
        <w:t xml:space="preserve">the </w:t>
      </w:r>
      <w:r w:rsidR="009C520E" w:rsidRPr="00485649">
        <w:t>Florida Statewide Quality Assurance Program (FSQAP)</w:t>
      </w:r>
      <w:r w:rsidR="00C3545D" w:rsidRPr="00485649">
        <w:t xml:space="preserve">. </w:t>
      </w:r>
      <w:r w:rsidR="00AC4078" w:rsidRPr="00485649">
        <w:t>Qlarant</w:t>
      </w:r>
      <w:r w:rsidR="00C3545D" w:rsidRPr="00485649">
        <w:t xml:space="preserve"> </w:t>
      </w:r>
      <w:r w:rsidR="009C520E" w:rsidRPr="00485649">
        <w:t>provid</w:t>
      </w:r>
      <w:r w:rsidR="00C3545D" w:rsidRPr="00485649">
        <w:t>es</w:t>
      </w:r>
      <w:r w:rsidR="009C520E" w:rsidRPr="00485649">
        <w:t xml:space="preserve"> oversight processes of provider systems and </w:t>
      </w:r>
      <w:r w:rsidR="00485649">
        <w:t>P</w:t>
      </w:r>
      <w:r w:rsidR="009C520E" w:rsidRPr="00485649">
        <w:t xml:space="preserve">erson </w:t>
      </w:r>
      <w:r w:rsidR="00485649">
        <w:t>C</w:t>
      </w:r>
      <w:r w:rsidR="009C520E" w:rsidRPr="00485649">
        <w:t xml:space="preserve">entered </w:t>
      </w:r>
      <w:r w:rsidR="00485649">
        <w:t>R</w:t>
      </w:r>
      <w:r w:rsidR="009C520E" w:rsidRPr="00485649">
        <w:t xml:space="preserve">eview activities for </w:t>
      </w:r>
      <w:r w:rsidR="00AF5187" w:rsidRPr="00485649">
        <w:t>in</w:t>
      </w:r>
      <w:r w:rsidR="00AF5187">
        <w:t>d</w:t>
      </w:r>
      <w:r w:rsidR="00AF5187" w:rsidRPr="00485649">
        <w:t>ividuals</w:t>
      </w:r>
      <w:r w:rsidR="009C520E" w:rsidRPr="00485649">
        <w:t xml:space="preserve"> receiving services through the Developmental Disabilities </w:t>
      </w:r>
      <w:r w:rsidR="008B7264" w:rsidRPr="00485649">
        <w:t xml:space="preserve">Individual Budgeting </w:t>
      </w:r>
      <w:r w:rsidR="00FB1F1D" w:rsidRPr="00485649">
        <w:t xml:space="preserve">(iBudget) </w:t>
      </w:r>
      <w:r w:rsidR="009C520E" w:rsidRPr="00485649">
        <w:t xml:space="preserve">Services waiver, including </w:t>
      </w:r>
      <w:r w:rsidR="00C562B4" w:rsidRPr="00485649">
        <w:t xml:space="preserve">the Consumer Directed Care </w:t>
      </w:r>
      <w:r w:rsidR="00331B1E" w:rsidRPr="00485649">
        <w:t xml:space="preserve">Plus </w:t>
      </w:r>
      <w:r w:rsidR="009C520E" w:rsidRPr="00485649">
        <w:t>(CDC+) program</w:t>
      </w:r>
      <w:r w:rsidR="00D35DEA">
        <w:t xml:space="preserve">. </w:t>
      </w:r>
      <w:r w:rsidR="00AC4078" w:rsidRPr="00485649">
        <w:t>Qlarant</w:t>
      </w:r>
      <w:r w:rsidR="00C3545D" w:rsidRPr="00485649">
        <w:t xml:space="preserve"> </w:t>
      </w:r>
      <w:r w:rsidR="009C520E" w:rsidRPr="00485649">
        <w:t>conducts Provider Discovery Reviews (PDR) and Person Centered Reviews (PCR) to provide information about providers, individuals receiving</w:t>
      </w:r>
      <w:r w:rsidR="009C520E" w:rsidRPr="00C3545D">
        <w:t xml:space="preserve"> services, and the quality of service delivery systems.</w:t>
      </w:r>
    </w:p>
    <w:p w14:paraId="263AB78F" w14:textId="77777777" w:rsidR="009C520E" w:rsidRPr="00FF7169" w:rsidRDefault="009C520E" w:rsidP="009C520E">
      <w:pPr>
        <w:rPr>
          <w:highlight w:val="yellow"/>
        </w:rPr>
      </w:pPr>
    </w:p>
    <w:p w14:paraId="35A0AD36" w14:textId="18CDD814" w:rsidR="009C520E" w:rsidRPr="00C3545D" w:rsidRDefault="009C520E" w:rsidP="009C520E">
      <w:r w:rsidRPr="00421C5C">
        <w:t>Q</w:t>
      </w:r>
      <w:r w:rsidRPr="00421C5C">
        <w:rPr>
          <w:color w:val="000000" w:themeColor="text1"/>
        </w:rPr>
        <w:t>uarterly meetings</w:t>
      </w:r>
      <w:r w:rsidR="00CB1DB8" w:rsidRPr="00421C5C">
        <w:rPr>
          <w:color w:val="000000" w:themeColor="text1"/>
        </w:rPr>
        <w:t xml:space="preserve"> </w:t>
      </w:r>
      <w:r w:rsidR="00491F57" w:rsidRPr="00421C5C">
        <w:rPr>
          <w:color w:val="000000" w:themeColor="text1"/>
        </w:rPr>
        <w:t xml:space="preserve">were </w:t>
      </w:r>
      <w:r w:rsidR="00491F57" w:rsidRPr="00B874F7">
        <w:rPr>
          <w:color w:val="000000" w:themeColor="text1"/>
        </w:rPr>
        <w:t xml:space="preserve">conducted </w:t>
      </w:r>
      <w:r w:rsidR="00C81CF8" w:rsidRPr="00B874F7">
        <w:rPr>
          <w:color w:val="000000" w:themeColor="text1"/>
        </w:rPr>
        <w:t>with</w:t>
      </w:r>
      <w:r w:rsidR="00CB1DB8" w:rsidRPr="00B874F7">
        <w:rPr>
          <w:color w:val="000000" w:themeColor="text1"/>
        </w:rPr>
        <w:t xml:space="preserve"> each </w:t>
      </w:r>
      <w:r w:rsidR="001F7F19" w:rsidRPr="00B874F7">
        <w:rPr>
          <w:color w:val="000000" w:themeColor="text1"/>
        </w:rPr>
        <w:t xml:space="preserve">APD </w:t>
      </w:r>
      <w:r w:rsidR="00CB1DB8" w:rsidRPr="00B874F7">
        <w:rPr>
          <w:color w:val="000000" w:themeColor="text1"/>
        </w:rPr>
        <w:t>region</w:t>
      </w:r>
      <w:r w:rsidR="00491F57" w:rsidRPr="00B874F7">
        <w:rPr>
          <w:color w:val="000000" w:themeColor="text1"/>
        </w:rPr>
        <w:t>.</w:t>
      </w:r>
      <w:r w:rsidR="00907AD3" w:rsidRPr="00B874F7">
        <w:rPr>
          <w:rStyle w:val="FootnoteReference"/>
          <w:color w:val="000000" w:themeColor="text1"/>
        </w:rPr>
        <w:footnoteReference w:id="2"/>
      </w:r>
      <w:r w:rsidR="00DE3337" w:rsidRPr="00421C5C">
        <w:rPr>
          <w:color w:val="000000" w:themeColor="text1"/>
        </w:rPr>
        <w:t xml:space="preserve"> </w:t>
      </w:r>
      <w:r w:rsidR="00C81CF8" w:rsidRPr="00421C5C">
        <w:rPr>
          <w:color w:val="000000" w:themeColor="text1"/>
        </w:rPr>
        <w:t>Due to the COVID</w:t>
      </w:r>
      <w:r w:rsidR="00CA3238">
        <w:rPr>
          <w:color w:val="000000" w:themeColor="text1"/>
        </w:rPr>
        <w:t>-</w:t>
      </w:r>
      <w:r w:rsidR="00C81CF8" w:rsidRPr="00421C5C">
        <w:rPr>
          <w:color w:val="000000" w:themeColor="text1"/>
        </w:rPr>
        <w:t>19 virus, meeting</w:t>
      </w:r>
      <w:r w:rsidR="00421C5C" w:rsidRPr="00421C5C">
        <w:rPr>
          <w:color w:val="000000" w:themeColor="text1"/>
        </w:rPr>
        <w:t>s</w:t>
      </w:r>
      <w:r w:rsidR="00C81CF8" w:rsidRPr="00421C5C">
        <w:rPr>
          <w:color w:val="000000" w:themeColor="text1"/>
        </w:rPr>
        <w:t xml:space="preserve"> </w:t>
      </w:r>
      <w:r w:rsidR="00421C5C" w:rsidRPr="00421C5C">
        <w:rPr>
          <w:color w:val="000000" w:themeColor="text1"/>
        </w:rPr>
        <w:t>were</w:t>
      </w:r>
      <w:r w:rsidR="00C81CF8" w:rsidRPr="00421C5C">
        <w:rPr>
          <w:color w:val="000000" w:themeColor="text1"/>
        </w:rPr>
        <w:t xml:space="preserve"> conducted via conference calls instead of face-to-face at the regional office</w:t>
      </w:r>
      <w:r w:rsidR="00B77811">
        <w:rPr>
          <w:color w:val="000000" w:themeColor="text1"/>
        </w:rPr>
        <w:t xml:space="preserve">. </w:t>
      </w:r>
      <w:r w:rsidR="00DE3337">
        <w:rPr>
          <w:color w:val="000000" w:themeColor="text1"/>
        </w:rPr>
        <w:t xml:space="preserve">These </w:t>
      </w:r>
      <w:r w:rsidR="005B5217">
        <w:rPr>
          <w:color w:val="000000" w:themeColor="text1"/>
        </w:rPr>
        <w:t>we</w:t>
      </w:r>
      <w:r w:rsidR="00491F57">
        <w:rPr>
          <w:color w:val="000000" w:themeColor="text1"/>
        </w:rPr>
        <w:t xml:space="preserve">re </w:t>
      </w:r>
      <w:r w:rsidRPr="00C3545D">
        <w:rPr>
          <w:color w:val="000000" w:themeColor="text1"/>
        </w:rPr>
        <w:t xml:space="preserve">facilitated by </w:t>
      </w:r>
      <w:r w:rsidR="00AC4078">
        <w:rPr>
          <w:color w:val="000000" w:themeColor="text1"/>
        </w:rPr>
        <w:t>Qlarant</w:t>
      </w:r>
      <w:r w:rsidRPr="00C3545D">
        <w:rPr>
          <w:color w:val="000000" w:themeColor="text1"/>
        </w:rPr>
        <w:t xml:space="preserve"> </w:t>
      </w:r>
      <w:r w:rsidR="00953046">
        <w:rPr>
          <w:color w:val="000000" w:themeColor="text1"/>
        </w:rPr>
        <w:t>Regional M</w:t>
      </w:r>
      <w:r w:rsidRPr="00C3545D">
        <w:rPr>
          <w:color w:val="000000" w:themeColor="text1"/>
        </w:rPr>
        <w:t>anagers</w:t>
      </w:r>
      <w:r w:rsidR="00491F57">
        <w:rPr>
          <w:color w:val="000000" w:themeColor="text1"/>
        </w:rPr>
        <w:t xml:space="preserve"> as</w:t>
      </w:r>
      <w:r w:rsidR="00CB1DB8">
        <w:rPr>
          <w:color w:val="000000" w:themeColor="text1"/>
        </w:rPr>
        <w:t xml:space="preserve"> venues used</w:t>
      </w:r>
      <w:r w:rsidRPr="00C3545D">
        <w:rPr>
          <w:color w:val="000000" w:themeColor="text1"/>
        </w:rPr>
        <w:t xml:space="preserve"> to review data, explore trends, and discuss other relevant regi</w:t>
      </w:r>
      <w:r w:rsidR="006A2A85">
        <w:rPr>
          <w:color w:val="000000" w:themeColor="text1"/>
        </w:rPr>
        <w:t xml:space="preserve">onal issues </w:t>
      </w:r>
      <w:r w:rsidR="00CB1DB8">
        <w:rPr>
          <w:color w:val="000000" w:themeColor="text1"/>
        </w:rPr>
        <w:t>and</w:t>
      </w:r>
      <w:r w:rsidR="006A2A85">
        <w:rPr>
          <w:color w:val="000000" w:themeColor="text1"/>
        </w:rPr>
        <w:t xml:space="preserve"> best practices. </w:t>
      </w:r>
      <w:r w:rsidR="00AC4078">
        <w:t>Qlarant</w:t>
      </w:r>
      <w:r w:rsidRPr="00A82EAB">
        <w:t xml:space="preserve"> facilitate</w:t>
      </w:r>
      <w:r w:rsidR="00AA7A9B">
        <w:t>s</w:t>
      </w:r>
      <w:r w:rsidRPr="00A82EAB">
        <w:t xml:space="preserve"> </w:t>
      </w:r>
      <w:r w:rsidR="00AA7A9B">
        <w:t>three</w:t>
      </w:r>
      <w:r w:rsidR="00A022CE">
        <w:t xml:space="preserve"> </w:t>
      </w:r>
      <w:r w:rsidRPr="00A82EAB">
        <w:t>Quality Council me</w:t>
      </w:r>
      <w:r w:rsidRPr="007A01A7">
        <w:t>eting</w:t>
      </w:r>
      <w:r w:rsidR="00AA7A9B">
        <w:t>s</w:t>
      </w:r>
      <w:r w:rsidR="00E43315">
        <w:t xml:space="preserve"> </w:t>
      </w:r>
      <w:r w:rsidR="00AA7A9B">
        <w:t xml:space="preserve">annually, which </w:t>
      </w:r>
      <w:r w:rsidR="00CA3238">
        <w:t>have been</w:t>
      </w:r>
      <w:r w:rsidR="00AA7A9B">
        <w:t xml:space="preserve"> conducted </w:t>
      </w:r>
      <w:r w:rsidR="007C3E0A">
        <w:t>via</w:t>
      </w:r>
      <w:r w:rsidR="00C81CF8">
        <w:t xml:space="preserve"> Webinar</w:t>
      </w:r>
      <w:r w:rsidR="00CA3238">
        <w:t xml:space="preserve"> since March 2020</w:t>
      </w:r>
      <w:r w:rsidR="00C81CF8">
        <w:t xml:space="preserve">. </w:t>
      </w:r>
      <w:r w:rsidR="00AA7A9B">
        <w:t xml:space="preserve">The first meeting </w:t>
      </w:r>
      <w:r w:rsidR="00CA3238">
        <w:t>this contract year was held on</w:t>
      </w:r>
      <w:r w:rsidR="00AA7A9B">
        <w:t xml:space="preserve"> October 15.</w:t>
      </w:r>
      <w:r w:rsidR="009139D0">
        <w:t xml:space="preserve"> Given the Webinar format, as opposed to in-person meetings in Tallahassee or Orlando, the</w:t>
      </w:r>
      <w:r w:rsidR="00B77811">
        <w:t>re were</w:t>
      </w:r>
      <w:r w:rsidR="009139D0">
        <w:t xml:space="preserve"> over 100 attendees from across the state.  </w:t>
      </w:r>
      <w:r w:rsidR="00AA7A9B">
        <w:t xml:space="preserve">  </w:t>
      </w:r>
    </w:p>
    <w:p w14:paraId="7021B64C" w14:textId="77777777" w:rsidR="009C520E" w:rsidRPr="003E0CFC" w:rsidRDefault="009C520E" w:rsidP="009C520E"/>
    <w:p w14:paraId="6115BEE1" w14:textId="304F2185" w:rsidR="0095076C" w:rsidRDefault="0095076C" w:rsidP="0095076C">
      <w:r>
        <w:t xml:space="preserve">Due to the COVID-19 virus pandemic, on </w:t>
      </w:r>
      <w:r w:rsidRPr="00421C5C">
        <w:t>March 16</w:t>
      </w:r>
      <w:r w:rsidR="00E053E6">
        <w:t>, 2020</w:t>
      </w:r>
      <w:r w:rsidR="00E54E61">
        <w:t>,</w:t>
      </w:r>
      <w:r>
        <w:t xml:space="preserve"> ACHA suspended all onsite review activity.  During the remainder of </w:t>
      </w:r>
      <w:r w:rsidR="00C04370">
        <w:t>March</w:t>
      </w:r>
      <w:r>
        <w:t xml:space="preserve">, </w:t>
      </w:r>
      <w:r w:rsidR="00307310">
        <w:t xml:space="preserve">with direction from AHCA and APD, </w:t>
      </w:r>
      <w:r>
        <w:t xml:space="preserve">Qlarant developed </w:t>
      </w:r>
      <w:r w:rsidR="00D97562">
        <w:t>m</w:t>
      </w:r>
      <w:r w:rsidR="00FA36B0">
        <w:t>odified p</w:t>
      </w:r>
      <w:r w:rsidR="00307310">
        <w:t xml:space="preserve">rocedures </w:t>
      </w:r>
      <w:r w:rsidR="00FA36B0">
        <w:t>to address each component of both PDRs and PCRs including</w:t>
      </w:r>
      <w:r>
        <w:t xml:space="preserve"> </w:t>
      </w:r>
      <w:r w:rsidR="00F26FA3">
        <w:t>how records would be reviewed</w:t>
      </w:r>
      <w:r w:rsidR="00D97562">
        <w:t xml:space="preserve"> (desk reviews)</w:t>
      </w:r>
      <w:r>
        <w:t xml:space="preserve"> and phone interview techniques </w:t>
      </w:r>
      <w:r w:rsidR="00D97562">
        <w:t>(remote interviews via phone or video)</w:t>
      </w:r>
      <w:r>
        <w:t>. These new processes, using the same tools, were implemented April 1, 2020</w:t>
      </w:r>
      <w:r w:rsidR="009139D0">
        <w:t>, and are in use as of the end of the 2</w:t>
      </w:r>
      <w:r w:rsidR="009139D0" w:rsidRPr="009139D0">
        <w:rPr>
          <w:vertAlign w:val="superscript"/>
        </w:rPr>
        <w:t>nd</w:t>
      </w:r>
      <w:r w:rsidR="009139D0">
        <w:t xml:space="preserve"> quarter this contract year</w:t>
      </w:r>
      <w:r>
        <w:t xml:space="preserve">. Because these processes are very different, </w:t>
      </w:r>
      <w:r w:rsidR="00C04370">
        <w:t>comparisons</w:t>
      </w:r>
      <w:r w:rsidR="009139D0">
        <w:t xml:space="preserve"> to data collected through pre-pandemic onsite processes should be made with caution. </w:t>
      </w:r>
    </w:p>
    <w:p w14:paraId="1A48B4F4" w14:textId="77777777" w:rsidR="0095076C" w:rsidRDefault="0095076C" w:rsidP="0095076C"/>
    <w:p w14:paraId="0BE54FCD" w14:textId="0AC39D59" w:rsidR="00CF651B" w:rsidRPr="009139D0" w:rsidRDefault="006060B6" w:rsidP="00CF651B">
      <w:pPr>
        <w:rPr>
          <w:highlight w:val="yellow"/>
        </w:rPr>
      </w:pPr>
      <w:r w:rsidRPr="0044280B">
        <w:t>Data for analysis in</w:t>
      </w:r>
      <w:r w:rsidR="00CF651B" w:rsidRPr="0044280B">
        <w:t xml:space="preserve"> this </w:t>
      </w:r>
      <w:r w:rsidR="00CB1DB8" w:rsidRPr="0044280B">
        <w:t>report</w:t>
      </w:r>
      <w:r w:rsidR="00CF651B" w:rsidRPr="0044280B">
        <w:t xml:space="preserve"> are based </w:t>
      </w:r>
      <w:r w:rsidR="00CF651B" w:rsidRPr="00792761">
        <w:t xml:space="preserve">on </w:t>
      </w:r>
      <w:r w:rsidR="00792761" w:rsidRPr="00792761">
        <w:t>674</w:t>
      </w:r>
      <w:r w:rsidR="00AE5516" w:rsidRPr="00792761">
        <w:t xml:space="preserve"> </w:t>
      </w:r>
      <w:r w:rsidR="000D09FA" w:rsidRPr="00792761">
        <w:t xml:space="preserve">PCRs, </w:t>
      </w:r>
      <w:r w:rsidR="00D82462" w:rsidRPr="00D82462">
        <w:t>1,069</w:t>
      </w:r>
      <w:r w:rsidR="000D09FA" w:rsidRPr="00D82462">
        <w:t xml:space="preserve"> </w:t>
      </w:r>
      <w:r w:rsidR="00BC2B3C" w:rsidRPr="00D82462">
        <w:t xml:space="preserve">PDRs and </w:t>
      </w:r>
      <w:r w:rsidR="00792761" w:rsidRPr="00792761">
        <w:t>83</w:t>
      </w:r>
      <w:r w:rsidR="0067795D" w:rsidRPr="00792761">
        <w:t xml:space="preserve"> </w:t>
      </w:r>
      <w:r w:rsidR="00BC2B3C" w:rsidRPr="00792761">
        <w:t>CDC+ Representative reviews</w:t>
      </w:r>
      <w:r w:rsidR="00FF79A0" w:rsidRPr="00792761">
        <w:t xml:space="preserve">. Results are generally </w:t>
      </w:r>
      <w:r w:rsidRPr="00792761">
        <w:t>good</w:t>
      </w:r>
      <w:r w:rsidR="00FF79A0" w:rsidRPr="00792761">
        <w:t xml:space="preserve"> </w:t>
      </w:r>
      <w:r w:rsidR="000D09FA" w:rsidRPr="00792761">
        <w:t xml:space="preserve">- </w:t>
      </w:r>
      <w:r w:rsidR="00FF79A0" w:rsidRPr="00792761">
        <w:t xml:space="preserve">indicating providers are in compliance </w:t>
      </w:r>
      <w:r w:rsidRPr="00792761">
        <w:t xml:space="preserve">with requirements </w:t>
      </w:r>
      <w:r w:rsidR="00FF79A0" w:rsidRPr="00792761">
        <w:t>and individuals appear to be satisfied with the services they receive</w:t>
      </w:r>
      <w:r w:rsidR="007D2D1E" w:rsidRPr="00792761">
        <w:t>.</w:t>
      </w:r>
      <w:r w:rsidR="00FF79A0" w:rsidRPr="00792761">
        <w:t xml:space="preserve"> </w:t>
      </w:r>
      <w:r w:rsidR="00792761" w:rsidRPr="00792761">
        <w:t>F</w:t>
      </w:r>
      <w:r w:rsidR="00CF651B" w:rsidRPr="00792761">
        <w:t xml:space="preserve">indings </w:t>
      </w:r>
      <w:r w:rsidR="00792761" w:rsidRPr="00792761">
        <w:t xml:space="preserve">are preliminary and </w:t>
      </w:r>
      <w:r w:rsidR="00CF651B" w:rsidRPr="00792761">
        <w:t>include the following:</w:t>
      </w:r>
    </w:p>
    <w:p w14:paraId="773317AD" w14:textId="77777777" w:rsidR="00CF651B" w:rsidRPr="009139D0" w:rsidRDefault="00CF651B" w:rsidP="00CF651B">
      <w:pPr>
        <w:rPr>
          <w:highlight w:val="yellow"/>
        </w:rPr>
      </w:pPr>
    </w:p>
    <w:p w14:paraId="7E204E7E" w14:textId="3196E135" w:rsidR="00CF651B" w:rsidRPr="00D82462" w:rsidRDefault="00CF651B" w:rsidP="006F1549">
      <w:pPr>
        <w:numPr>
          <w:ilvl w:val="0"/>
          <w:numId w:val="6"/>
        </w:numPr>
        <w:contextualSpacing/>
      </w:pPr>
      <w:r w:rsidRPr="00D82462">
        <w:t xml:space="preserve">Average scores on all review components (interviews, observations and record reviews) were </w:t>
      </w:r>
      <w:r w:rsidR="00FF79A0" w:rsidRPr="00D82462">
        <w:t xml:space="preserve">approximately </w:t>
      </w:r>
      <w:r w:rsidRPr="00D82462">
        <w:t>90 percent or higher.</w:t>
      </w:r>
      <w:r w:rsidR="000D09FA" w:rsidRPr="00D82462">
        <w:t xml:space="preserve"> </w:t>
      </w:r>
    </w:p>
    <w:p w14:paraId="45AC51E1" w14:textId="3BFFF349" w:rsidR="0064338C" w:rsidRPr="00D82462" w:rsidRDefault="00FB01EC" w:rsidP="006F1549">
      <w:pPr>
        <w:numPr>
          <w:ilvl w:val="0"/>
          <w:numId w:val="6"/>
        </w:numPr>
        <w:contextualSpacing/>
      </w:pPr>
      <w:r w:rsidRPr="00D82462">
        <w:t xml:space="preserve">While the </w:t>
      </w:r>
      <w:r w:rsidR="00DA5584" w:rsidRPr="00D82462">
        <w:t xml:space="preserve">average </w:t>
      </w:r>
      <w:r w:rsidRPr="00D82462">
        <w:t>My Life Interview score for the PCR was relatively high, scores fo</w:t>
      </w:r>
      <w:r w:rsidR="00DA5584" w:rsidRPr="00D82462">
        <w:t xml:space="preserve">r outcomes ranged from </w:t>
      </w:r>
      <w:r w:rsidR="001B1A94" w:rsidRPr="00D82462">
        <w:t>1</w:t>
      </w:r>
      <w:r w:rsidR="00D82462" w:rsidRPr="00D82462">
        <w:t>9</w:t>
      </w:r>
      <w:r w:rsidRPr="00D82462">
        <w:t xml:space="preserve"> percent to 100 percent. Scores for supports ranged from </w:t>
      </w:r>
      <w:r w:rsidR="00D82462" w:rsidRPr="00D82462">
        <w:t>25</w:t>
      </w:r>
      <w:r w:rsidRPr="00D82462">
        <w:t xml:space="preserve"> percent to 100 percent.  </w:t>
      </w:r>
    </w:p>
    <w:p w14:paraId="16072516" w14:textId="7CF95490" w:rsidR="00FF758D" w:rsidRPr="00BF1770" w:rsidRDefault="0064338C" w:rsidP="006F1549">
      <w:pPr>
        <w:numPr>
          <w:ilvl w:val="0"/>
          <w:numId w:val="6"/>
        </w:numPr>
        <w:contextualSpacing/>
      </w:pPr>
      <w:r w:rsidRPr="00D82462">
        <w:lastRenderedPageBreak/>
        <w:t xml:space="preserve">For people receiving services through either the Waiver or through CDC+, they </w:t>
      </w:r>
      <w:r w:rsidR="00FF79A0" w:rsidRPr="00D82462">
        <w:t xml:space="preserve">were least likely to have </w:t>
      </w:r>
      <w:r w:rsidR="00FF758D" w:rsidRPr="00D82462">
        <w:t>Safety</w:t>
      </w:r>
      <w:r w:rsidR="00C01F4F" w:rsidRPr="00D82462">
        <w:t xml:space="preserve"> Life Area</w:t>
      </w:r>
      <w:r w:rsidR="00BC2B3C" w:rsidRPr="00D82462">
        <w:t xml:space="preserve"> outcomes present</w:t>
      </w:r>
      <w:r w:rsidRPr="00D82462">
        <w:t>.</w:t>
      </w:r>
      <w:r w:rsidR="001B1A94" w:rsidRPr="00D82462">
        <w:t xml:space="preserve"> Supports for Safety were </w:t>
      </w:r>
      <w:r w:rsidR="00D82462" w:rsidRPr="00D82462">
        <w:t>close to</w:t>
      </w:r>
      <w:r w:rsidR="001B1A94" w:rsidRPr="00D82462">
        <w:t xml:space="preserve"> 20 points </w:t>
      </w:r>
      <w:r w:rsidR="00BC2B3C" w:rsidRPr="00BF1770">
        <w:t>higher than outcomes</w:t>
      </w:r>
      <w:r w:rsidR="00D82462" w:rsidRPr="00BF1770">
        <w:t xml:space="preserve"> for the Waiver and 25 point higher for CDC+</w:t>
      </w:r>
      <w:r w:rsidR="00BC2B3C" w:rsidRPr="00BF1770">
        <w:t xml:space="preserve">.  </w:t>
      </w:r>
      <w:r w:rsidR="00FF758D" w:rsidRPr="00BF1770">
        <w:t xml:space="preserve"> </w:t>
      </w:r>
    </w:p>
    <w:p w14:paraId="493850ED" w14:textId="46A1FDF4" w:rsidR="00DA5584" w:rsidRPr="00BF1770" w:rsidRDefault="00D82462" w:rsidP="00DA5584">
      <w:pPr>
        <w:numPr>
          <w:ilvl w:val="0"/>
          <w:numId w:val="6"/>
        </w:numPr>
        <w:contextualSpacing/>
      </w:pPr>
      <w:r w:rsidRPr="00BF1770">
        <w:t>S</w:t>
      </w:r>
      <w:r w:rsidR="008C32A6" w:rsidRPr="00BF1770">
        <w:t xml:space="preserve">mall </w:t>
      </w:r>
      <w:r w:rsidRPr="00BF1770">
        <w:t xml:space="preserve">service </w:t>
      </w:r>
      <w:r w:rsidR="008C32A6" w:rsidRPr="00BF1770">
        <w:t>providers and solo WSCs on average score lower than larger providers or agency WSCs.</w:t>
      </w:r>
    </w:p>
    <w:p w14:paraId="2DF2DF26" w14:textId="2B07B44F" w:rsidR="004D4ACA" w:rsidRPr="00BF1770" w:rsidRDefault="00D82462" w:rsidP="006F1549">
      <w:pPr>
        <w:numPr>
          <w:ilvl w:val="0"/>
          <w:numId w:val="6"/>
        </w:numPr>
        <w:contextualSpacing/>
      </w:pPr>
      <w:r w:rsidRPr="00BF1770">
        <w:t>S</w:t>
      </w:r>
      <w:r w:rsidR="004D4ACA" w:rsidRPr="00BF1770">
        <w:t xml:space="preserve">atisfaction levels </w:t>
      </w:r>
      <w:r w:rsidR="001B3903" w:rsidRPr="00BF1770">
        <w:t xml:space="preserve">with community involvement </w:t>
      </w:r>
      <w:r w:rsidR="004D4ACA" w:rsidRPr="00BF1770">
        <w:t xml:space="preserve">were lower </w:t>
      </w:r>
      <w:r w:rsidR="001B3903" w:rsidRPr="00BF1770">
        <w:t>than for any other area</w:t>
      </w:r>
      <w:r w:rsidR="004D4ACA" w:rsidRPr="00BF1770">
        <w:t xml:space="preserve">.  </w:t>
      </w:r>
      <w:r w:rsidR="001B3903" w:rsidRPr="00BF1770">
        <w:t>This and several other areas may be reflecting the impact of the Corona</w:t>
      </w:r>
      <w:r w:rsidR="00015420" w:rsidRPr="00BF1770">
        <w:t>v</w:t>
      </w:r>
      <w:r w:rsidR="001B3903" w:rsidRPr="00BF1770">
        <w:t>irus pandemic</w:t>
      </w:r>
      <w:r w:rsidR="005D5F56" w:rsidRPr="00BF1770">
        <w:t>.</w:t>
      </w:r>
      <w:r w:rsidR="004D4ACA" w:rsidRPr="00BF1770">
        <w:t xml:space="preserve">  </w:t>
      </w:r>
    </w:p>
    <w:p w14:paraId="2A454914" w14:textId="77777777" w:rsidR="00CF651B" w:rsidRPr="00CF651B" w:rsidRDefault="00CF651B" w:rsidP="00CF651B"/>
    <w:p w14:paraId="3F113F89" w14:textId="6E06D18C" w:rsidR="00CF651B" w:rsidRPr="004A03EC" w:rsidRDefault="00CF651B" w:rsidP="00CF651B">
      <w:r w:rsidRPr="00EF7133">
        <w:t>These and other findings are discussed in this report</w:t>
      </w:r>
      <w:r w:rsidR="00A022CE" w:rsidRPr="00EF7133">
        <w:t xml:space="preserve">. </w:t>
      </w:r>
      <w:r w:rsidR="00C01F4F">
        <w:t xml:space="preserve">Some recommendations are offered </w:t>
      </w:r>
      <w:r w:rsidR="008C32A6">
        <w:t>to help improve system performance</w:t>
      </w:r>
      <w:r w:rsidR="00C01F4F">
        <w:t>.</w:t>
      </w:r>
    </w:p>
    <w:p w14:paraId="116250B0" w14:textId="045365EB" w:rsidR="009C520E" w:rsidRDefault="009C520E" w:rsidP="009C520E"/>
    <w:p w14:paraId="0E79A2BE" w14:textId="4245716F" w:rsidR="00CF651B" w:rsidRDefault="00CF651B">
      <w:pPr>
        <w:spacing w:after="160" w:line="259" w:lineRule="auto"/>
      </w:pPr>
      <w:r>
        <w:br w:type="page"/>
      </w:r>
    </w:p>
    <w:p w14:paraId="7D1D8FC1" w14:textId="77777777" w:rsidR="00CF651B" w:rsidRDefault="00CF651B" w:rsidP="009C520E"/>
    <w:p w14:paraId="0C208F65" w14:textId="77777777" w:rsidR="009C520E" w:rsidRDefault="009C520E" w:rsidP="009C520E">
      <w:pPr>
        <w:pStyle w:val="Heading1"/>
      </w:pPr>
      <w:bookmarkStart w:id="5" w:name="_Toc64285513"/>
      <w:r>
        <w:t>Introduction</w:t>
      </w:r>
      <w:bookmarkEnd w:id="5"/>
    </w:p>
    <w:p w14:paraId="5829CD5D" w14:textId="6F1452D1" w:rsidR="009C520E" w:rsidRDefault="009C520E" w:rsidP="009C520E">
      <w:r w:rsidRPr="007023F3">
        <w:t xml:space="preserve">In </w:t>
      </w:r>
      <w:r w:rsidR="00F779E2" w:rsidRPr="007023F3">
        <w:t>July 20</w:t>
      </w:r>
      <w:r w:rsidR="00C669AF">
        <w:t>20</w:t>
      </w:r>
      <w:r w:rsidRPr="007023F3">
        <w:t>, the A</w:t>
      </w:r>
      <w:r w:rsidRPr="00C97D73">
        <w:t xml:space="preserve">gency for Health Care Administration (AHCA) entered </w:t>
      </w:r>
      <w:r w:rsidRPr="00907AD3">
        <w:t xml:space="preserve">into </w:t>
      </w:r>
      <w:r w:rsidR="002D4141" w:rsidRPr="00907AD3">
        <w:t xml:space="preserve">the </w:t>
      </w:r>
      <w:r w:rsidR="00C669AF">
        <w:t>fourth</w:t>
      </w:r>
      <w:r w:rsidR="002D4141" w:rsidRPr="00907AD3">
        <w:t xml:space="preserve"> year of the current </w:t>
      </w:r>
      <w:r w:rsidRPr="00907AD3">
        <w:t xml:space="preserve">contract with </w:t>
      </w:r>
      <w:r w:rsidR="00AC4078" w:rsidRPr="00907AD3">
        <w:t>Qlarant</w:t>
      </w:r>
      <w:r w:rsidRPr="00907AD3">
        <w:t xml:space="preserve"> to provide quality assurance discovery activities for the </w:t>
      </w:r>
      <w:r w:rsidR="00893D58" w:rsidRPr="00907AD3">
        <w:t xml:space="preserve">Developmental Disabilities </w:t>
      </w:r>
      <w:r w:rsidR="00491BA7" w:rsidRPr="00907AD3">
        <w:t>Individual</w:t>
      </w:r>
      <w:r w:rsidR="00F359D1" w:rsidRPr="00907AD3">
        <w:t>ized</w:t>
      </w:r>
      <w:r w:rsidR="00491BA7" w:rsidRPr="00907AD3">
        <w:t xml:space="preserve"> Budgeting </w:t>
      </w:r>
      <w:r w:rsidRPr="00907AD3">
        <w:t>Services (</w:t>
      </w:r>
      <w:r w:rsidR="00491BA7" w:rsidRPr="00907AD3">
        <w:t>iBudget</w:t>
      </w:r>
      <w:r w:rsidRPr="00907AD3">
        <w:t xml:space="preserve">) </w:t>
      </w:r>
      <w:r w:rsidR="002F6868" w:rsidRPr="00907AD3">
        <w:t>W</w:t>
      </w:r>
      <w:r w:rsidRPr="00907AD3">
        <w:t>aiver and the Consumer Directed Care Plus (CDC+) program</w:t>
      </w:r>
      <w:r w:rsidR="007023F3" w:rsidRPr="00907AD3">
        <w:t>.</w:t>
      </w:r>
      <w:r w:rsidR="001B1D4B" w:rsidRPr="00907AD3">
        <w:t xml:space="preserve"> </w:t>
      </w:r>
      <w:r w:rsidRPr="00907AD3">
        <w:t>Through th</w:t>
      </w:r>
      <w:r w:rsidR="007023F3" w:rsidRPr="00907AD3">
        <w:t>is</w:t>
      </w:r>
      <w:r w:rsidRPr="00907AD3">
        <w:t xml:space="preserve"> Florida Statewide Quality Assurance Program</w:t>
      </w:r>
      <w:r w:rsidRPr="00C370DE">
        <w:t xml:space="preserve"> (FSQAP), </w:t>
      </w:r>
      <w:r w:rsidR="007023F3" w:rsidRPr="00C370DE">
        <w:t>administered by the Agency for Pe</w:t>
      </w:r>
      <w:r w:rsidR="007023F3">
        <w:t xml:space="preserve">rsons with Disabilities (APD), </w:t>
      </w:r>
      <w:r w:rsidR="00AC4078">
        <w:t>Qlarant</w:t>
      </w:r>
      <w:r>
        <w:t>, AHCA and APD have designed a Quality Management Strategy based on the Home and Community Based Services (HCBS) Quality Framework Model developed by the Centers for Medica</w:t>
      </w:r>
      <w:r w:rsidR="00893D58">
        <w:t xml:space="preserve">re and Medicaid Services (CMS). </w:t>
      </w:r>
      <w:r>
        <w:t>Three quality management functions are identified by CMS:  discovery, remediation, and improvement.</w:t>
      </w:r>
    </w:p>
    <w:p w14:paraId="449C8CC7" w14:textId="65C98543" w:rsidR="002F26CC" w:rsidRDefault="002F26CC" w:rsidP="002F26CC">
      <w:pPr>
        <w:spacing w:line="240" w:lineRule="auto"/>
      </w:pPr>
    </w:p>
    <w:p w14:paraId="75A46882" w14:textId="55B38A3A" w:rsidR="009C520E" w:rsidRDefault="00634B48" w:rsidP="009C520E">
      <w:r>
        <w:rPr>
          <w:noProof/>
        </w:rPr>
        <w:drawing>
          <wp:anchor distT="0" distB="0" distL="114300" distR="114300" simplePos="0" relativeHeight="251658245" behindDoc="0" locked="0" layoutInCell="1" allowOverlap="1" wp14:anchorId="0AEDEB87" wp14:editId="34C21778">
            <wp:simplePos x="0" y="0"/>
            <wp:positionH relativeFrom="column">
              <wp:posOffset>5010150</wp:posOffset>
            </wp:positionH>
            <wp:positionV relativeFrom="paragraph">
              <wp:posOffset>120650</wp:posOffset>
            </wp:positionV>
            <wp:extent cx="1092835" cy="10096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iscovery1-e143006509274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835" cy="1009650"/>
                    </a:xfrm>
                    <a:prstGeom prst="rect">
                      <a:avLst/>
                    </a:prstGeom>
                  </pic:spPr>
                </pic:pic>
              </a:graphicData>
            </a:graphic>
            <wp14:sizeRelH relativeFrom="margin">
              <wp14:pctWidth>0</wp14:pctWidth>
            </wp14:sizeRelH>
            <wp14:sizeRelV relativeFrom="margin">
              <wp14:pctHeight>0</wp14:pctHeight>
            </wp14:sizeRelV>
          </wp:anchor>
        </w:drawing>
      </w:r>
      <w:r w:rsidR="00AC4078">
        <w:t>Qlarant</w:t>
      </w:r>
      <w:r w:rsidR="009C520E">
        <w:t>’s purpose is w</w:t>
      </w:r>
      <w:r w:rsidR="001B1D4B">
        <w:t xml:space="preserve">ithin the discovery framework. </w:t>
      </w:r>
      <w:r w:rsidR="009C520E">
        <w:t xml:space="preserve">The information from the review processes is used by </w:t>
      </w:r>
      <w:r w:rsidR="00032695">
        <w:t xml:space="preserve">AHCA </w:t>
      </w:r>
      <w:r w:rsidR="001B1D4B">
        <w:t xml:space="preserve">and </w:t>
      </w:r>
      <w:r w:rsidR="009C520E">
        <w:t>APD to help guide policies, programs, or other necessary actions to effectively remediate issues or problems uncovered through the discovery process. Data from the quarterly and annual reports are examined during the Regional Quarterly Meetings and Quality Council meetings to help target local and statewide remediation activity.</w:t>
      </w:r>
    </w:p>
    <w:p w14:paraId="5EC28B63" w14:textId="53AB1BF1" w:rsidR="004D49E9" w:rsidRDefault="004D49E9" w:rsidP="004D49E9"/>
    <w:p w14:paraId="136707C0" w14:textId="5A9C1047" w:rsidR="00417191" w:rsidRDefault="00417191" w:rsidP="002F5AB4">
      <w:r>
        <w:t>Qlarant’s discovery process comprises two major components:  Person Centered Reviews (PCR) and Pro</w:t>
      </w:r>
      <w:r w:rsidR="001B1D4B">
        <w:t xml:space="preserve">vider Discovery Reviews (PDR). </w:t>
      </w:r>
      <w:r>
        <w:t>Both ensure the person receiving services has a voice in evaluating performance and outcomes</w:t>
      </w:r>
      <w:r w:rsidR="002F5AB4">
        <w:t xml:space="preserve"> and b</w:t>
      </w:r>
      <w:r>
        <w:t>oth utilize comprehensive methods to evaluate the quality of the services received.</w:t>
      </w:r>
      <w:r w:rsidRPr="00417191">
        <w:t xml:space="preserve"> </w:t>
      </w:r>
      <w:r w:rsidR="002F5AB4">
        <w:t xml:space="preserve">The primary purpose of the PCR is to determine the </w:t>
      </w:r>
      <w:r w:rsidR="00BC06D0">
        <w:t>quality of the person</w:t>
      </w:r>
      <w:r w:rsidR="007D2D1E">
        <w:t>’s</w:t>
      </w:r>
      <w:r w:rsidR="00BC06D0">
        <w:t xml:space="preserve"> life, and the </w:t>
      </w:r>
      <w:r w:rsidR="002F5AB4">
        <w:t>quality of the person’s service delivery system from the perspective of the person receiving services. The focus of the PDR is to review provider compliance with requirements and standards specified in the Developmental Disabilities Individual Budgeting Waiver Services Coverage and Limitations Handbook</w:t>
      </w:r>
      <w:r w:rsidR="009325BA">
        <w:t xml:space="preserve"> (iBudget Handbook)</w:t>
      </w:r>
      <w:r w:rsidR="002F5AB4">
        <w:t>, and to determine how well services are supporting individuals served.</w:t>
      </w:r>
    </w:p>
    <w:p w14:paraId="665BDF7D" w14:textId="0A292793" w:rsidR="00417191" w:rsidRDefault="00417191" w:rsidP="002F5AB4">
      <w:pPr>
        <w:spacing w:line="240" w:lineRule="auto"/>
      </w:pPr>
    </w:p>
    <w:p w14:paraId="5974FA3D" w14:textId="5F0DADFB" w:rsidR="002F5AB4" w:rsidRDefault="008B38CC" w:rsidP="008B38CC">
      <w:pPr>
        <w:spacing w:line="240" w:lineRule="auto"/>
        <w:jc w:val="center"/>
      </w:pPr>
      <w:r>
        <w:rPr>
          <w:noProof/>
        </w:rPr>
        <w:drawing>
          <wp:inline distT="0" distB="0" distL="0" distR="0" wp14:anchorId="3727A222" wp14:editId="2962E93B">
            <wp:extent cx="5772839" cy="1895475"/>
            <wp:effectExtent l="0" t="0" r="18415" b="95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48588BA" w14:textId="4720CFBD" w:rsidR="00032695" w:rsidRDefault="00032695" w:rsidP="004D49E9"/>
    <w:p w14:paraId="0CAB3142" w14:textId="2E159E43" w:rsidR="002F5AB4" w:rsidRDefault="002F5AB4" w:rsidP="002F5AB4">
      <w:r>
        <w:lastRenderedPageBreak/>
        <w:t xml:space="preserve">The PCR includes an interview with the person, </w:t>
      </w:r>
      <w:r w:rsidR="00650234">
        <w:t xml:space="preserve">including people receiving services through the Consumer Directed Care Plus (CDC+) program, </w:t>
      </w:r>
      <w:r>
        <w:t>review of the Support Coordinator’s record for the person, and record reviews completed for the CDC+ Co</w:t>
      </w:r>
      <w:r w:rsidR="001B1D4B">
        <w:t xml:space="preserve">nsultant and Representative. </w:t>
      </w:r>
      <w:r>
        <w:t xml:space="preserve">The PDR </w:t>
      </w:r>
      <w:r w:rsidR="00C97D73">
        <w:t>includes an</w:t>
      </w:r>
      <w:r>
        <w:t xml:space="preserve"> Administrative Record Review of organizational Policies and Procedures </w:t>
      </w:r>
      <w:r w:rsidR="000706A5">
        <w:t xml:space="preserve">(agencies only) </w:t>
      </w:r>
      <w:r>
        <w:t xml:space="preserve">and staff Qualifications and Training; Service Specific Record Reviews; </w:t>
      </w:r>
      <w:r w:rsidR="000A75A7">
        <w:t xml:space="preserve">and </w:t>
      </w:r>
      <w:r>
        <w:t xml:space="preserve">interviews with individuals receiving </w:t>
      </w:r>
      <w:r w:rsidR="007D2D1E">
        <w:t xml:space="preserve">services. </w:t>
      </w:r>
      <w:r>
        <w:t>Observations</w:t>
      </w:r>
      <w:r w:rsidR="0044280B">
        <w:t>,</w:t>
      </w:r>
      <w:r>
        <w:t xml:space="preserve"> completed for licensed residential homes (LRH) and day program</w:t>
      </w:r>
      <w:r w:rsidR="000706A5">
        <w:t xml:space="preserve"> facilities</w:t>
      </w:r>
      <w:r w:rsidR="0044280B">
        <w:t>,</w:t>
      </w:r>
      <w:r w:rsidR="00CF1384">
        <w:t xml:space="preserve"> have been temporarily ceased due to the coronavirus pandemic</w:t>
      </w:r>
      <w:r>
        <w:t xml:space="preserve">. </w:t>
      </w:r>
    </w:p>
    <w:p w14:paraId="20FA77C2" w14:textId="7C620C14" w:rsidR="00325CE6" w:rsidRDefault="00D77983" w:rsidP="00D77983">
      <w:pPr>
        <w:tabs>
          <w:tab w:val="left" w:pos="3690"/>
        </w:tabs>
      </w:pPr>
      <w:r>
        <w:tab/>
      </w:r>
    </w:p>
    <w:p w14:paraId="50CE7261" w14:textId="2E3716A0" w:rsidR="002F5AB4" w:rsidRDefault="00D77983" w:rsidP="004D49E9">
      <w:r>
        <w:rPr>
          <w:noProof/>
        </w:rPr>
        <mc:AlternateContent>
          <mc:Choice Requires="wps">
            <w:drawing>
              <wp:anchor distT="0" distB="0" distL="114300" distR="114300" simplePos="0" relativeHeight="251658251" behindDoc="0" locked="0" layoutInCell="1" allowOverlap="1" wp14:anchorId="1B3E5681" wp14:editId="18D09432">
                <wp:simplePos x="0" y="0"/>
                <wp:positionH relativeFrom="margin">
                  <wp:posOffset>5080</wp:posOffset>
                </wp:positionH>
                <wp:positionV relativeFrom="paragraph">
                  <wp:posOffset>9779</wp:posOffset>
                </wp:positionV>
                <wp:extent cx="5943600" cy="343535"/>
                <wp:effectExtent l="0" t="0" r="19050" b="18415"/>
                <wp:wrapNone/>
                <wp:docPr id="11" name="Flowchart: Alternate Process 11"/>
                <wp:cNvGraphicFramePr/>
                <a:graphic xmlns:a="http://schemas.openxmlformats.org/drawingml/2006/main">
                  <a:graphicData uri="http://schemas.microsoft.com/office/word/2010/wordprocessingShape">
                    <wps:wsp>
                      <wps:cNvSpPr/>
                      <wps:spPr>
                        <a:xfrm>
                          <a:off x="0" y="0"/>
                          <a:ext cx="5943600" cy="343535"/>
                        </a:xfrm>
                        <a:prstGeom prst="flowChartAlternateProcess">
                          <a:avLst/>
                        </a:prstGeom>
                        <a:solidFill>
                          <a:schemeClr val="bg2">
                            <a:lumMod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1BB21C" w14:textId="3643FD12" w:rsidR="00F94347" w:rsidRPr="00DD1379" w:rsidRDefault="00F94347" w:rsidP="00C84038">
                            <w:pPr>
                              <w:jc w:val="center"/>
                              <w:rPr>
                                <w:rFonts w:ascii="Franklin Gothic Medium" w:hAnsi="Franklin Gothic Medium" w:cstheme="minorHAnsi"/>
                              </w:rPr>
                            </w:pPr>
                            <w:r w:rsidRPr="00DD1379">
                              <w:rPr>
                                <w:rFonts w:ascii="Franklin Gothic Medium" w:hAnsi="Franklin Gothic Medium" w:cstheme="minorHAnsi"/>
                              </w:rPr>
                              <w:t>Person Centered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3E568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1" o:spid="_x0000_s1026" type="#_x0000_t176" style="position:absolute;margin-left:.4pt;margin-top:.75pt;width:468pt;height:27.0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" fillcolor="#393737 [814]" strokecolor="#1f4d78 [1604]" strokeweight="1pt">
                <v:textbox>
                  <w:txbxContent>
                    <w:p w14:paraId="491BB21C" w14:textId="3643FD12" w:rsidR="00F94347" w:rsidRPr="00DD1379" w:rsidRDefault="00F94347" w:rsidP="00C84038">
                      <w:pPr>
                        <w:jc w:val="center"/>
                        <w:rPr>
                          <w:rFonts w:ascii="Franklin Gothic Medium" w:hAnsi="Franklin Gothic Medium" w:cstheme="minorHAnsi"/>
                        </w:rPr>
                      </w:pPr>
                      <w:r w:rsidRPr="00DD1379">
                        <w:rPr>
                          <w:rFonts w:ascii="Franklin Gothic Medium" w:hAnsi="Franklin Gothic Medium" w:cstheme="minorHAnsi"/>
                        </w:rPr>
                        <w:t>Person Centered Review</w:t>
                      </w:r>
                    </w:p>
                  </w:txbxContent>
                </v:textbox>
                <w10:wrap anchorx="margin"/>
              </v:shape>
            </w:pict>
          </mc:Fallback>
        </mc:AlternateContent>
      </w:r>
    </w:p>
    <w:p w14:paraId="27046577" w14:textId="32189E54" w:rsidR="00032695" w:rsidRDefault="00650234" w:rsidP="00032695">
      <w:pPr>
        <w:spacing w:line="240" w:lineRule="auto"/>
      </w:pPr>
      <w:r>
        <w:t xml:space="preserve">      </w:t>
      </w:r>
      <w:r w:rsidR="00C84038">
        <w:t xml:space="preserve">            </w:t>
      </w:r>
      <w:r>
        <w:t xml:space="preserve">  </w:t>
      </w:r>
      <w:r w:rsidR="00032695">
        <w:rPr>
          <w:noProof/>
        </w:rPr>
        <w:drawing>
          <wp:inline distT="0" distB="0" distL="0" distR="0" wp14:anchorId="27BCE6EC" wp14:editId="6DA2DA06">
            <wp:extent cx="5943600" cy="2200275"/>
            <wp:effectExtent l="0" t="19050" r="0" b="4762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86A4488" w14:textId="43921BC7" w:rsidR="004D49E9" w:rsidRDefault="00D77983" w:rsidP="00D77983">
      <w:pPr>
        <w:tabs>
          <w:tab w:val="left" w:pos="3975"/>
        </w:tabs>
        <w:spacing w:line="240" w:lineRule="auto"/>
      </w:pPr>
      <w:r>
        <w:tab/>
      </w:r>
      <w:r w:rsidR="007D4534">
        <w:rPr>
          <w:noProof/>
        </w:rPr>
        <mc:AlternateContent>
          <mc:Choice Requires="wps">
            <w:drawing>
              <wp:anchor distT="0" distB="0" distL="114300" distR="114300" simplePos="0" relativeHeight="251658252" behindDoc="0" locked="0" layoutInCell="1" allowOverlap="1" wp14:anchorId="3887C5D7" wp14:editId="63D6E3A2">
                <wp:simplePos x="0" y="0"/>
                <wp:positionH relativeFrom="margin">
                  <wp:posOffset>-50800</wp:posOffset>
                </wp:positionH>
                <wp:positionV relativeFrom="paragraph">
                  <wp:posOffset>177165</wp:posOffset>
                </wp:positionV>
                <wp:extent cx="5943600" cy="347472"/>
                <wp:effectExtent l="0" t="0" r="19050" b="14605"/>
                <wp:wrapNone/>
                <wp:docPr id="48" name="Flowchart: Alternate Process 48"/>
                <wp:cNvGraphicFramePr/>
                <a:graphic xmlns:a="http://schemas.openxmlformats.org/drawingml/2006/main">
                  <a:graphicData uri="http://schemas.microsoft.com/office/word/2010/wordprocessingShape">
                    <wps:wsp>
                      <wps:cNvSpPr/>
                      <wps:spPr>
                        <a:xfrm>
                          <a:off x="0" y="0"/>
                          <a:ext cx="5943600" cy="347472"/>
                        </a:xfrm>
                        <a:prstGeom prst="flowChartAlternateProcess">
                          <a:avLst/>
                        </a:prstGeom>
                        <a:solidFill>
                          <a:srgbClr val="E7E6E6">
                            <a:lumMod val="25000"/>
                          </a:srgbClr>
                        </a:solidFill>
                        <a:ln w="12700" cap="flat" cmpd="sng" algn="ctr">
                          <a:solidFill>
                            <a:srgbClr val="5B9BD5">
                              <a:shade val="50000"/>
                            </a:srgbClr>
                          </a:solidFill>
                          <a:prstDash val="solid"/>
                          <a:miter lim="800000"/>
                        </a:ln>
                        <a:effectLst/>
                      </wps:spPr>
                      <wps:txbx>
                        <w:txbxContent>
                          <w:p w14:paraId="0363D9BF" w14:textId="54DE6AC0" w:rsidR="00F94347" w:rsidRPr="00065BD8" w:rsidRDefault="00F94347" w:rsidP="00325CE6">
                            <w:pPr>
                              <w:jc w:val="center"/>
                              <w:rPr>
                                <w:rStyle w:val="SubtleEmphasis"/>
                                <w:rFonts w:ascii="Franklin Gothic Medium" w:hAnsi="Franklin Gothic Medium"/>
                                <w:i w:val="0"/>
                                <w:color w:val="FFFFFF" w:themeColor="background1"/>
                              </w:rPr>
                            </w:pPr>
                            <w:r w:rsidRPr="00065BD8">
                              <w:rPr>
                                <w:rStyle w:val="SubtleEmphasis"/>
                                <w:rFonts w:ascii="Franklin Gothic Medium" w:hAnsi="Franklin Gothic Medium"/>
                                <w:i w:val="0"/>
                                <w:color w:val="FFFFFF" w:themeColor="background1"/>
                              </w:rPr>
                              <w:t>Provider Discovery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7C5D7" id="Flowchart: Alternate Process 48" o:spid="_x0000_s1027" type="#_x0000_t176" style="position:absolute;margin-left:-4pt;margin-top:13.95pt;width:468pt;height:27.3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" fillcolor="#3b3838" strokecolor="#41719c" strokeweight="1pt">
                <v:textbox>
                  <w:txbxContent>
                    <w:p w14:paraId="0363D9BF" w14:textId="54DE6AC0" w:rsidR="00F94347" w:rsidRPr="00065BD8" w:rsidRDefault="00F94347" w:rsidP="00325CE6">
                      <w:pPr>
                        <w:jc w:val="center"/>
                        <w:rPr>
                          <w:rStyle w:val="SubtleEmphasis"/>
                          <w:rFonts w:ascii="Franklin Gothic Medium" w:hAnsi="Franklin Gothic Medium"/>
                          <w:i w:val="0"/>
                          <w:color w:val="FFFFFF" w:themeColor="background1"/>
                        </w:rPr>
                      </w:pPr>
                      <w:r w:rsidRPr="00065BD8">
                        <w:rPr>
                          <w:rStyle w:val="SubtleEmphasis"/>
                          <w:rFonts w:ascii="Franklin Gothic Medium" w:hAnsi="Franklin Gothic Medium"/>
                          <w:i w:val="0"/>
                          <w:color w:val="FFFFFF" w:themeColor="background1"/>
                        </w:rPr>
                        <w:t>Provider Discovery Review</w:t>
                      </w:r>
                    </w:p>
                  </w:txbxContent>
                </v:textbox>
                <w10:wrap anchorx="margin"/>
              </v:shape>
            </w:pict>
          </mc:Fallback>
        </mc:AlternateContent>
      </w:r>
      <w:r w:rsidR="004D49E9">
        <w:t xml:space="preserve">                          </w:t>
      </w:r>
    </w:p>
    <w:p w14:paraId="5FCD208C" w14:textId="77777777" w:rsidR="00325CE6" w:rsidRDefault="00325CE6" w:rsidP="004D49E9">
      <w:pPr>
        <w:spacing w:line="240" w:lineRule="auto"/>
      </w:pPr>
    </w:p>
    <w:p w14:paraId="5E5FC6A0" w14:textId="0E3B6E18" w:rsidR="009C520E" w:rsidRDefault="00325CE6" w:rsidP="00380E0A">
      <w:pPr>
        <w:spacing w:line="240" w:lineRule="auto"/>
      </w:pPr>
      <w:r>
        <w:t xml:space="preserve">                  </w:t>
      </w:r>
      <w:r>
        <w:rPr>
          <w:noProof/>
        </w:rPr>
        <w:drawing>
          <wp:inline distT="0" distB="0" distL="0" distR="0" wp14:anchorId="5BDBEDC9" wp14:editId="57026C02">
            <wp:extent cx="5943600" cy="2466975"/>
            <wp:effectExtent l="0" t="0" r="0" b="952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63B6EDB" w14:textId="77777777" w:rsidR="000745CA" w:rsidRDefault="000745CA" w:rsidP="009C520E"/>
    <w:p w14:paraId="6B4F4182" w14:textId="77777777" w:rsidR="00CF1384" w:rsidRDefault="002018CA" w:rsidP="009C520E">
      <w:r>
        <w:t>For</w:t>
      </w:r>
      <w:r w:rsidR="009C520E">
        <w:t xml:space="preserve"> the CDC+ program, consultants and representatives are reviewed on the standards set forth by APD and AHCA. Although CDC+ </w:t>
      </w:r>
      <w:r w:rsidR="004C2CAE">
        <w:t>is</w:t>
      </w:r>
      <w:r w:rsidR="009C520E">
        <w:t xml:space="preserve"> funded through the iBudget </w:t>
      </w:r>
      <w:r w:rsidR="002F6868">
        <w:t>Waiver</w:t>
      </w:r>
      <w:r w:rsidR="009C520E">
        <w:t>, the programs are fundamentally different in several aspects and therefore re</w:t>
      </w:r>
      <w:r w:rsidR="001B1D4B">
        <w:t xml:space="preserve">sults are analyzed separately. </w:t>
      </w:r>
      <w:r w:rsidR="009C520E">
        <w:t xml:space="preserve">In </w:t>
      </w:r>
      <w:r w:rsidR="008064E5">
        <w:t>this report</w:t>
      </w:r>
      <w:r w:rsidR="00D63D8C">
        <w:t>, references are made to</w:t>
      </w:r>
      <w:r w:rsidR="004C2CAE">
        <w:t xml:space="preserve"> Waiver and CDC+ </w:t>
      </w:r>
      <w:r w:rsidR="009C520E">
        <w:t>to make the distinction between the two groups.</w:t>
      </w:r>
      <w:r w:rsidR="00332777">
        <w:t xml:space="preserve"> </w:t>
      </w:r>
    </w:p>
    <w:p w14:paraId="30A91713" w14:textId="77777777" w:rsidR="00CF1384" w:rsidRDefault="00CF1384" w:rsidP="009C520E"/>
    <w:p w14:paraId="543594AA" w14:textId="49F90509" w:rsidR="00FB7804" w:rsidRDefault="00CF1384" w:rsidP="009C520E">
      <w:r>
        <w:t>Beginning in April 2020, review processes were modified to allow for COVID-19 precautions. All interviews are now completed remotely by phone or, if possible, by video.  Documentation reviews are completed via a desk</w:t>
      </w:r>
      <w:r w:rsidR="00FB7804">
        <w:t xml:space="preserve"> review. </w:t>
      </w:r>
    </w:p>
    <w:p w14:paraId="58296F64" w14:textId="77777777" w:rsidR="00FB7804" w:rsidRDefault="00FB7804" w:rsidP="009C520E"/>
    <w:p w14:paraId="1B53D526" w14:textId="1E733EFD" w:rsidR="009C520E" w:rsidRDefault="00332777" w:rsidP="009C520E">
      <w:r>
        <w:t>T</w:t>
      </w:r>
      <w:r w:rsidR="009C520E">
        <w:t xml:space="preserve">his </w:t>
      </w:r>
      <w:r w:rsidR="008064E5">
        <w:t xml:space="preserve">is the </w:t>
      </w:r>
      <w:r w:rsidR="00E53E97">
        <w:t>2</w:t>
      </w:r>
      <w:r w:rsidR="00E53E97" w:rsidRPr="00E53E97">
        <w:rPr>
          <w:vertAlign w:val="superscript"/>
        </w:rPr>
        <w:t>nd</w:t>
      </w:r>
      <w:r w:rsidR="00E53E97">
        <w:t xml:space="preserve"> </w:t>
      </w:r>
      <w:r w:rsidR="00FB7804">
        <w:t xml:space="preserve">Quarter </w:t>
      </w:r>
      <w:r w:rsidR="000745CA">
        <w:t>R</w:t>
      </w:r>
      <w:r w:rsidR="009C520E">
        <w:t xml:space="preserve">eport </w:t>
      </w:r>
      <w:r w:rsidR="00A47820">
        <w:t>of the FY</w:t>
      </w:r>
      <w:r w:rsidR="0037076B">
        <w:t xml:space="preserve"> 20</w:t>
      </w:r>
      <w:r w:rsidR="000745CA">
        <w:t>2</w:t>
      </w:r>
      <w:r w:rsidR="00FB7804">
        <w:t>1</w:t>
      </w:r>
      <w:r w:rsidR="008064E5">
        <w:t xml:space="preserve"> contract</w:t>
      </w:r>
      <w:r w:rsidR="002018CA">
        <w:t xml:space="preserve"> year</w:t>
      </w:r>
      <w:r w:rsidR="008064E5">
        <w:t>.</w:t>
      </w:r>
      <w:r w:rsidR="00A47820">
        <w:t xml:space="preserve"> </w:t>
      </w:r>
      <w:r w:rsidR="009C520E">
        <w:t xml:space="preserve">The report is divided into </w:t>
      </w:r>
      <w:r w:rsidR="00E53E97">
        <w:t>three</w:t>
      </w:r>
      <w:r w:rsidR="009C520E">
        <w:t xml:space="preserve"> sections.</w:t>
      </w:r>
    </w:p>
    <w:p w14:paraId="7A24D14B" w14:textId="77777777" w:rsidR="009C520E" w:rsidRDefault="009C520E" w:rsidP="009C520E"/>
    <w:p w14:paraId="717E16D1" w14:textId="0517B820" w:rsidR="009C520E" w:rsidRDefault="009C520E" w:rsidP="009C520E">
      <w:pPr>
        <w:numPr>
          <w:ilvl w:val="0"/>
          <w:numId w:val="1"/>
        </w:numPr>
      </w:pPr>
      <w:r>
        <w:t xml:space="preserve">Section I: </w:t>
      </w:r>
      <w:r w:rsidR="00380E0A">
        <w:t xml:space="preserve"> Significant Contract Activity d</w:t>
      </w:r>
      <w:r>
        <w:t xml:space="preserve">uring the </w:t>
      </w:r>
      <w:r w:rsidR="00E53E97">
        <w:t>2</w:t>
      </w:r>
      <w:r w:rsidR="00E53E97" w:rsidRPr="00E53E97">
        <w:rPr>
          <w:vertAlign w:val="superscript"/>
        </w:rPr>
        <w:t>nd</w:t>
      </w:r>
      <w:r w:rsidR="00E53E97">
        <w:t xml:space="preserve"> </w:t>
      </w:r>
      <w:r w:rsidRPr="00837D93">
        <w:t>Quarter</w:t>
      </w:r>
      <w:r w:rsidR="00FC4BFB" w:rsidRPr="00837D93">
        <w:t xml:space="preserve"> (</w:t>
      </w:r>
      <w:r w:rsidR="00E53E97">
        <w:t>October - December</w:t>
      </w:r>
      <w:r w:rsidR="000745CA" w:rsidRPr="00837D93">
        <w:t xml:space="preserve"> </w:t>
      </w:r>
      <w:r w:rsidR="00FC4BFB" w:rsidRPr="00837D93">
        <w:t>20</w:t>
      </w:r>
      <w:r w:rsidR="00CF4B63">
        <w:t>20</w:t>
      </w:r>
      <w:r w:rsidR="00FC4BFB" w:rsidRPr="00837D93">
        <w:t>)</w:t>
      </w:r>
    </w:p>
    <w:p w14:paraId="0D3E3169" w14:textId="0794EBC6" w:rsidR="009C520E" w:rsidRDefault="009C520E" w:rsidP="009C520E">
      <w:pPr>
        <w:numPr>
          <w:ilvl w:val="0"/>
          <w:numId w:val="1"/>
        </w:numPr>
      </w:pPr>
      <w:r>
        <w:t>Section II:  Data from Review Activities</w:t>
      </w:r>
      <w:r w:rsidR="00AD0A94">
        <w:t xml:space="preserve"> </w:t>
      </w:r>
      <w:r w:rsidR="00E53E97">
        <w:t xml:space="preserve">throughout the contract year, </w:t>
      </w:r>
      <w:r w:rsidR="0044280B">
        <w:t>including comparative analysis as possible</w:t>
      </w:r>
    </w:p>
    <w:p w14:paraId="25FA48C3" w14:textId="73D8091A" w:rsidR="009C520E" w:rsidRDefault="006C757F" w:rsidP="008F7791">
      <w:pPr>
        <w:numPr>
          <w:ilvl w:val="0"/>
          <w:numId w:val="1"/>
        </w:numPr>
      </w:pPr>
      <w:r>
        <w:t xml:space="preserve">Section III: </w:t>
      </w:r>
      <w:r w:rsidR="009C520E">
        <w:t>Discussion and Recommendations</w:t>
      </w:r>
    </w:p>
    <w:p w14:paraId="0DC61C7C" w14:textId="77777777" w:rsidR="009C520E" w:rsidRDefault="009C520E" w:rsidP="009C520E">
      <w:pPr>
        <w:spacing w:line="240" w:lineRule="auto"/>
      </w:pPr>
    </w:p>
    <w:p w14:paraId="043F8B01" w14:textId="64BACD4E" w:rsidR="009C520E" w:rsidRDefault="00C63C89" w:rsidP="00253146">
      <w:pPr>
        <w:spacing w:line="320" w:lineRule="exact"/>
      </w:pPr>
      <w:r>
        <w:t xml:space="preserve">Most </w:t>
      </w:r>
      <w:r w:rsidR="009C520E" w:rsidRPr="006D2292">
        <w:t>c</w:t>
      </w:r>
      <w:r w:rsidR="009C520E">
        <w:t xml:space="preserve">omparisons to data from years prior </w:t>
      </w:r>
      <w:r w:rsidR="000745CA">
        <w:t>to FY</w:t>
      </w:r>
      <w:r w:rsidR="0037076B">
        <w:t xml:space="preserve"> 20</w:t>
      </w:r>
      <w:r w:rsidR="000745CA">
        <w:t>19</w:t>
      </w:r>
      <w:r w:rsidR="009C520E">
        <w:t xml:space="preserve"> ar</w:t>
      </w:r>
      <w:r w:rsidR="008B6E24">
        <w:t>e not possible or appropriate</w:t>
      </w:r>
      <w:r w:rsidR="00475DBD">
        <w:t xml:space="preserve"> due to changes in tools and </w:t>
      </w:r>
      <w:r>
        <w:t>indicators/</w:t>
      </w:r>
      <w:r w:rsidR="00475DBD">
        <w:t>standards</w:t>
      </w:r>
      <w:r w:rsidR="008B6E24">
        <w:t xml:space="preserve">. </w:t>
      </w:r>
      <w:r w:rsidR="009C520E">
        <w:t>Discussion of results and evidence</w:t>
      </w:r>
      <w:r w:rsidR="001A6FF0">
        <w:t>-</w:t>
      </w:r>
      <w:r w:rsidR="009C520E">
        <w:t>based recommendations are offered.</w:t>
      </w:r>
      <w:r w:rsidR="00E26F42">
        <w:t xml:space="preserve"> </w:t>
      </w:r>
      <w:r w:rsidR="009C520E">
        <w:br w:type="page"/>
      </w:r>
    </w:p>
    <w:p w14:paraId="14C4638F" w14:textId="77777777" w:rsidR="009C520E" w:rsidRPr="00017E2E" w:rsidRDefault="009C520E" w:rsidP="009C520E">
      <w:pPr>
        <w:pStyle w:val="Heading1"/>
      </w:pPr>
      <w:bookmarkStart w:id="6" w:name="_Toc64285514"/>
      <w:r>
        <w:lastRenderedPageBreak/>
        <w:t>Section I:  Significant Contract Activity</w:t>
      </w:r>
      <w:bookmarkEnd w:id="6"/>
    </w:p>
    <w:p w14:paraId="0C7873BD" w14:textId="0A3928A3" w:rsidR="00A60B7A" w:rsidRDefault="00A60B7A" w:rsidP="00A60B7A"/>
    <w:p w14:paraId="03FCC127" w14:textId="7A2CC700" w:rsidR="009C520E" w:rsidRPr="000F1CD2" w:rsidRDefault="009C520E" w:rsidP="009C520E">
      <w:pPr>
        <w:pStyle w:val="Heading2"/>
        <w:spacing w:before="0"/>
      </w:pPr>
      <w:bookmarkStart w:id="7" w:name="_Toc369864658"/>
      <w:bookmarkStart w:id="8" w:name="_Toc64285515"/>
      <w:r w:rsidRPr="000F1CD2">
        <w:t>Quality Assurance Activities</w:t>
      </w:r>
      <w:bookmarkEnd w:id="7"/>
      <w:r w:rsidR="002365B5">
        <w:t xml:space="preserve"> (</w:t>
      </w:r>
      <w:r w:rsidR="00F94347">
        <w:t>October-December</w:t>
      </w:r>
      <w:r w:rsidR="00E053E6">
        <w:t xml:space="preserve"> </w:t>
      </w:r>
      <w:r w:rsidR="002365B5">
        <w:t>20</w:t>
      </w:r>
      <w:r w:rsidR="00F1352D">
        <w:t>20</w:t>
      </w:r>
      <w:r w:rsidR="002365B5">
        <w:t>)</w:t>
      </w:r>
      <w:bookmarkEnd w:id="8"/>
    </w:p>
    <w:p w14:paraId="01E728C1" w14:textId="67716505" w:rsidR="00921D7D" w:rsidRPr="00E22E67" w:rsidRDefault="00921D7D" w:rsidP="000A0807">
      <w:pPr>
        <w:pStyle w:val="Heading3"/>
      </w:pPr>
      <w:bookmarkStart w:id="9" w:name="_Toc369864662"/>
      <w:bookmarkStart w:id="10" w:name="_Toc64285516"/>
      <w:bookmarkStart w:id="11" w:name="_Toc369864659"/>
      <w:r w:rsidRPr="00E22E67">
        <w:t>Status Meetings</w:t>
      </w:r>
      <w:bookmarkEnd w:id="9"/>
      <w:bookmarkEnd w:id="10"/>
    </w:p>
    <w:p w14:paraId="1C1333CE" w14:textId="2BD64B2B" w:rsidR="00921D7D" w:rsidRDefault="00921D7D" w:rsidP="00921D7D">
      <w:r w:rsidRPr="002A63F3">
        <w:t xml:space="preserve">Status meetings are held to provide an opportunity for </w:t>
      </w:r>
      <w:r w:rsidR="00AC4078" w:rsidRPr="002A63F3">
        <w:t>Qlarant</w:t>
      </w:r>
      <w:r w:rsidRPr="002A63F3">
        <w:t xml:space="preserve">, AHCA, and APD representatives to discuss contract activities and other relevant issues as necessary. Revisions to processes and tools may be discussed as well as policy updates from AHCA or APD that </w:t>
      </w:r>
      <w:r w:rsidR="000745CA" w:rsidRPr="002A63F3">
        <w:t>may impact the FSQAP. A</w:t>
      </w:r>
      <w:r w:rsidR="00EE0705" w:rsidRPr="002A63F3">
        <w:t xml:space="preserve"> meeting </w:t>
      </w:r>
      <w:r w:rsidR="000745CA" w:rsidRPr="002A63F3">
        <w:t>was</w:t>
      </w:r>
      <w:r w:rsidR="00EE0705" w:rsidRPr="002A63F3">
        <w:t xml:space="preserve"> held</w:t>
      </w:r>
      <w:r w:rsidR="000745CA" w:rsidRPr="002A63F3">
        <w:t xml:space="preserve"> </w:t>
      </w:r>
      <w:r w:rsidR="00FE4634">
        <w:t>November 10</w:t>
      </w:r>
      <w:r w:rsidR="005A41C2">
        <w:t xml:space="preserve">, 2020. </w:t>
      </w:r>
      <w:r w:rsidR="002A63F3" w:rsidRPr="002A63F3">
        <w:t>The</w:t>
      </w:r>
      <w:r w:rsidR="000745CA" w:rsidRPr="002A63F3">
        <w:t xml:space="preserve"> status meeting in </w:t>
      </w:r>
      <w:r w:rsidR="00FE4634">
        <w:t>October</w:t>
      </w:r>
      <w:r w:rsidR="00253146" w:rsidRPr="002A63F3">
        <w:t xml:space="preserve"> was canceled </w:t>
      </w:r>
      <w:r w:rsidR="005A41C2">
        <w:t xml:space="preserve">because stakeholders were together for the Quality Council meeting and the meeting in </w:t>
      </w:r>
      <w:r w:rsidR="00FE4634">
        <w:t>December</w:t>
      </w:r>
      <w:r w:rsidR="005A41C2">
        <w:t xml:space="preserve"> was canceled </w:t>
      </w:r>
      <w:r w:rsidR="00253146" w:rsidRPr="002A63F3">
        <w:t xml:space="preserve">due to </w:t>
      </w:r>
      <w:r w:rsidR="00FE4634">
        <w:t xml:space="preserve">the holidays and </w:t>
      </w:r>
      <w:r w:rsidR="00253146" w:rsidRPr="002A63F3">
        <w:t>scheduling difficulties</w:t>
      </w:r>
      <w:r w:rsidR="000745CA" w:rsidRPr="002A63F3">
        <w:t>.</w:t>
      </w:r>
    </w:p>
    <w:p w14:paraId="128774D8" w14:textId="2BC4E4FA" w:rsidR="009C520E" w:rsidRDefault="001E2217" w:rsidP="000A0807">
      <w:pPr>
        <w:pStyle w:val="Heading3"/>
      </w:pPr>
      <w:bookmarkStart w:id="12" w:name="_Toc369864660"/>
      <w:bookmarkStart w:id="13" w:name="_Toc64285517"/>
      <w:bookmarkEnd w:id="11"/>
      <w:r>
        <w:t>R</w:t>
      </w:r>
      <w:r w:rsidR="009C520E">
        <w:t>eliability</w:t>
      </w:r>
      <w:bookmarkEnd w:id="12"/>
      <w:bookmarkEnd w:id="13"/>
    </w:p>
    <w:p w14:paraId="7344AF91" w14:textId="30A8851A" w:rsidR="00286422" w:rsidRDefault="00286422" w:rsidP="00286422">
      <w:bookmarkStart w:id="14" w:name="_Toc369864661"/>
      <w:r w:rsidRPr="002A63F3">
        <w:t>Qlarant Quality Assurance Reviewers (QAR) and Regional Managers undergo rigorous reliability testing each year, including formal and informal processes. QARs are periodically shadowed by managers to ensure</w:t>
      </w:r>
      <w:r>
        <w:t xml:space="preserve"> proper procedures and protocols are followed throughout the review processes.</w:t>
      </w:r>
    </w:p>
    <w:p w14:paraId="2D10499C" w14:textId="77777777" w:rsidR="00286422" w:rsidRDefault="00286422" w:rsidP="00286422"/>
    <w:p w14:paraId="58F941E8" w14:textId="4AD71F81" w:rsidR="00D04F5B" w:rsidRPr="00097998" w:rsidRDefault="00286422" w:rsidP="00D04F5B">
      <w:r>
        <w:rPr>
          <w:b/>
          <w:bCs/>
        </w:rPr>
        <w:t>File reliability</w:t>
      </w:r>
      <w:r>
        <w:t xml:space="preserve"> sessions are administered every other month. These include standards reviewed from Service Specific Record Reviews as well as related questions from the iBudget </w:t>
      </w:r>
      <w:r w:rsidR="001A6FF0">
        <w:t>H</w:t>
      </w:r>
      <w:r>
        <w:t xml:space="preserve">andbook and the FSQAP Operational Policies and Procedure Manual. </w:t>
      </w:r>
      <w:r w:rsidR="00FA6361">
        <w:t>After t</w:t>
      </w:r>
      <w:r>
        <w:t>he QA Manager obtains actual file documents from a provider</w:t>
      </w:r>
      <w:r w:rsidR="005B1DAA">
        <w:t>,</w:t>
      </w:r>
      <w:r>
        <w:t xml:space="preserve"> the management team identifies the standards to be tested and creates the scoring key. The test is completed </w:t>
      </w:r>
      <w:r w:rsidR="003A0924">
        <w:t xml:space="preserve">by each </w:t>
      </w:r>
      <w:r w:rsidR="005F4326">
        <w:t>QAR</w:t>
      </w:r>
      <w:r w:rsidR="003A0924">
        <w:t xml:space="preserve">, </w:t>
      </w:r>
      <w:r>
        <w:t>in Qlarant’s online learning management sy</w:t>
      </w:r>
      <w:r w:rsidR="005A1487">
        <w:t>stem, and scored automatically.</w:t>
      </w:r>
      <w:r w:rsidR="005C0069">
        <w:t xml:space="preserve"> </w:t>
      </w:r>
      <w:r w:rsidR="00D04F5B" w:rsidRPr="00097998">
        <w:t xml:space="preserve">File reliability was completed with </w:t>
      </w:r>
      <w:r w:rsidR="00D04F5B">
        <w:t>26</w:t>
      </w:r>
      <w:r w:rsidR="00D04F5B" w:rsidRPr="00097998">
        <w:t xml:space="preserve"> reviewers </w:t>
      </w:r>
      <w:r w:rsidR="00D04F5B">
        <w:t xml:space="preserve">on </w:t>
      </w:r>
      <w:r w:rsidR="00B474A0">
        <w:t>b</w:t>
      </w:r>
      <w:r w:rsidR="00D04F5B">
        <w:t xml:space="preserve">ackground </w:t>
      </w:r>
      <w:r w:rsidR="00B474A0">
        <w:t>s</w:t>
      </w:r>
      <w:r w:rsidR="00D04F5B">
        <w:t xml:space="preserve">creening and the Clearinghouse </w:t>
      </w:r>
      <w:r w:rsidR="00B474A0">
        <w:t>R</w:t>
      </w:r>
      <w:r w:rsidR="00D04F5B">
        <w:t xml:space="preserve">oster, </w:t>
      </w:r>
      <w:r w:rsidR="00B474A0">
        <w:t>e</w:t>
      </w:r>
      <w:r w:rsidR="00D04F5B">
        <w:t xml:space="preserve">mployee records, and </w:t>
      </w:r>
      <w:r w:rsidR="00B474A0">
        <w:t>s</w:t>
      </w:r>
      <w:r w:rsidR="00D04F5B">
        <w:t xml:space="preserve">ervice </w:t>
      </w:r>
      <w:r w:rsidR="00B474A0">
        <w:t>l</w:t>
      </w:r>
      <w:r w:rsidR="00D04F5B">
        <w:t>ogs/</w:t>
      </w:r>
      <w:r w:rsidR="00B474A0">
        <w:t>l</w:t>
      </w:r>
      <w:r w:rsidR="00D04F5B">
        <w:t>ists</w:t>
      </w:r>
      <w:r w:rsidR="00D04F5B" w:rsidRPr="00097998">
        <w:t xml:space="preserve">. </w:t>
      </w:r>
      <w:r w:rsidR="00D04F5B" w:rsidRPr="005E48FC">
        <w:t xml:space="preserve">All </w:t>
      </w:r>
      <w:r w:rsidR="00D04F5B">
        <w:t>26</w:t>
      </w:r>
      <w:r w:rsidR="00D04F5B" w:rsidRPr="00097998">
        <w:t xml:space="preserve"> reviewers received passing scores for the </w:t>
      </w:r>
      <w:r w:rsidR="00D04F5B">
        <w:t>first half of the year</w:t>
      </w:r>
      <w:r w:rsidR="00D04F5B" w:rsidRPr="00097998">
        <w:t>.</w:t>
      </w:r>
    </w:p>
    <w:p w14:paraId="02AAC64D" w14:textId="34DCCD34" w:rsidR="00286422" w:rsidRDefault="005C0069" w:rsidP="00286422">
      <w:r>
        <w:t xml:space="preserve"> </w:t>
      </w:r>
    </w:p>
    <w:p w14:paraId="742096B9" w14:textId="4D401405" w:rsidR="00286422" w:rsidRDefault="00286422" w:rsidP="00286422">
      <w:r>
        <w:rPr>
          <w:b/>
          <w:bCs/>
        </w:rPr>
        <w:t>Field reliability</w:t>
      </w:r>
      <w:r>
        <w:t xml:space="preserve"> </w:t>
      </w:r>
      <w:r w:rsidR="006C1AFA">
        <w:t>has always been</w:t>
      </w:r>
      <w:r>
        <w:t xml:space="preserve"> conducted onsite with </w:t>
      </w:r>
      <w:r w:rsidR="005F4326">
        <w:t>QAR</w:t>
      </w:r>
      <w:r>
        <w:t xml:space="preserve">s and used to determine if protocols and procedures are followed correctly, prior to and during the review, and if responses on the review processes match responses of the manager conducting the Field Reliability. The manager silently </w:t>
      </w:r>
      <w:r w:rsidRPr="008F3B07">
        <w:t>observes all information gathering and compares answers on all standards at the conclusion of the review. </w:t>
      </w:r>
      <w:r w:rsidR="00FB3151">
        <w:t xml:space="preserve">However, for </w:t>
      </w:r>
      <w:r w:rsidR="00125129">
        <w:t xml:space="preserve">the PCR and </w:t>
      </w:r>
      <w:r w:rsidR="00FB3151">
        <w:t xml:space="preserve">remote interviews </w:t>
      </w:r>
      <w:r w:rsidR="00125129">
        <w:t xml:space="preserve">a desk review </w:t>
      </w:r>
      <w:r w:rsidR="00FB3151">
        <w:t xml:space="preserve">process </w:t>
      </w:r>
      <w:r w:rsidR="00125129">
        <w:t>was developed so the manager is able to participate in the phone or video process to complete reliability testing</w:t>
      </w:r>
      <w:r w:rsidR="00FB3151">
        <w:t xml:space="preserve">. </w:t>
      </w:r>
      <w:r w:rsidR="00215A83" w:rsidRPr="00EA3DD9">
        <w:rPr>
          <w:rFonts w:cs="Arial"/>
          <w:szCs w:val="24"/>
        </w:rPr>
        <w:t xml:space="preserve">PCR and PDR field reliability was completed with </w:t>
      </w:r>
      <w:r w:rsidR="00215A83">
        <w:rPr>
          <w:rFonts w:cs="Arial"/>
          <w:szCs w:val="24"/>
        </w:rPr>
        <w:t xml:space="preserve">seven </w:t>
      </w:r>
      <w:r w:rsidR="00B474A0">
        <w:rPr>
          <w:rFonts w:cs="Arial"/>
          <w:szCs w:val="24"/>
        </w:rPr>
        <w:t>reviewers</w:t>
      </w:r>
      <w:r w:rsidR="00215A83" w:rsidRPr="00EA3DD9">
        <w:rPr>
          <w:rFonts w:cs="Arial"/>
          <w:szCs w:val="24"/>
        </w:rPr>
        <w:t xml:space="preserve"> and all passed.</w:t>
      </w:r>
    </w:p>
    <w:p w14:paraId="052F0809" w14:textId="20DC35FF" w:rsidR="005238B4" w:rsidRDefault="005238B4" w:rsidP="00286422"/>
    <w:p w14:paraId="10B0B493" w14:textId="1668A2B9" w:rsidR="00384B61" w:rsidRDefault="00EC0F97" w:rsidP="00384B61">
      <w:pPr>
        <w:pStyle w:val="Heading3"/>
      </w:pPr>
      <w:bookmarkStart w:id="15" w:name="_Toc64285518"/>
      <w:r>
        <w:t xml:space="preserve">Internal </w:t>
      </w:r>
      <w:r w:rsidR="00384B61" w:rsidRPr="00583301">
        <w:t>Annual Training/Conference</w:t>
      </w:r>
      <w:bookmarkEnd w:id="15"/>
    </w:p>
    <w:p w14:paraId="138ABAE8" w14:textId="1743EED3" w:rsidR="00583301" w:rsidRDefault="00583301" w:rsidP="006A119E">
      <w:r w:rsidRPr="00B02720">
        <w:t xml:space="preserve">Every year the Florida team comes together for extensive training and brainstorming activities. </w:t>
      </w:r>
      <w:r w:rsidR="0078514E">
        <w:t xml:space="preserve">The conference was tentatively scheduled for November 2020, but </w:t>
      </w:r>
      <w:r w:rsidR="00B474A0">
        <w:t>was</w:t>
      </w:r>
      <w:r w:rsidR="0078514E">
        <w:t xml:space="preserve"> canceled due to the pandemic.</w:t>
      </w:r>
      <w:r w:rsidR="00C0334E">
        <w:t xml:space="preserve"> </w:t>
      </w:r>
      <w:r w:rsidR="005D5F56">
        <w:t xml:space="preserve">Training activities will take place virtually in smaller snippets of time throughout the contract year. </w:t>
      </w:r>
    </w:p>
    <w:p w14:paraId="242DD312" w14:textId="4A770C39" w:rsidR="00B874F7" w:rsidRDefault="00B874F7" w:rsidP="00B874F7">
      <w:pPr>
        <w:pStyle w:val="Heading3"/>
      </w:pPr>
      <w:bookmarkStart w:id="16" w:name="_Toc64285519"/>
      <w:r>
        <w:lastRenderedPageBreak/>
        <w:t>External Training</w:t>
      </w:r>
      <w:bookmarkEnd w:id="16"/>
    </w:p>
    <w:p w14:paraId="28BCF025" w14:textId="5D130C34" w:rsidR="00B874F7" w:rsidRDefault="00B874F7" w:rsidP="00B874F7">
      <w:r>
        <w:t>Qlarant developed a new web-based training</w:t>
      </w:r>
      <w:r w:rsidR="00F00D9D">
        <w:t>, a Power Point with audio,</w:t>
      </w:r>
      <w:r>
        <w:t xml:space="preserve"> </w:t>
      </w:r>
      <w:r w:rsidR="00F00D9D">
        <w:t>en</w:t>
      </w:r>
      <w:r>
        <w:t xml:space="preserve">titled </w:t>
      </w:r>
      <w:r w:rsidR="00F00D9D">
        <w:t xml:space="preserve">Preparing for Your Desk Review. </w:t>
      </w:r>
      <w:r>
        <w:t xml:space="preserve">This presentation provides an overview </w:t>
      </w:r>
      <w:r w:rsidR="00F00D9D">
        <w:t>of</w:t>
      </w:r>
      <w:r>
        <w:t xml:space="preserve"> </w:t>
      </w:r>
      <w:r w:rsidR="00F00D9D">
        <w:t>the new</w:t>
      </w:r>
      <w:r>
        <w:t xml:space="preserve"> Desk Review process</w:t>
      </w:r>
      <w:r w:rsidR="00F00D9D">
        <w:t xml:space="preserve"> implemented due to COVID pandemic</w:t>
      </w:r>
      <w:r>
        <w:t>. The presentation covers what to expect, review timelines, resources available, as well as tips to help ensure a positive review.</w:t>
      </w:r>
    </w:p>
    <w:p w14:paraId="4045BCE4" w14:textId="0C521C89" w:rsidR="009B4E00" w:rsidRDefault="009B4E00" w:rsidP="009B4E00">
      <w:pPr>
        <w:pStyle w:val="Heading2"/>
      </w:pPr>
      <w:bookmarkStart w:id="17" w:name="_Toc64285520"/>
      <w:r>
        <w:t xml:space="preserve">Tool </w:t>
      </w:r>
      <w:r w:rsidR="00E413AD">
        <w:t xml:space="preserve">and Process </w:t>
      </w:r>
      <w:r>
        <w:t>Revisions</w:t>
      </w:r>
      <w:bookmarkEnd w:id="17"/>
    </w:p>
    <w:p w14:paraId="5235A449" w14:textId="3EC19813" w:rsidR="00C76043" w:rsidRDefault="0078514E" w:rsidP="00991E88">
      <w:pPr>
        <w:rPr>
          <w:bCs/>
        </w:rPr>
      </w:pPr>
      <w:r w:rsidRPr="00991E88">
        <w:t>Tool</w:t>
      </w:r>
      <w:r w:rsidR="007652B2">
        <w:t>s</w:t>
      </w:r>
      <w:r w:rsidRPr="00991E88">
        <w:t xml:space="preserve"> and processes </w:t>
      </w:r>
      <w:r w:rsidR="00991E88" w:rsidRPr="00991E88">
        <w:t>have been</w:t>
      </w:r>
      <w:r w:rsidRPr="00991E88">
        <w:t xml:space="preserve"> modified to ensure the health and safety of all people involved in a Quality Review. </w:t>
      </w:r>
      <w:r w:rsidR="00E54E61" w:rsidRPr="00991E88">
        <w:t xml:space="preserve">Checklists for the revised processes </w:t>
      </w:r>
      <w:r w:rsidRPr="00991E88">
        <w:t>have been</w:t>
      </w:r>
      <w:r w:rsidR="00E54E61" w:rsidRPr="00991E88">
        <w:t xml:space="preserve"> posted to the portal</w:t>
      </w:r>
      <w:r w:rsidR="007652B2">
        <w:t xml:space="preserve"> and are updated as needed</w:t>
      </w:r>
      <w:r w:rsidR="00E54E61" w:rsidRPr="00991E88">
        <w:t xml:space="preserve">.  </w:t>
      </w:r>
      <w:r w:rsidR="00A014AC" w:rsidRPr="00991E88">
        <w:t>All tool</w:t>
      </w:r>
      <w:r w:rsidR="00BA7B5C" w:rsidRPr="00991E88">
        <w:t>s</w:t>
      </w:r>
      <w:r w:rsidR="00A014AC" w:rsidRPr="00991E88">
        <w:t xml:space="preserve"> are </w:t>
      </w:r>
      <w:r w:rsidR="00C76043" w:rsidRPr="00991E88">
        <w:t>posted here:</w:t>
      </w:r>
      <w:r w:rsidR="00991E88">
        <w:rPr>
          <w:bCs/>
        </w:rPr>
        <w:t xml:space="preserve"> </w:t>
      </w:r>
      <w:hyperlink r:id="rId31" w:history="1">
        <w:r w:rsidR="0073158C" w:rsidRPr="008319B8">
          <w:rPr>
            <w:rStyle w:val="Hyperlink"/>
          </w:rPr>
          <w:t>https://florida.qlarant.com/Public2/resourceCenter/providers/discoveryReviewTools/index.html</w:t>
        </w:r>
      </w:hyperlink>
    </w:p>
    <w:p w14:paraId="282D9985" w14:textId="16BD7D95" w:rsidR="00337A54" w:rsidRDefault="00337A54" w:rsidP="00C76043">
      <w:pPr>
        <w:rPr>
          <w:bCs/>
        </w:rPr>
      </w:pPr>
    </w:p>
    <w:p w14:paraId="33A441DA" w14:textId="1BB02F53" w:rsidR="00C76043" w:rsidRPr="00C76043" w:rsidRDefault="009C520E" w:rsidP="00C76043">
      <w:pPr>
        <w:pStyle w:val="Heading2"/>
        <w:spacing w:before="0"/>
      </w:pPr>
      <w:bookmarkStart w:id="18" w:name="_Toc369864663"/>
      <w:bookmarkStart w:id="19" w:name="_Toc64285521"/>
      <w:bookmarkEnd w:id="14"/>
      <w:r>
        <w:t>Regional</w:t>
      </w:r>
      <w:r w:rsidRPr="00A40784">
        <w:t xml:space="preserve"> Quarterly Meet</w:t>
      </w:r>
      <w:bookmarkEnd w:id="18"/>
      <w:r w:rsidR="002B7C4E">
        <w:t>ings</w:t>
      </w:r>
      <w:bookmarkEnd w:id="19"/>
    </w:p>
    <w:p w14:paraId="1419E58E" w14:textId="70D2DD21" w:rsidR="009C520E" w:rsidRDefault="00951493" w:rsidP="009C520E">
      <w:r>
        <w:t>T</w:t>
      </w:r>
      <w:r w:rsidRPr="00F666AA">
        <w:t xml:space="preserve">he </w:t>
      </w:r>
      <w:r>
        <w:t>Qlarant</w:t>
      </w:r>
      <w:r w:rsidRPr="00F666AA">
        <w:t xml:space="preserve"> Regional Manager</w:t>
      </w:r>
      <w:r>
        <w:t xml:space="preserve"> </w:t>
      </w:r>
      <w:r w:rsidR="009C520E" w:rsidRPr="00F666AA">
        <w:t>facilitate</w:t>
      </w:r>
      <w:r>
        <w:t>s</w:t>
      </w:r>
      <w:r w:rsidR="009C520E" w:rsidRPr="00F666AA">
        <w:t xml:space="preserve"> meetings in each APD Region with </w:t>
      </w:r>
      <w:r>
        <w:t xml:space="preserve">available Qlarant </w:t>
      </w:r>
      <w:r w:rsidR="005F4326">
        <w:t>QAR</w:t>
      </w:r>
      <w:r>
        <w:t>s</w:t>
      </w:r>
      <w:r w:rsidR="009C520E">
        <w:t xml:space="preserve"> in the Region</w:t>
      </w:r>
      <w:r>
        <w:t xml:space="preserve">, </w:t>
      </w:r>
      <w:r w:rsidR="009C520E" w:rsidRPr="00AD34BE">
        <w:t xml:space="preserve">and other APD </w:t>
      </w:r>
      <w:r w:rsidR="009C520E">
        <w:t>Regional</w:t>
      </w:r>
      <w:r w:rsidR="009C520E" w:rsidRPr="00AD34BE">
        <w:t xml:space="preserve"> personnel, including the </w:t>
      </w:r>
      <w:r w:rsidR="009C520E">
        <w:t xml:space="preserve">Regional </w:t>
      </w:r>
      <w:r w:rsidR="002F16BD">
        <w:t>Operations Manager (ROM)</w:t>
      </w:r>
      <w:r w:rsidR="009C520E" w:rsidRPr="00AD34BE">
        <w:t xml:space="preserve"> as possible. The purpose of the meetings is to discuss and interpret data from the </w:t>
      </w:r>
      <w:r w:rsidR="00AC4078">
        <w:t>Qlarant</w:t>
      </w:r>
      <w:r w:rsidR="009C520E" w:rsidRPr="00AD34BE">
        <w:t xml:space="preserve"> reviews to </w:t>
      </w:r>
      <w:r>
        <w:t xml:space="preserve">help </w:t>
      </w:r>
      <w:r w:rsidR="009C520E" w:rsidRPr="00AD34BE">
        <w:t xml:space="preserve">guide APD toward appropriate remediation activities, and to update all entities on current activities </w:t>
      </w:r>
      <w:r w:rsidR="009C520E" w:rsidRPr="00CC2ADD">
        <w:t xml:space="preserve">in the </w:t>
      </w:r>
      <w:r w:rsidR="009C520E" w:rsidRPr="00991E88">
        <w:t>Region. Representatives from AHCA and APD State office may attend the meetings via phone in each Region</w:t>
      </w:r>
      <w:r w:rsidR="009C520E" w:rsidRPr="00EC0F97">
        <w:t xml:space="preserve">. </w:t>
      </w:r>
      <w:r w:rsidR="00DD3F70" w:rsidRPr="00EC0F97">
        <w:t>Remote m</w:t>
      </w:r>
      <w:r w:rsidR="009C520E" w:rsidRPr="00EC0F97">
        <w:t>eetings were held in</w:t>
      </w:r>
      <w:r w:rsidR="00433F5D" w:rsidRPr="00EC0F97">
        <w:t xml:space="preserve"> </w:t>
      </w:r>
      <w:r w:rsidR="00AA4EF4" w:rsidRPr="00EC0F97">
        <w:t xml:space="preserve">all </w:t>
      </w:r>
      <w:r w:rsidR="00433F5D" w:rsidRPr="00EC0F97">
        <w:t xml:space="preserve">the </w:t>
      </w:r>
      <w:r w:rsidR="004D4475" w:rsidRPr="00EC0F97">
        <w:t>regions</w:t>
      </w:r>
      <w:r w:rsidR="002D6E02" w:rsidRPr="00EC0F97">
        <w:t xml:space="preserve"> during the </w:t>
      </w:r>
      <w:r w:rsidR="00215A83" w:rsidRPr="00EC0F97">
        <w:t>2</w:t>
      </w:r>
      <w:r w:rsidR="00215A83" w:rsidRPr="00EC0F97">
        <w:rPr>
          <w:vertAlign w:val="superscript"/>
        </w:rPr>
        <w:t>nd</w:t>
      </w:r>
      <w:r w:rsidR="00215A83" w:rsidRPr="00EC0F97">
        <w:t xml:space="preserve"> </w:t>
      </w:r>
      <w:r w:rsidR="002D6E02" w:rsidRPr="00EC0F97">
        <w:t>Quarter</w:t>
      </w:r>
      <w:r w:rsidR="00560E04" w:rsidRPr="00EC0F97">
        <w:t>, using the webinar format.</w:t>
      </w:r>
      <w:r w:rsidR="009C520E" w:rsidRPr="00EC0F97">
        <w:rPr>
          <w:rStyle w:val="FootnoteReference"/>
        </w:rPr>
        <w:footnoteReference w:id="3"/>
      </w:r>
      <w:r w:rsidR="00660060">
        <w:t xml:space="preserve"> </w:t>
      </w:r>
    </w:p>
    <w:p w14:paraId="5841C236" w14:textId="5562842E" w:rsidR="00D408E1" w:rsidRDefault="00D408E1" w:rsidP="009C520E"/>
    <w:p w14:paraId="314C43F6" w14:textId="685995B8" w:rsidR="003D5BC1" w:rsidRDefault="009C520E" w:rsidP="003D5BC1">
      <w:pPr>
        <w:pStyle w:val="Heading2"/>
        <w:spacing w:before="0"/>
      </w:pPr>
      <w:bookmarkStart w:id="20" w:name="_Toc369864670"/>
      <w:bookmarkStart w:id="21" w:name="_Toc64285522"/>
      <w:r w:rsidRPr="00356C4F">
        <w:t>Quality Council</w:t>
      </w:r>
      <w:bookmarkEnd w:id="20"/>
      <w:r>
        <w:t xml:space="preserve"> (QC)</w:t>
      </w:r>
      <w:bookmarkEnd w:id="21"/>
    </w:p>
    <w:p w14:paraId="12B57134" w14:textId="3906509C" w:rsidR="00C0334E" w:rsidRDefault="00EE3511" w:rsidP="0070183E">
      <w:r>
        <w:t xml:space="preserve">The first </w:t>
      </w:r>
      <w:r w:rsidR="003D5BC1" w:rsidRPr="005238B4">
        <w:t>Quality Council</w:t>
      </w:r>
      <w:r w:rsidR="009F4FFB" w:rsidRPr="005238B4">
        <w:t xml:space="preserve"> (QC)</w:t>
      </w:r>
      <w:r w:rsidR="003D5BC1" w:rsidRPr="005238B4">
        <w:t xml:space="preserve"> meeting</w:t>
      </w:r>
      <w:r>
        <w:t xml:space="preserve"> for FY</w:t>
      </w:r>
      <w:r w:rsidR="0037076B">
        <w:t xml:space="preserve"> 20</w:t>
      </w:r>
      <w:r>
        <w:t xml:space="preserve">21 </w:t>
      </w:r>
      <w:r w:rsidR="00C0334E">
        <w:t>was held on</w:t>
      </w:r>
      <w:r>
        <w:t xml:space="preserve"> October 15, 2020, via webinar</w:t>
      </w:r>
      <w:r w:rsidR="009F4FFB" w:rsidRPr="005238B4">
        <w:t>.</w:t>
      </w:r>
      <w:r>
        <w:t xml:space="preserve"> </w:t>
      </w:r>
      <w:r w:rsidR="00C31EC4">
        <w:t>Agenda items included the following:</w:t>
      </w:r>
    </w:p>
    <w:p w14:paraId="424F529A" w14:textId="500FB0E3" w:rsidR="00C31EC4" w:rsidRPr="0070183E" w:rsidRDefault="00C31EC4" w:rsidP="0070183E">
      <w:pPr>
        <w:pStyle w:val="ListParagraph"/>
        <w:numPr>
          <w:ilvl w:val="0"/>
          <w:numId w:val="48"/>
        </w:numPr>
      </w:pPr>
      <w:r w:rsidRPr="0070183E">
        <w:t>AHCA and APD updates</w:t>
      </w:r>
      <w:r w:rsidR="0070183E" w:rsidRPr="0070183E">
        <w:t xml:space="preserve"> </w:t>
      </w:r>
      <w:r w:rsidR="0070183E">
        <w:t>(</w:t>
      </w:r>
      <w:r w:rsidR="0070183E" w:rsidRPr="0070183E">
        <w:t>AndraLica McCorvey, Ed DeBardeleben and Shelia Mott</w:t>
      </w:r>
      <w:r w:rsidR="0070183E">
        <w:t>)</w:t>
      </w:r>
    </w:p>
    <w:p w14:paraId="0385C560" w14:textId="71950322" w:rsidR="0070183E" w:rsidRDefault="0070183E" w:rsidP="0070183E">
      <w:pPr>
        <w:pStyle w:val="ListParagraph"/>
        <w:numPr>
          <w:ilvl w:val="0"/>
          <w:numId w:val="48"/>
        </w:numPr>
      </w:pPr>
      <w:r w:rsidRPr="0070183E">
        <w:t xml:space="preserve">HSRI data presentation </w:t>
      </w:r>
      <w:r>
        <w:t>(</w:t>
      </w:r>
      <w:r w:rsidRPr="0070183E">
        <w:t>Stephanie Giordano</w:t>
      </w:r>
      <w:r>
        <w:t xml:space="preserve">) </w:t>
      </w:r>
    </w:p>
    <w:p w14:paraId="31B5A9B6" w14:textId="68613849" w:rsidR="0070183E" w:rsidRDefault="0070183E" w:rsidP="0070183E">
      <w:pPr>
        <w:pStyle w:val="ListParagraph"/>
        <w:numPr>
          <w:ilvl w:val="0"/>
          <w:numId w:val="48"/>
        </w:numPr>
      </w:pPr>
      <w:r w:rsidRPr="0070183E">
        <w:t xml:space="preserve">APD Critical Incident Reporting and Management presentation </w:t>
      </w:r>
      <w:r>
        <w:t>(</w:t>
      </w:r>
      <w:r w:rsidRPr="0070183E">
        <w:t>Meghan Torres and Kaleema Muha</w:t>
      </w:r>
      <w:r>
        <w:t>mm</w:t>
      </w:r>
      <w:r w:rsidRPr="0070183E">
        <w:t>ad</w:t>
      </w:r>
      <w:r>
        <w:t>)</w:t>
      </w:r>
    </w:p>
    <w:p w14:paraId="1825D913" w14:textId="4DF473F0" w:rsidR="0070183E" w:rsidRDefault="0070183E" w:rsidP="0070183E">
      <w:pPr>
        <w:pStyle w:val="ListParagraph"/>
        <w:numPr>
          <w:ilvl w:val="0"/>
          <w:numId w:val="48"/>
        </w:numPr>
      </w:pPr>
      <w:r>
        <w:t>Qlarant data presentation (Sue Kelly)</w:t>
      </w:r>
    </w:p>
    <w:p w14:paraId="5986784C" w14:textId="3F123A10" w:rsidR="0070183E" w:rsidRDefault="0070183E" w:rsidP="0070183E">
      <w:pPr>
        <w:pStyle w:val="ListParagraph"/>
        <w:numPr>
          <w:ilvl w:val="0"/>
          <w:numId w:val="48"/>
        </w:numPr>
      </w:pPr>
      <w:r>
        <w:t>Quality Council Follow-Up and Next Steps (Theresa Skidmore)</w:t>
      </w:r>
    </w:p>
    <w:p w14:paraId="394A4510" w14:textId="19728E54" w:rsidR="0070183E" w:rsidRDefault="0070183E" w:rsidP="0070183E">
      <w:pPr>
        <w:pStyle w:val="ListParagraph"/>
        <w:numPr>
          <w:ilvl w:val="0"/>
          <w:numId w:val="48"/>
        </w:numPr>
      </w:pPr>
      <w:r>
        <w:t>Action Items (AndraLica McCorvey)</w:t>
      </w:r>
    </w:p>
    <w:p w14:paraId="04094A7F" w14:textId="77777777" w:rsidR="0070183E" w:rsidRDefault="0070183E" w:rsidP="00C31EC4">
      <w:pPr>
        <w:autoSpaceDE w:val="0"/>
        <w:autoSpaceDN w:val="0"/>
        <w:adjustRightInd w:val="0"/>
        <w:spacing w:line="240" w:lineRule="auto"/>
        <w:rPr>
          <w:rFonts w:ascii="Arial" w:hAnsi="Arial" w:cs="Arial"/>
          <w:sz w:val="23"/>
          <w:szCs w:val="23"/>
        </w:rPr>
      </w:pPr>
    </w:p>
    <w:p w14:paraId="75C10DCE" w14:textId="7B8EA140" w:rsidR="00A60B7A" w:rsidRPr="002A00FE" w:rsidRDefault="001F62DC" w:rsidP="003D5BC1">
      <w:r w:rsidRPr="000C62DB">
        <w:t>S</w:t>
      </w:r>
      <w:r w:rsidR="00A60B7A" w:rsidRPr="000C62DB">
        <w:t>ee</w:t>
      </w:r>
      <w:r w:rsidR="00A60B7A" w:rsidRPr="002A00FE">
        <w:t xml:space="preserve"> the </w:t>
      </w:r>
      <w:r w:rsidR="00AC4078">
        <w:t>Qlarant</w:t>
      </w:r>
      <w:r w:rsidR="00A60B7A" w:rsidRPr="002A00FE">
        <w:t xml:space="preserve"> website for complete Q</w:t>
      </w:r>
      <w:r w:rsidR="00407E57">
        <w:t>C details, minutes, and agendas</w:t>
      </w:r>
      <w:r w:rsidR="00A60B7A" w:rsidRPr="002A00FE">
        <w:t xml:space="preserve"> </w:t>
      </w:r>
      <w:r w:rsidR="00A30205">
        <w:t>(</w:t>
      </w:r>
      <w:hyperlink r:id="rId32" w:history="1">
        <w:r w:rsidR="00A30205" w:rsidRPr="00C74288">
          <w:rPr>
            <w:rStyle w:val="Hyperlink"/>
          </w:rPr>
          <w:t>https://florida.qlarant.com/Public2/qualityCouncil/index.html</w:t>
        </w:r>
      </w:hyperlink>
      <w:r w:rsidR="00407E57">
        <w:t>).</w:t>
      </w:r>
    </w:p>
    <w:p w14:paraId="514A6657" w14:textId="75C26C5D" w:rsidR="009C520E" w:rsidRPr="000877C1" w:rsidRDefault="00216C18" w:rsidP="00216C18">
      <w:pPr>
        <w:pStyle w:val="Heading2"/>
      </w:pPr>
      <w:bookmarkStart w:id="22" w:name="_Toc369864668"/>
      <w:bookmarkStart w:id="23" w:name="_Toc64285523"/>
      <w:r>
        <w:lastRenderedPageBreak/>
        <w:t>P</w:t>
      </w:r>
      <w:r w:rsidR="009C520E" w:rsidRPr="000877C1">
        <w:t>rovider Feedback Survey</w:t>
      </w:r>
      <w:bookmarkEnd w:id="22"/>
      <w:bookmarkEnd w:id="23"/>
    </w:p>
    <w:p w14:paraId="2E44E9E1" w14:textId="5CDD6A6F" w:rsidR="009C520E" w:rsidRDefault="00216C18" w:rsidP="009C520E">
      <w:r>
        <w:rPr>
          <w:noProof/>
        </w:rPr>
        <w:drawing>
          <wp:anchor distT="0" distB="0" distL="114300" distR="114300" simplePos="0" relativeHeight="251658247" behindDoc="0" locked="0" layoutInCell="1" allowOverlap="1" wp14:anchorId="1280B3A0" wp14:editId="719DFE96">
            <wp:simplePos x="0" y="0"/>
            <wp:positionH relativeFrom="margin">
              <wp:posOffset>4396740</wp:posOffset>
            </wp:positionH>
            <wp:positionV relativeFrom="paragraph">
              <wp:posOffset>3175</wp:posOffset>
            </wp:positionV>
            <wp:extent cx="1394460" cy="95631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eedback_Logo_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94460" cy="956310"/>
                    </a:xfrm>
                    <a:prstGeom prst="rect">
                      <a:avLst/>
                    </a:prstGeom>
                  </pic:spPr>
                </pic:pic>
              </a:graphicData>
            </a:graphic>
            <wp14:sizeRelH relativeFrom="margin">
              <wp14:pctWidth>0</wp14:pctWidth>
            </wp14:sizeRelH>
            <wp14:sizeRelV relativeFrom="margin">
              <wp14:pctHeight>0</wp14:pctHeight>
            </wp14:sizeRelV>
          </wp:anchor>
        </w:drawing>
      </w:r>
      <w:r w:rsidR="009C520E" w:rsidRPr="00654854">
        <w:t>After each PDR</w:t>
      </w:r>
      <w:r w:rsidR="00442F86">
        <w:t>, p</w:t>
      </w:r>
      <w:r w:rsidR="009C520E" w:rsidRPr="00654854">
        <w:t xml:space="preserve">roviders </w:t>
      </w:r>
      <w:r w:rsidR="00646EB5">
        <w:t>are</w:t>
      </w:r>
      <w:r w:rsidR="009C520E" w:rsidRPr="00654854">
        <w:t xml:space="preserve"> </w:t>
      </w:r>
      <w:r w:rsidR="00442F86">
        <w:t>offer</w:t>
      </w:r>
      <w:r w:rsidR="00646EB5">
        <w:t xml:space="preserve">ed </w:t>
      </w:r>
      <w:r w:rsidR="00442F86">
        <w:t>an</w:t>
      </w:r>
      <w:r w:rsidR="00442F86" w:rsidRPr="00654854">
        <w:t xml:space="preserve"> opportunity to </w:t>
      </w:r>
      <w:r w:rsidR="00442F86">
        <w:t>provide</w:t>
      </w:r>
      <w:r w:rsidR="00442F86" w:rsidRPr="00654854">
        <w:t xml:space="preserve"> feedback </w:t>
      </w:r>
      <w:r w:rsidR="00442F86">
        <w:t>on the</w:t>
      </w:r>
      <w:r w:rsidR="00442F86" w:rsidRPr="00654854">
        <w:t xml:space="preserve"> review process and </w:t>
      </w:r>
      <w:r w:rsidR="00442F86" w:rsidRPr="00CC19F6">
        <w:t>pr</w:t>
      </w:r>
      <w:r w:rsidR="003A0924">
        <w:t xml:space="preserve">ofessionalism of </w:t>
      </w:r>
      <w:r w:rsidR="005F4326">
        <w:t>QAR</w:t>
      </w:r>
      <w:r w:rsidR="003A0924">
        <w:t>s</w:t>
      </w:r>
      <w:r w:rsidR="00442F86" w:rsidRPr="00CC19F6">
        <w:t>. S</w:t>
      </w:r>
      <w:r w:rsidR="009C520E" w:rsidRPr="00CC19F6">
        <w:t>urveys can be completed online on the FSQAP website</w:t>
      </w:r>
      <w:r w:rsidR="00646EB5">
        <w:t xml:space="preserve">, or </w:t>
      </w:r>
      <w:r w:rsidR="000238E2">
        <w:t xml:space="preserve">downloaded and </w:t>
      </w:r>
      <w:r w:rsidR="00646EB5">
        <w:t xml:space="preserve">mailed or faxed to the Qlarant </w:t>
      </w:r>
      <w:r w:rsidR="00646EB5" w:rsidRPr="004A681E">
        <w:t>office</w:t>
      </w:r>
      <w:r w:rsidR="009C520E" w:rsidRPr="004A681E">
        <w:t xml:space="preserve">. </w:t>
      </w:r>
      <w:r w:rsidR="00CF18BC" w:rsidRPr="004A681E">
        <w:t xml:space="preserve">Feedback findings </w:t>
      </w:r>
      <w:r w:rsidR="004A681E" w:rsidRPr="004A681E">
        <w:t xml:space="preserve">for surveys entered into the database between July and </w:t>
      </w:r>
      <w:r w:rsidR="000238E2">
        <w:t>Decembe</w:t>
      </w:r>
      <w:r w:rsidR="004A681E" w:rsidRPr="004A681E">
        <w:t xml:space="preserve">r 2020 </w:t>
      </w:r>
      <w:r w:rsidR="00CF18BC" w:rsidRPr="004A681E">
        <w:t>are presented in Table 1</w:t>
      </w:r>
      <w:r w:rsidR="00CF18BC" w:rsidRPr="003E7FDC">
        <w:t xml:space="preserve">. </w:t>
      </w:r>
      <w:r w:rsidR="00442F86" w:rsidRPr="003E7FDC">
        <w:t xml:space="preserve">A total of </w:t>
      </w:r>
      <w:r w:rsidR="003E7FDC" w:rsidRPr="003E7FDC">
        <w:t>137</w:t>
      </w:r>
      <w:r w:rsidR="0053168C" w:rsidRPr="003E7FDC">
        <w:t xml:space="preserve"> </w:t>
      </w:r>
      <w:r w:rsidR="00442F86" w:rsidRPr="003E7FDC">
        <w:t xml:space="preserve">surveys were </w:t>
      </w:r>
      <w:r w:rsidR="00075528" w:rsidRPr="003E7FDC">
        <w:t>entered into the database</w:t>
      </w:r>
      <w:r w:rsidR="00DA1202" w:rsidRPr="003E7FDC">
        <w:t xml:space="preserve">. </w:t>
      </w:r>
      <w:r w:rsidR="00275CF7" w:rsidRPr="003E7FDC">
        <w:t xml:space="preserve">On average, </w:t>
      </w:r>
      <w:r w:rsidR="0053168C" w:rsidRPr="003E7FDC">
        <w:t>9</w:t>
      </w:r>
      <w:r w:rsidR="00646EB5" w:rsidRPr="003E7FDC">
        <w:t>7</w:t>
      </w:r>
      <w:r w:rsidR="0053168C" w:rsidRPr="003E7FDC">
        <w:t>.</w:t>
      </w:r>
      <w:r w:rsidR="003E7FDC" w:rsidRPr="003E7FDC">
        <w:t>7</w:t>
      </w:r>
      <w:r w:rsidR="007652B2" w:rsidRPr="003E7FDC">
        <w:t xml:space="preserve"> </w:t>
      </w:r>
      <w:r w:rsidR="00275CF7" w:rsidRPr="003E7FDC">
        <w:t>percent of responses were positive (</w:t>
      </w:r>
      <w:r w:rsidR="003E7FDC" w:rsidRPr="003E7FDC">
        <w:t>1</w:t>
      </w:r>
      <w:r w:rsidR="003E7FDC">
        <w:t>,</w:t>
      </w:r>
      <w:r w:rsidR="003E7FDC" w:rsidRPr="003E7FDC">
        <w:t>715</w:t>
      </w:r>
      <w:r w:rsidR="00275CF7" w:rsidRPr="003E7FDC">
        <w:t>/</w:t>
      </w:r>
      <w:r w:rsidR="003E7FDC" w:rsidRPr="003E7FDC">
        <w:t>1</w:t>
      </w:r>
      <w:r w:rsidR="003E7FDC">
        <w:t>,</w:t>
      </w:r>
      <w:r w:rsidR="003E7FDC" w:rsidRPr="003E7FDC">
        <w:t>756</w:t>
      </w:r>
      <w:r w:rsidR="00275CF7" w:rsidRPr="003E7FDC">
        <w:t>).</w:t>
      </w:r>
    </w:p>
    <w:p w14:paraId="24CD2126" w14:textId="77777777" w:rsidR="009C520E" w:rsidRDefault="009C520E" w:rsidP="009C520E"/>
    <w:tbl>
      <w:tblPr>
        <w:tblW w:w="9350" w:type="dxa"/>
        <w:tblLook w:val="04A0" w:firstRow="1" w:lastRow="0" w:firstColumn="1" w:lastColumn="0" w:noHBand="0" w:noVBand="1"/>
      </w:tblPr>
      <w:tblGrid>
        <w:gridCol w:w="6560"/>
        <w:gridCol w:w="900"/>
        <w:gridCol w:w="900"/>
        <w:gridCol w:w="990"/>
      </w:tblGrid>
      <w:tr w:rsidR="006E0865" w:rsidRPr="006E0865" w14:paraId="21DF3240" w14:textId="77777777" w:rsidTr="00275CF7">
        <w:trPr>
          <w:trHeight w:val="345"/>
          <w:tblHeader/>
        </w:trPr>
        <w:tc>
          <w:tcPr>
            <w:tcW w:w="9350" w:type="dxa"/>
            <w:gridSpan w:val="4"/>
            <w:tcBorders>
              <w:top w:val="single" w:sz="8" w:space="0" w:color="auto"/>
              <w:left w:val="single" w:sz="8" w:space="0" w:color="auto"/>
              <w:bottom w:val="single" w:sz="8" w:space="0" w:color="auto"/>
              <w:right w:val="single" w:sz="8" w:space="0" w:color="000000"/>
            </w:tcBorders>
            <w:shd w:val="clear" w:color="000000" w:fill="632523"/>
            <w:noWrap/>
            <w:vAlign w:val="center"/>
            <w:hideMark/>
          </w:tcPr>
          <w:p w14:paraId="2668E9D4" w14:textId="13644F7E" w:rsidR="006E0865" w:rsidRPr="00F84742" w:rsidRDefault="006E0865" w:rsidP="00FF1D0E">
            <w:pPr>
              <w:spacing w:line="240" w:lineRule="auto"/>
              <w:jc w:val="center"/>
              <w:rPr>
                <w:rFonts w:ascii="Franklin Gothic Medium" w:eastAsia="Times New Roman" w:hAnsi="Franklin Gothic Medium" w:cs="Calibri"/>
                <w:color w:val="FFFFFF"/>
                <w:sz w:val="22"/>
                <w:szCs w:val="24"/>
              </w:rPr>
            </w:pPr>
            <w:r w:rsidRPr="00F84742">
              <w:rPr>
                <w:rFonts w:ascii="Franklin Gothic Medium" w:eastAsia="Times New Roman" w:hAnsi="Franklin Gothic Medium" w:cs="Calibri"/>
                <w:color w:val="FFFFFF"/>
                <w:sz w:val="22"/>
                <w:szCs w:val="24"/>
              </w:rPr>
              <w:t>Table 1</w:t>
            </w:r>
            <w:r w:rsidR="00FF1D0E" w:rsidRPr="00F84742">
              <w:rPr>
                <w:rFonts w:ascii="Franklin Gothic Medium" w:eastAsia="Times New Roman" w:hAnsi="Franklin Gothic Medium" w:cs="Calibri"/>
                <w:color w:val="FFFFFF"/>
                <w:sz w:val="22"/>
                <w:szCs w:val="24"/>
              </w:rPr>
              <w:t>.</w:t>
            </w:r>
            <w:r w:rsidRPr="00F84742">
              <w:rPr>
                <w:rFonts w:ascii="Franklin Gothic Medium" w:eastAsia="Times New Roman" w:hAnsi="Franklin Gothic Medium" w:cs="Calibri"/>
                <w:color w:val="FFFFFF"/>
                <w:sz w:val="22"/>
                <w:szCs w:val="24"/>
              </w:rPr>
              <w:t xml:space="preserve">  Results from Provider Feedback Surveys</w:t>
            </w:r>
          </w:p>
        </w:tc>
      </w:tr>
      <w:tr w:rsidR="006E0865" w:rsidRPr="006E0865" w14:paraId="6FFB4E84" w14:textId="77777777" w:rsidTr="00275CF7">
        <w:trPr>
          <w:trHeight w:val="345"/>
          <w:tblHeader/>
        </w:trPr>
        <w:tc>
          <w:tcPr>
            <w:tcW w:w="9350" w:type="dxa"/>
            <w:gridSpan w:val="4"/>
            <w:tcBorders>
              <w:top w:val="single" w:sz="8" w:space="0" w:color="auto"/>
              <w:left w:val="single" w:sz="8" w:space="0" w:color="auto"/>
              <w:bottom w:val="single" w:sz="8" w:space="0" w:color="auto"/>
              <w:right w:val="single" w:sz="8" w:space="0" w:color="000000"/>
            </w:tcBorders>
            <w:shd w:val="clear" w:color="000000" w:fill="632523"/>
            <w:noWrap/>
            <w:vAlign w:val="center"/>
            <w:hideMark/>
          </w:tcPr>
          <w:p w14:paraId="0A9778A0" w14:textId="373E05C4" w:rsidR="006E0865" w:rsidRPr="00F84742" w:rsidRDefault="006E0865" w:rsidP="003E7FDC">
            <w:pPr>
              <w:spacing w:line="240" w:lineRule="auto"/>
              <w:jc w:val="center"/>
              <w:rPr>
                <w:rFonts w:ascii="Franklin Gothic Medium" w:eastAsia="Times New Roman" w:hAnsi="Franklin Gothic Medium" w:cs="Calibri"/>
                <w:color w:val="FFFFFF"/>
                <w:sz w:val="22"/>
                <w:szCs w:val="24"/>
              </w:rPr>
            </w:pPr>
            <w:r w:rsidRPr="00F84742">
              <w:rPr>
                <w:rFonts w:ascii="Franklin Gothic Medium" w:eastAsia="Times New Roman" w:hAnsi="Franklin Gothic Medium" w:cs="Calibri"/>
                <w:color w:val="FFFFFF"/>
                <w:sz w:val="22"/>
                <w:szCs w:val="24"/>
              </w:rPr>
              <w:t xml:space="preserve"> Surveys Received Between </w:t>
            </w:r>
            <w:r w:rsidR="00636D7B">
              <w:rPr>
                <w:rFonts w:ascii="Franklin Gothic Medium" w:eastAsia="Times New Roman" w:hAnsi="Franklin Gothic Medium" w:cs="Calibri"/>
                <w:color w:val="FFFFFF"/>
                <w:sz w:val="22"/>
                <w:szCs w:val="24"/>
              </w:rPr>
              <w:t xml:space="preserve">July </w:t>
            </w:r>
            <w:r w:rsidR="00865528">
              <w:rPr>
                <w:rFonts w:ascii="Franklin Gothic Medium" w:eastAsia="Times New Roman" w:hAnsi="Franklin Gothic Medium" w:cs="Calibri"/>
                <w:color w:val="FFFFFF"/>
                <w:sz w:val="22"/>
                <w:szCs w:val="24"/>
              </w:rPr>
              <w:t xml:space="preserve">and </w:t>
            </w:r>
            <w:r w:rsidR="003E7FDC">
              <w:rPr>
                <w:rFonts w:ascii="Franklin Gothic Medium" w:eastAsia="Times New Roman" w:hAnsi="Franklin Gothic Medium" w:cs="Calibri"/>
                <w:color w:val="FFFFFF"/>
                <w:sz w:val="22"/>
                <w:szCs w:val="24"/>
              </w:rPr>
              <w:t xml:space="preserve">December </w:t>
            </w:r>
            <w:r w:rsidR="00865528">
              <w:rPr>
                <w:rFonts w:ascii="Franklin Gothic Medium" w:eastAsia="Times New Roman" w:hAnsi="Franklin Gothic Medium" w:cs="Calibri"/>
                <w:color w:val="FFFFFF"/>
                <w:sz w:val="22"/>
                <w:szCs w:val="24"/>
              </w:rPr>
              <w:t xml:space="preserve">2020 </w:t>
            </w:r>
            <w:r w:rsidR="00342275">
              <w:rPr>
                <w:rFonts w:ascii="Franklin Gothic Medium" w:eastAsia="Times New Roman" w:hAnsi="Franklin Gothic Medium" w:cs="Calibri"/>
                <w:color w:val="FFFFFF"/>
                <w:sz w:val="22"/>
                <w:szCs w:val="24"/>
              </w:rPr>
              <w:t>(</w:t>
            </w:r>
            <w:r w:rsidR="0012257D">
              <w:rPr>
                <w:rFonts w:ascii="Franklin Gothic Medium" w:eastAsia="Times New Roman" w:hAnsi="Franklin Gothic Medium" w:cs="Calibri"/>
                <w:color w:val="FFFFFF"/>
                <w:sz w:val="22"/>
                <w:szCs w:val="24"/>
              </w:rPr>
              <w:t>N</w:t>
            </w:r>
            <w:r w:rsidR="00342275">
              <w:rPr>
                <w:rFonts w:ascii="Franklin Gothic Medium" w:eastAsia="Times New Roman" w:hAnsi="Franklin Gothic Medium" w:cs="Calibri"/>
                <w:color w:val="FFFFFF"/>
                <w:sz w:val="22"/>
                <w:szCs w:val="24"/>
              </w:rPr>
              <w:t>=</w:t>
            </w:r>
            <w:r w:rsidR="003E7FDC">
              <w:rPr>
                <w:rFonts w:ascii="Franklin Gothic Medium" w:eastAsia="Times New Roman" w:hAnsi="Franklin Gothic Medium" w:cs="Calibri"/>
                <w:color w:val="FFFFFF"/>
                <w:sz w:val="22"/>
                <w:szCs w:val="24"/>
              </w:rPr>
              <w:t>137</w:t>
            </w:r>
            <w:r w:rsidR="00342275">
              <w:rPr>
                <w:rFonts w:ascii="Franklin Gothic Medium" w:eastAsia="Times New Roman" w:hAnsi="Franklin Gothic Medium" w:cs="Calibri"/>
                <w:color w:val="FFFFFF"/>
                <w:sz w:val="22"/>
                <w:szCs w:val="24"/>
              </w:rPr>
              <w:t>)</w:t>
            </w:r>
          </w:p>
        </w:tc>
      </w:tr>
      <w:tr w:rsidR="006E0865" w:rsidRPr="006E0865" w14:paraId="2399E6B9" w14:textId="77777777" w:rsidTr="00275CF7">
        <w:trPr>
          <w:trHeight w:val="466"/>
          <w:tblHeader/>
        </w:trPr>
        <w:tc>
          <w:tcPr>
            <w:tcW w:w="6560" w:type="dxa"/>
            <w:tcBorders>
              <w:top w:val="nil"/>
              <w:left w:val="single" w:sz="8" w:space="0" w:color="auto"/>
              <w:bottom w:val="double" w:sz="6" w:space="0" w:color="auto"/>
              <w:right w:val="single" w:sz="8" w:space="0" w:color="auto"/>
            </w:tcBorders>
            <w:shd w:val="clear" w:color="000000" w:fill="D9D9D9"/>
            <w:noWrap/>
            <w:vAlign w:val="center"/>
            <w:hideMark/>
          </w:tcPr>
          <w:p w14:paraId="1700073B" w14:textId="77777777" w:rsidR="006E0865" w:rsidRPr="00F84742" w:rsidRDefault="006E0865" w:rsidP="006E0865">
            <w:pPr>
              <w:spacing w:line="240" w:lineRule="auto"/>
              <w:rPr>
                <w:rFonts w:ascii="Franklin Gothic Medium" w:eastAsia="Times New Roman" w:hAnsi="Franklin Gothic Medium" w:cs="Calibri"/>
                <w:color w:val="000000"/>
                <w:sz w:val="22"/>
                <w:szCs w:val="24"/>
              </w:rPr>
            </w:pPr>
            <w:r w:rsidRPr="00F84742">
              <w:rPr>
                <w:rFonts w:ascii="Franklin Gothic Medium" w:eastAsia="Times New Roman" w:hAnsi="Franklin Gothic Medium" w:cs="Calibri"/>
                <w:color w:val="000000"/>
                <w:sz w:val="22"/>
                <w:szCs w:val="24"/>
              </w:rPr>
              <w:t>Question</w:t>
            </w:r>
          </w:p>
        </w:tc>
        <w:tc>
          <w:tcPr>
            <w:tcW w:w="900" w:type="dxa"/>
            <w:tcBorders>
              <w:top w:val="nil"/>
              <w:left w:val="nil"/>
              <w:bottom w:val="double" w:sz="6" w:space="0" w:color="auto"/>
              <w:right w:val="single" w:sz="8" w:space="0" w:color="auto"/>
            </w:tcBorders>
            <w:shd w:val="clear" w:color="000000" w:fill="D9D9D9"/>
            <w:noWrap/>
            <w:vAlign w:val="center"/>
            <w:hideMark/>
          </w:tcPr>
          <w:p w14:paraId="77221DD9" w14:textId="77777777" w:rsidR="006E0865" w:rsidRPr="00F84742" w:rsidRDefault="006E0865" w:rsidP="006E0865">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 Yes</w:t>
            </w:r>
          </w:p>
        </w:tc>
        <w:tc>
          <w:tcPr>
            <w:tcW w:w="900" w:type="dxa"/>
            <w:tcBorders>
              <w:top w:val="nil"/>
              <w:left w:val="nil"/>
              <w:bottom w:val="double" w:sz="6" w:space="0" w:color="auto"/>
              <w:right w:val="single" w:sz="8" w:space="0" w:color="auto"/>
            </w:tcBorders>
            <w:shd w:val="clear" w:color="000000" w:fill="D9D9D9"/>
            <w:noWrap/>
            <w:vAlign w:val="center"/>
            <w:hideMark/>
          </w:tcPr>
          <w:p w14:paraId="72E00F9B" w14:textId="77777777" w:rsidR="006E0865" w:rsidRPr="00F84742" w:rsidRDefault="006E0865" w:rsidP="006E0865">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 No</w:t>
            </w:r>
          </w:p>
        </w:tc>
        <w:tc>
          <w:tcPr>
            <w:tcW w:w="990" w:type="dxa"/>
            <w:tcBorders>
              <w:top w:val="nil"/>
              <w:left w:val="nil"/>
              <w:bottom w:val="double" w:sz="6" w:space="0" w:color="auto"/>
              <w:right w:val="single" w:sz="8" w:space="0" w:color="auto"/>
            </w:tcBorders>
            <w:shd w:val="clear" w:color="000000" w:fill="D9D9D9"/>
            <w:noWrap/>
            <w:vAlign w:val="center"/>
          </w:tcPr>
          <w:p w14:paraId="5B675AFC" w14:textId="77777777" w:rsidR="006E0865" w:rsidRPr="00F84742" w:rsidRDefault="006E0865" w:rsidP="006E0865">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NA/</w:t>
            </w:r>
          </w:p>
          <w:p w14:paraId="18C39E3A" w14:textId="32ED79D3" w:rsidR="006E0865" w:rsidRPr="00F84742" w:rsidRDefault="006E0865" w:rsidP="006E0865">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Blank</w:t>
            </w:r>
          </w:p>
        </w:tc>
      </w:tr>
      <w:tr w:rsidR="004B394A" w:rsidRPr="006E0865" w14:paraId="50D58D6F" w14:textId="77777777" w:rsidTr="00535135">
        <w:trPr>
          <w:trHeight w:val="33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6234FDE7"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explain the review process?</w:t>
            </w:r>
          </w:p>
        </w:tc>
        <w:tc>
          <w:tcPr>
            <w:tcW w:w="900" w:type="dxa"/>
            <w:tcBorders>
              <w:top w:val="nil"/>
              <w:left w:val="nil"/>
              <w:bottom w:val="single" w:sz="8" w:space="0" w:color="auto"/>
              <w:right w:val="single" w:sz="8" w:space="0" w:color="auto"/>
            </w:tcBorders>
            <w:shd w:val="clear" w:color="auto" w:fill="auto"/>
            <w:noWrap/>
            <w:vAlign w:val="center"/>
          </w:tcPr>
          <w:p w14:paraId="25FD77B0" w14:textId="4C33CF80"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135</w:t>
            </w:r>
          </w:p>
        </w:tc>
        <w:tc>
          <w:tcPr>
            <w:tcW w:w="900" w:type="dxa"/>
            <w:tcBorders>
              <w:top w:val="nil"/>
              <w:left w:val="nil"/>
              <w:bottom w:val="single" w:sz="8" w:space="0" w:color="auto"/>
              <w:right w:val="single" w:sz="8" w:space="0" w:color="auto"/>
            </w:tcBorders>
            <w:shd w:val="clear" w:color="auto" w:fill="auto"/>
            <w:noWrap/>
            <w:vAlign w:val="center"/>
          </w:tcPr>
          <w:p w14:paraId="07E55C94" w14:textId="3EBAA6C5"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c>
          <w:tcPr>
            <w:tcW w:w="990" w:type="dxa"/>
            <w:tcBorders>
              <w:top w:val="nil"/>
              <w:left w:val="nil"/>
              <w:bottom w:val="single" w:sz="8" w:space="0" w:color="auto"/>
              <w:right w:val="single" w:sz="8" w:space="0" w:color="auto"/>
            </w:tcBorders>
            <w:shd w:val="clear" w:color="auto" w:fill="auto"/>
            <w:noWrap/>
            <w:vAlign w:val="center"/>
          </w:tcPr>
          <w:p w14:paraId="051D51BE" w14:textId="292E520B"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0</w:t>
            </w:r>
          </w:p>
        </w:tc>
      </w:tr>
      <w:tr w:rsidR="004B394A" w:rsidRPr="006E0865" w14:paraId="5C84FC91" w14:textId="77777777" w:rsidTr="00535135">
        <w:trPr>
          <w:trHeight w:val="6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2B9FC9FF"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share with you the names of the potential people chosen to participate in the review?</w:t>
            </w:r>
          </w:p>
        </w:tc>
        <w:tc>
          <w:tcPr>
            <w:tcW w:w="900" w:type="dxa"/>
            <w:tcBorders>
              <w:top w:val="nil"/>
              <w:left w:val="nil"/>
              <w:bottom w:val="single" w:sz="8" w:space="0" w:color="auto"/>
              <w:right w:val="single" w:sz="8" w:space="0" w:color="auto"/>
            </w:tcBorders>
            <w:shd w:val="clear" w:color="000000" w:fill="BFBFBF"/>
            <w:noWrap/>
            <w:vAlign w:val="center"/>
          </w:tcPr>
          <w:p w14:paraId="2C14F9FB" w14:textId="49E3430E"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135</w:t>
            </w:r>
          </w:p>
        </w:tc>
        <w:tc>
          <w:tcPr>
            <w:tcW w:w="900" w:type="dxa"/>
            <w:tcBorders>
              <w:top w:val="nil"/>
              <w:left w:val="nil"/>
              <w:bottom w:val="single" w:sz="8" w:space="0" w:color="auto"/>
              <w:right w:val="single" w:sz="8" w:space="0" w:color="auto"/>
            </w:tcBorders>
            <w:shd w:val="clear" w:color="000000" w:fill="BFBFBF"/>
            <w:noWrap/>
            <w:vAlign w:val="center"/>
          </w:tcPr>
          <w:p w14:paraId="3BC6CA75" w14:textId="711D5302"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0</w:t>
            </w:r>
          </w:p>
        </w:tc>
        <w:tc>
          <w:tcPr>
            <w:tcW w:w="990" w:type="dxa"/>
            <w:tcBorders>
              <w:top w:val="nil"/>
              <w:left w:val="nil"/>
              <w:bottom w:val="single" w:sz="8" w:space="0" w:color="auto"/>
              <w:right w:val="single" w:sz="8" w:space="0" w:color="auto"/>
            </w:tcBorders>
            <w:shd w:val="clear" w:color="000000" w:fill="BFBFBF"/>
            <w:noWrap/>
            <w:vAlign w:val="center"/>
          </w:tcPr>
          <w:p w14:paraId="5451ADCA" w14:textId="48F9A178"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r>
      <w:tr w:rsidR="004B394A" w:rsidRPr="006E0865" w14:paraId="2FF2101C" w14:textId="77777777" w:rsidTr="00535135">
        <w:trPr>
          <w:trHeight w:val="61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74DA2CE0"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explain the person's participation in the interview is voluntary?</w:t>
            </w:r>
          </w:p>
        </w:tc>
        <w:tc>
          <w:tcPr>
            <w:tcW w:w="900" w:type="dxa"/>
            <w:tcBorders>
              <w:top w:val="nil"/>
              <w:left w:val="nil"/>
              <w:bottom w:val="single" w:sz="8" w:space="0" w:color="auto"/>
              <w:right w:val="single" w:sz="8" w:space="0" w:color="auto"/>
            </w:tcBorders>
            <w:shd w:val="clear" w:color="auto" w:fill="auto"/>
            <w:noWrap/>
            <w:vAlign w:val="center"/>
          </w:tcPr>
          <w:p w14:paraId="70F88449" w14:textId="418E89B1"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124</w:t>
            </w:r>
          </w:p>
        </w:tc>
        <w:tc>
          <w:tcPr>
            <w:tcW w:w="900" w:type="dxa"/>
            <w:tcBorders>
              <w:top w:val="nil"/>
              <w:left w:val="nil"/>
              <w:bottom w:val="single" w:sz="8" w:space="0" w:color="auto"/>
              <w:right w:val="single" w:sz="8" w:space="0" w:color="auto"/>
            </w:tcBorders>
            <w:shd w:val="clear" w:color="auto" w:fill="auto"/>
            <w:noWrap/>
            <w:vAlign w:val="center"/>
          </w:tcPr>
          <w:p w14:paraId="08F7C88D" w14:textId="3C63BF9A"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7</w:t>
            </w:r>
          </w:p>
        </w:tc>
        <w:tc>
          <w:tcPr>
            <w:tcW w:w="990" w:type="dxa"/>
            <w:tcBorders>
              <w:top w:val="nil"/>
              <w:left w:val="nil"/>
              <w:bottom w:val="single" w:sz="8" w:space="0" w:color="auto"/>
              <w:right w:val="single" w:sz="8" w:space="0" w:color="auto"/>
            </w:tcBorders>
            <w:shd w:val="clear" w:color="auto" w:fill="auto"/>
            <w:noWrap/>
            <w:vAlign w:val="center"/>
          </w:tcPr>
          <w:p w14:paraId="24D58F95" w14:textId="5CFED213"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6</w:t>
            </w:r>
          </w:p>
        </w:tc>
      </w:tr>
      <w:tr w:rsidR="004B394A" w:rsidRPr="006E0865" w14:paraId="4F69CCA6" w14:textId="77777777" w:rsidTr="00535135">
        <w:trPr>
          <w:trHeight w:val="6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7460D8DC"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refer you to the Qlarant website that includes the tools and procedures?</w:t>
            </w:r>
          </w:p>
        </w:tc>
        <w:tc>
          <w:tcPr>
            <w:tcW w:w="900" w:type="dxa"/>
            <w:tcBorders>
              <w:top w:val="nil"/>
              <w:left w:val="nil"/>
              <w:bottom w:val="single" w:sz="8" w:space="0" w:color="auto"/>
              <w:right w:val="single" w:sz="8" w:space="0" w:color="auto"/>
            </w:tcBorders>
            <w:shd w:val="clear" w:color="000000" w:fill="BFBFBF"/>
            <w:noWrap/>
            <w:vAlign w:val="center"/>
          </w:tcPr>
          <w:p w14:paraId="426C7632" w14:textId="1C483E71"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134</w:t>
            </w:r>
          </w:p>
        </w:tc>
        <w:tc>
          <w:tcPr>
            <w:tcW w:w="900" w:type="dxa"/>
            <w:tcBorders>
              <w:top w:val="nil"/>
              <w:left w:val="nil"/>
              <w:bottom w:val="single" w:sz="8" w:space="0" w:color="auto"/>
              <w:right w:val="single" w:sz="8" w:space="0" w:color="auto"/>
            </w:tcBorders>
            <w:shd w:val="clear" w:color="000000" w:fill="BFBFBF"/>
            <w:noWrap/>
            <w:vAlign w:val="center"/>
          </w:tcPr>
          <w:p w14:paraId="55FF22D2" w14:textId="28EDE384"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c>
          <w:tcPr>
            <w:tcW w:w="990" w:type="dxa"/>
            <w:tcBorders>
              <w:top w:val="nil"/>
              <w:left w:val="nil"/>
              <w:bottom w:val="single" w:sz="8" w:space="0" w:color="auto"/>
              <w:right w:val="single" w:sz="8" w:space="0" w:color="auto"/>
            </w:tcBorders>
            <w:shd w:val="clear" w:color="000000" w:fill="BFBFBF"/>
            <w:noWrap/>
            <w:vAlign w:val="center"/>
          </w:tcPr>
          <w:p w14:paraId="37E7B725" w14:textId="6C922934"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w:t>
            </w:r>
          </w:p>
        </w:tc>
      </w:tr>
      <w:tr w:rsidR="004B394A" w:rsidRPr="006E0865" w14:paraId="435CFE40" w14:textId="77777777" w:rsidTr="00535135">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28DCDDB7"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Were the tools accessible on the Qlarant website?</w:t>
            </w:r>
          </w:p>
        </w:tc>
        <w:tc>
          <w:tcPr>
            <w:tcW w:w="900" w:type="dxa"/>
            <w:tcBorders>
              <w:top w:val="nil"/>
              <w:left w:val="nil"/>
              <w:bottom w:val="single" w:sz="8" w:space="0" w:color="auto"/>
              <w:right w:val="single" w:sz="8" w:space="0" w:color="auto"/>
            </w:tcBorders>
            <w:shd w:val="clear" w:color="auto" w:fill="auto"/>
            <w:noWrap/>
            <w:vAlign w:val="center"/>
          </w:tcPr>
          <w:p w14:paraId="3C326E0D" w14:textId="4277608B"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132</w:t>
            </w:r>
          </w:p>
        </w:tc>
        <w:tc>
          <w:tcPr>
            <w:tcW w:w="900" w:type="dxa"/>
            <w:tcBorders>
              <w:top w:val="nil"/>
              <w:left w:val="nil"/>
              <w:bottom w:val="single" w:sz="8" w:space="0" w:color="auto"/>
              <w:right w:val="single" w:sz="8" w:space="0" w:color="auto"/>
            </w:tcBorders>
            <w:shd w:val="clear" w:color="auto" w:fill="auto"/>
            <w:noWrap/>
            <w:vAlign w:val="center"/>
          </w:tcPr>
          <w:p w14:paraId="75B4C7E1" w14:textId="65EA0040"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w:t>
            </w:r>
          </w:p>
        </w:tc>
        <w:tc>
          <w:tcPr>
            <w:tcW w:w="990" w:type="dxa"/>
            <w:tcBorders>
              <w:top w:val="nil"/>
              <w:left w:val="nil"/>
              <w:bottom w:val="single" w:sz="8" w:space="0" w:color="auto"/>
              <w:right w:val="single" w:sz="8" w:space="0" w:color="auto"/>
            </w:tcBorders>
            <w:shd w:val="clear" w:color="auto" w:fill="auto"/>
            <w:noWrap/>
            <w:vAlign w:val="center"/>
          </w:tcPr>
          <w:p w14:paraId="3364F6CE" w14:textId="11D361B2"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w:t>
            </w:r>
          </w:p>
        </w:tc>
      </w:tr>
      <w:tr w:rsidR="004B394A" w:rsidRPr="006E0865" w14:paraId="3B8DCBBE" w14:textId="77777777" w:rsidTr="00535135">
        <w:trPr>
          <w:trHeight w:val="3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6192A6AE"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you find the tools helpful when preparing for the review?</w:t>
            </w:r>
          </w:p>
        </w:tc>
        <w:tc>
          <w:tcPr>
            <w:tcW w:w="900" w:type="dxa"/>
            <w:tcBorders>
              <w:top w:val="nil"/>
              <w:left w:val="nil"/>
              <w:bottom w:val="single" w:sz="8" w:space="0" w:color="auto"/>
              <w:right w:val="single" w:sz="8" w:space="0" w:color="auto"/>
            </w:tcBorders>
            <w:shd w:val="clear" w:color="000000" w:fill="BFBFBF"/>
            <w:noWrap/>
            <w:vAlign w:val="center"/>
          </w:tcPr>
          <w:p w14:paraId="52113B59" w14:textId="41111343"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126</w:t>
            </w:r>
          </w:p>
        </w:tc>
        <w:tc>
          <w:tcPr>
            <w:tcW w:w="900" w:type="dxa"/>
            <w:tcBorders>
              <w:top w:val="nil"/>
              <w:left w:val="nil"/>
              <w:bottom w:val="single" w:sz="8" w:space="0" w:color="auto"/>
              <w:right w:val="single" w:sz="8" w:space="0" w:color="auto"/>
            </w:tcBorders>
            <w:shd w:val="clear" w:color="000000" w:fill="BFBFBF"/>
            <w:noWrap/>
            <w:vAlign w:val="center"/>
          </w:tcPr>
          <w:p w14:paraId="7A1EB2E0" w14:textId="36E4F2CC"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6</w:t>
            </w:r>
          </w:p>
        </w:tc>
        <w:tc>
          <w:tcPr>
            <w:tcW w:w="990" w:type="dxa"/>
            <w:tcBorders>
              <w:top w:val="nil"/>
              <w:left w:val="nil"/>
              <w:bottom w:val="single" w:sz="8" w:space="0" w:color="auto"/>
              <w:right w:val="single" w:sz="8" w:space="0" w:color="auto"/>
            </w:tcBorders>
            <w:shd w:val="clear" w:color="000000" w:fill="BFBFBF"/>
            <w:noWrap/>
            <w:vAlign w:val="center"/>
          </w:tcPr>
          <w:p w14:paraId="06C12AA6" w14:textId="1959678E"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5</w:t>
            </w:r>
          </w:p>
        </w:tc>
      </w:tr>
      <w:tr w:rsidR="004B394A" w:rsidRPr="006E0865" w14:paraId="59187970" w14:textId="77777777" w:rsidTr="00535135">
        <w:trPr>
          <w:trHeight w:val="34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49CDFCA8"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answer your questions in preparation for the review?</w:t>
            </w:r>
          </w:p>
        </w:tc>
        <w:tc>
          <w:tcPr>
            <w:tcW w:w="900" w:type="dxa"/>
            <w:tcBorders>
              <w:top w:val="nil"/>
              <w:left w:val="nil"/>
              <w:bottom w:val="single" w:sz="8" w:space="0" w:color="auto"/>
              <w:right w:val="single" w:sz="8" w:space="0" w:color="auto"/>
            </w:tcBorders>
            <w:shd w:val="clear" w:color="auto" w:fill="auto"/>
            <w:noWrap/>
            <w:vAlign w:val="center"/>
          </w:tcPr>
          <w:p w14:paraId="7E62A18D" w14:textId="477B10B8"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131</w:t>
            </w:r>
          </w:p>
        </w:tc>
        <w:tc>
          <w:tcPr>
            <w:tcW w:w="900" w:type="dxa"/>
            <w:tcBorders>
              <w:top w:val="nil"/>
              <w:left w:val="nil"/>
              <w:bottom w:val="single" w:sz="8" w:space="0" w:color="auto"/>
              <w:right w:val="single" w:sz="8" w:space="0" w:color="auto"/>
            </w:tcBorders>
            <w:shd w:val="clear" w:color="auto" w:fill="auto"/>
            <w:noWrap/>
            <w:vAlign w:val="center"/>
          </w:tcPr>
          <w:p w14:paraId="28DCAD56" w14:textId="64398CA4"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c>
          <w:tcPr>
            <w:tcW w:w="990" w:type="dxa"/>
            <w:tcBorders>
              <w:top w:val="nil"/>
              <w:left w:val="nil"/>
              <w:bottom w:val="single" w:sz="8" w:space="0" w:color="auto"/>
              <w:right w:val="single" w:sz="8" w:space="0" w:color="auto"/>
            </w:tcBorders>
            <w:shd w:val="clear" w:color="auto" w:fill="auto"/>
            <w:noWrap/>
            <w:vAlign w:val="center"/>
          </w:tcPr>
          <w:p w14:paraId="34F293AF" w14:textId="2876D3A6"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w:t>
            </w:r>
          </w:p>
        </w:tc>
      </w:tr>
      <w:tr w:rsidR="004B394A" w:rsidRPr="006E0865" w14:paraId="43C5BB5B" w14:textId="77777777" w:rsidTr="00535135">
        <w:trPr>
          <w:trHeight w:val="3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1AF7A7DD"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arrive on time?</w:t>
            </w:r>
          </w:p>
        </w:tc>
        <w:tc>
          <w:tcPr>
            <w:tcW w:w="900" w:type="dxa"/>
            <w:tcBorders>
              <w:top w:val="nil"/>
              <w:left w:val="nil"/>
              <w:bottom w:val="single" w:sz="8" w:space="0" w:color="auto"/>
              <w:right w:val="single" w:sz="8" w:space="0" w:color="auto"/>
            </w:tcBorders>
            <w:shd w:val="clear" w:color="000000" w:fill="BFBFBF"/>
            <w:noWrap/>
            <w:vAlign w:val="center"/>
          </w:tcPr>
          <w:p w14:paraId="29EF8B86" w14:textId="78511557"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49</w:t>
            </w:r>
          </w:p>
        </w:tc>
        <w:tc>
          <w:tcPr>
            <w:tcW w:w="900" w:type="dxa"/>
            <w:tcBorders>
              <w:top w:val="nil"/>
              <w:left w:val="nil"/>
              <w:bottom w:val="single" w:sz="8" w:space="0" w:color="auto"/>
              <w:right w:val="single" w:sz="8" w:space="0" w:color="auto"/>
            </w:tcBorders>
            <w:shd w:val="clear" w:color="000000" w:fill="BFBFBF"/>
            <w:noWrap/>
            <w:vAlign w:val="center"/>
          </w:tcPr>
          <w:p w14:paraId="65C85D08" w14:textId="51358C88"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0</w:t>
            </w:r>
          </w:p>
        </w:tc>
        <w:tc>
          <w:tcPr>
            <w:tcW w:w="990" w:type="dxa"/>
            <w:tcBorders>
              <w:top w:val="nil"/>
              <w:left w:val="nil"/>
              <w:bottom w:val="single" w:sz="8" w:space="0" w:color="auto"/>
              <w:right w:val="single" w:sz="8" w:space="0" w:color="auto"/>
            </w:tcBorders>
            <w:shd w:val="clear" w:color="000000" w:fill="BFBFBF"/>
            <w:noWrap/>
            <w:vAlign w:val="center"/>
          </w:tcPr>
          <w:p w14:paraId="52A5F570" w14:textId="237FC700"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88</w:t>
            </w:r>
          </w:p>
        </w:tc>
      </w:tr>
      <w:tr w:rsidR="004B394A" w:rsidRPr="006E0865" w14:paraId="1B34993C" w14:textId="77777777" w:rsidTr="00535135">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13B15A98" w14:textId="4D696353"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If not, were you notified the Quality Assurance Reviewer would be late? (n=</w:t>
            </w:r>
            <w:r>
              <w:rPr>
                <w:rFonts w:asciiTheme="minorHAnsi" w:eastAsia="Times New Roman" w:hAnsiTheme="minorHAnsi" w:cstheme="minorHAnsi"/>
                <w:color w:val="000000"/>
                <w:sz w:val="20"/>
                <w:szCs w:val="20"/>
              </w:rPr>
              <w:t>6</w:t>
            </w:r>
            <w:r w:rsidRPr="00646EB5">
              <w:rPr>
                <w:rFonts w:asciiTheme="minorHAnsi" w:eastAsia="Times New Roman" w:hAnsiTheme="minorHAnsi" w:cstheme="minorHAnsi"/>
                <w:color w:val="000000"/>
                <w:sz w:val="20"/>
                <w:szCs w:val="20"/>
              </w:rPr>
              <w:t>)</w:t>
            </w:r>
          </w:p>
        </w:tc>
        <w:tc>
          <w:tcPr>
            <w:tcW w:w="900" w:type="dxa"/>
            <w:tcBorders>
              <w:top w:val="nil"/>
              <w:left w:val="nil"/>
              <w:bottom w:val="single" w:sz="8" w:space="0" w:color="auto"/>
              <w:right w:val="single" w:sz="8" w:space="0" w:color="auto"/>
            </w:tcBorders>
            <w:shd w:val="clear" w:color="auto" w:fill="auto"/>
            <w:noWrap/>
            <w:vAlign w:val="center"/>
          </w:tcPr>
          <w:p w14:paraId="15ED261B" w14:textId="04520908"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 </w:t>
            </w:r>
          </w:p>
        </w:tc>
        <w:tc>
          <w:tcPr>
            <w:tcW w:w="900" w:type="dxa"/>
            <w:tcBorders>
              <w:top w:val="nil"/>
              <w:left w:val="nil"/>
              <w:bottom w:val="single" w:sz="8" w:space="0" w:color="auto"/>
              <w:right w:val="single" w:sz="8" w:space="0" w:color="auto"/>
            </w:tcBorders>
            <w:shd w:val="clear" w:color="auto" w:fill="auto"/>
            <w:noWrap/>
            <w:vAlign w:val="center"/>
          </w:tcPr>
          <w:p w14:paraId="45DB85B7" w14:textId="2D488A08"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 </w:t>
            </w:r>
          </w:p>
        </w:tc>
        <w:tc>
          <w:tcPr>
            <w:tcW w:w="990" w:type="dxa"/>
            <w:tcBorders>
              <w:top w:val="nil"/>
              <w:left w:val="nil"/>
              <w:bottom w:val="single" w:sz="8" w:space="0" w:color="auto"/>
              <w:right w:val="single" w:sz="8" w:space="0" w:color="auto"/>
            </w:tcBorders>
            <w:shd w:val="clear" w:color="auto" w:fill="auto"/>
            <w:noWrap/>
            <w:vAlign w:val="center"/>
          </w:tcPr>
          <w:p w14:paraId="11A5A842" w14:textId="14138765"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 </w:t>
            </w:r>
          </w:p>
        </w:tc>
      </w:tr>
      <w:tr w:rsidR="004B394A" w:rsidRPr="006E0865" w14:paraId="0DDD122A" w14:textId="77777777" w:rsidTr="00B474A0">
        <w:trPr>
          <w:trHeight w:val="322"/>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BE7618C"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give you enough time to find the information requested?</w:t>
            </w:r>
          </w:p>
        </w:tc>
        <w:tc>
          <w:tcPr>
            <w:tcW w:w="900" w:type="dxa"/>
            <w:tcBorders>
              <w:top w:val="nil"/>
              <w:left w:val="nil"/>
              <w:bottom w:val="single" w:sz="8" w:space="0" w:color="auto"/>
              <w:right w:val="single" w:sz="8" w:space="0" w:color="auto"/>
            </w:tcBorders>
            <w:shd w:val="clear" w:color="000000" w:fill="BFBFBF"/>
            <w:noWrap/>
            <w:vAlign w:val="center"/>
          </w:tcPr>
          <w:p w14:paraId="06960E08" w14:textId="7C0E0AA3"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130</w:t>
            </w:r>
          </w:p>
        </w:tc>
        <w:tc>
          <w:tcPr>
            <w:tcW w:w="900" w:type="dxa"/>
            <w:tcBorders>
              <w:top w:val="nil"/>
              <w:left w:val="nil"/>
              <w:bottom w:val="single" w:sz="8" w:space="0" w:color="auto"/>
              <w:right w:val="single" w:sz="8" w:space="0" w:color="auto"/>
            </w:tcBorders>
            <w:shd w:val="clear" w:color="000000" w:fill="BFBFBF"/>
            <w:noWrap/>
            <w:vAlign w:val="center"/>
          </w:tcPr>
          <w:p w14:paraId="45A4F809" w14:textId="3DE4294B"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3</w:t>
            </w:r>
          </w:p>
        </w:tc>
        <w:tc>
          <w:tcPr>
            <w:tcW w:w="990" w:type="dxa"/>
            <w:tcBorders>
              <w:top w:val="nil"/>
              <w:left w:val="nil"/>
              <w:bottom w:val="single" w:sz="8" w:space="0" w:color="auto"/>
              <w:right w:val="single" w:sz="8" w:space="0" w:color="auto"/>
            </w:tcBorders>
            <w:shd w:val="clear" w:color="000000" w:fill="BFBFBF"/>
            <w:noWrap/>
            <w:vAlign w:val="center"/>
          </w:tcPr>
          <w:p w14:paraId="64CC54C6" w14:textId="288C7F31"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w:t>
            </w:r>
          </w:p>
        </w:tc>
      </w:tr>
      <w:tr w:rsidR="004B394A" w:rsidRPr="006E0865" w14:paraId="4A145BCC" w14:textId="77777777" w:rsidTr="00535135">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750E8DC0"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Do you feel the Quality Assurance Reviewer was prepared for the review?</w:t>
            </w:r>
          </w:p>
        </w:tc>
        <w:tc>
          <w:tcPr>
            <w:tcW w:w="900" w:type="dxa"/>
            <w:tcBorders>
              <w:top w:val="nil"/>
              <w:left w:val="nil"/>
              <w:bottom w:val="single" w:sz="8" w:space="0" w:color="auto"/>
              <w:right w:val="single" w:sz="8" w:space="0" w:color="auto"/>
            </w:tcBorders>
            <w:shd w:val="clear" w:color="auto" w:fill="auto"/>
            <w:noWrap/>
            <w:vAlign w:val="center"/>
          </w:tcPr>
          <w:p w14:paraId="4A60FD4E" w14:textId="3DBD9853"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128</w:t>
            </w:r>
          </w:p>
        </w:tc>
        <w:tc>
          <w:tcPr>
            <w:tcW w:w="900" w:type="dxa"/>
            <w:tcBorders>
              <w:top w:val="nil"/>
              <w:left w:val="nil"/>
              <w:bottom w:val="single" w:sz="8" w:space="0" w:color="auto"/>
              <w:right w:val="single" w:sz="8" w:space="0" w:color="auto"/>
            </w:tcBorders>
            <w:shd w:val="clear" w:color="auto" w:fill="auto"/>
            <w:noWrap/>
            <w:vAlign w:val="center"/>
          </w:tcPr>
          <w:p w14:paraId="05E26B3D" w14:textId="0FD0F900"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w:t>
            </w:r>
          </w:p>
        </w:tc>
        <w:tc>
          <w:tcPr>
            <w:tcW w:w="990" w:type="dxa"/>
            <w:tcBorders>
              <w:top w:val="nil"/>
              <w:left w:val="nil"/>
              <w:bottom w:val="single" w:sz="8" w:space="0" w:color="auto"/>
              <w:right w:val="single" w:sz="8" w:space="0" w:color="auto"/>
            </w:tcBorders>
            <w:shd w:val="clear" w:color="auto" w:fill="auto"/>
            <w:noWrap/>
            <w:vAlign w:val="center"/>
          </w:tcPr>
          <w:p w14:paraId="5A38A4BA" w14:textId="4B7B9EE3"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5</w:t>
            </w:r>
          </w:p>
        </w:tc>
      </w:tr>
      <w:tr w:rsidR="004B394A" w:rsidRPr="006E0865" w14:paraId="6E10F6E2" w14:textId="77777777" w:rsidTr="00B474A0">
        <w:trPr>
          <w:trHeight w:val="315"/>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0A126DFD"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review process go as explained by the Quality Assurance Reviewer?</w:t>
            </w:r>
          </w:p>
        </w:tc>
        <w:tc>
          <w:tcPr>
            <w:tcW w:w="900" w:type="dxa"/>
            <w:tcBorders>
              <w:top w:val="nil"/>
              <w:left w:val="nil"/>
              <w:bottom w:val="single" w:sz="8" w:space="0" w:color="auto"/>
              <w:right w:val="single" w:sz="8" w:space="0" w:color="auto"/>
            </w:tcBorders>
            <w:shd w:val="clear" w:color="000000" w:fill="BFBFBF"/>
            <w:noWrap/>
            <w:vAlign w:val="center"/>
          </w:tcPr>
          <w:p w14:paraId="00124454" w14:textId="5C23DAD9"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131</w:t>
            </w:r>
          </w:p>
        </w:tc>
        <w:tc>
          <w:tcPr>
            <w:tcW w:w="900" w:type="dxa"/>
            <w:tcBorders>
              <w:top w:val="nil"/>
              <w:left w:val="nil"/>
              <w:bottom w:val="single" w:sz="8" w:space="0" w:color="auto"/>
              <w:right w:val="single" w:sz="8" w:space="0" w:color="auto"/>
            </w:tcBorders>
            <w:shd w:val="clear" w:color="000000" w:fill="BFBFBF"/>
            <w:noWrap/>
            <w:vAlign w:val="center"/>
          </w:tcPr>
          <w:p w14:paraId="57D3ED95" w14:textId="2F264BB5"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w:t>
            </w:r>
          </w:p>
        </w:tc>
        <w:tc>
          <w:tcPr>
            <w:tcW w:w="990" w:type="dxa"/>
            <w:tcBorders>
              <w:top w:val="nil"/>
              <w:left w:val="nil"/>
              <w:bottom w:val="single" w:sz="8" w:space="0" w:color="auto"/>
              <w:right w:val="single" w:sz="8" w:space="0" w:color="auto"/>
            </w:tcBorders>
            <w:shd w:val="clear" w:color="000000" w:fill="BFBFBF"/>
            <w:noWrap/>
            <w:vAlign w:val="center"/>
          </w:tcPr>
          <w:p w14:paraId="784E4744" w14:textId="235A5B92"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r>
      <w:tr w:rsidR="004B394A" w:rsidRPr="006E0865" w14:paraId="6C4C5841" w14:textId="77777777" w:rsidTr="00535135">
        <w:trPr>
          <w:trHeight w:val="29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1BDC2D9F"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answer the questions you had during the review?</w:t>
            </w:r>
          </w:p>
        </w:tc>
        <w:tc>
          <w:tcPr>
            <w:tcW w:w="900" w:type="dxa"/>
            <w:tcBorders>
              <w:top w:val="nil"/>
              <w:left w:val="nil"/>
              <w:bottom w:val="single" w:sz="8" w:space="0" w:color="auto"/>
              <w:right w:val="single" w:sz="8" w:space="0" w:color="auto"/>
            </w:tcBorders>
            <w:shd w:val="clear" w:color="auto" w:fill="auto"/>
            <w:noWrap/>
            <w:vAlign w:val="center"/>
          </w:tcPr>
          <w:p w14:paraId="68CEE76E" w14:textId="774CB3A7"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125</w:t>
            </w:r>
          </w:p>
        </w:tc>
        <w:tc>
          <w:tcPr>
            <w:tcW w:w="900" w:type="dxa"/>
            <w:tcBorders>
              <w:top w:val="nil"/>
              <w:left w:val="nil"/>
              <w:bottom w:val="single" w:sz="8" w:space="0" w:color="auto"/>
              <w:right w:val="single" w:sz="8" w:space="0" w:color="auto"/>
            </w:tcBorders>
            <w:shd w:val="clear" w:color="auto" w:fill="auto"/>
            <w:noWrap/>
            <w:vAlign w:val="center"/>
          </w:tcPr>
          <w:p w14:paraId="6491496A" w14:textId="74D4BAAC"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c>
          <w:tcPr>
            <w:tcW w:w="990" w:type="dxa"/>
            <w:tcBorders>
              <w:top w:val="nil"/>
              <w:left w:val="nil"/>
              <w:bottom w:val="single" w:sz="8" w:space="0" w:color="auto"/>
              <w:right w:val="single" w:sz="8" w:space="0" w:color="auto"/>
            </w:tcBorders>
            <w:shd w:val="clear" w:color="auto" w:fill="auto"/>
            <w:noWrap/>
            <w:vAlign w:val="center"/>
          </w:tcPr>
          <w:p w14:paraId="34BA5B46" w14:textId="43AC3B24"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10</w:t>
            </w:r>
          </w:p>
        </w:tc>
      </w:tr>
      <w:tr w:rsidR="004B394A" w:rsidRPr="006E0865" w14:paraId="63B0BF94" w14:textId="77777777" w:rsidTr="00B474A0">
        <w:trPr>
          <w:trHeight w:val="286"/>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7E2AEEC"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If applicable, did the Quality Assurance Reviewer explain why a standard was Not Met?</w:t>
            </w:r>
          </w:p>
        </w:tc>
        <w:tc>
          <w:tcPr>
            <w:tcW w:w="900" w:type="dxa"/>
            <w:tcBorders>
              <w:top w:val="nil"/>
              <w:left w:val="nil"/>
              <w:bottom w:val="single" w:sz="8" w:space="0" w:color="auto"/>
              <w:right w:val="single" w:sz="8" w:space="0" w:color="auto"/>
            </w:tcBorders>
            <w:shd w:val="clear" w:color="000000" w:fill="BFBFBF"/>
            <w:noWrap/>
            <w:vAlign w:val="center"/>
          </w:tcPr>
          <w:p w14:paraId="5E5D7092" w14:textId="758E7960"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84</w:t>
            </w:r>
          </w:p>
        </w:tc>
        <w:tc>
          <w:tcPr>
            <w:tcW w:w="900" w:type="dxa"/>
            <w:tcBorders>
              <w:top w:val="nil"/>
              <w:left w:val="nil"/>
              <w:bottom w:val="single" w:sz="8" w:space="0" w:color="auto"/>
              <w:right w:val="single" w:sz="8" w:space="0" w:color="auto"/>
            </w:tcBorders>
            <w:shd w:val="clear" w:color="000000" w:fill="BFBFBF"/>
            <w:noWrap/>
            <w:vAlign w:val="center"/>
          </w:tcPr>
          <w:p w14:paraId="41B46CE7" w14:textId="46B336C6"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5</w:t>
            </w:r>
          </w:p>
        </w:tc>
        <w:tc>
          <w:tcPr>
            <w:tcW w:w="990" w:type="dxa"/>
            <w:tcBorders>
              <w:top w:val="nil"/>
              <w:left w:val="nil"/>
              <w:bottom w:val="single" w:sz="8" w:space="0" w:color="auto"/>
              <w:right w:val="single" w:sz="8" w:space="0" w:color="auto"/>
            </w:tcBorders>
            <w:shd w:val="clear" w:color="000000" w:fill="BFBFBF"/>
            <w:noWrap/>
            <w:vAlign w:val="center"/>
          </w:tcPr>
          <w:p w14:paraId="41C2A7EB" w14:textId="67B6EE2A"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48</w:t>
            </w:r>
          </w:p>
        </w:tc>
      </w:tr>
      <w:tr w:rsidR="004B394A" w:rsidRPr="006E0865" w14:paraId="4EE27DA8" w14:textId="77777777" w:rsidTr="00535135">
        <w:trPr>
          <w:trHeight w:val="349"/>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0EB28F79"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If an alert was identified, did the Quality Assurance Reviewer inform you of the follow up process?</w:t>
            </w:r>
          </w:p>
        </w:tc>
        <w:tc>
          <w:tcPr>
            <w:tcW w:w="900" w:type="dxa"/>
            <w:tcBorders>
              <w:top w:val="nil"/>
              <w:left w:val="nil"/>
              <w:bottom w:val="single" w:sz="8" w:space="0" w:color="auto"/>
              <w:right w:val="single" w:sz="8" w:space="0" w:color="auto"/>
            </w:tcBorders>
            <w:shd w:val="clear" w:color="auto" w:fill="auto"/>
            <w:noWrap/>
            <w:vAlign w:val="center"/>
          </w:tcPr>
          <w:p w14:paraId="7336CE59" w14:textId="58D988BC"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46</w:t>
            </w:r>
          </w:p>
        </w:tc>
        <w:tc>
          <w:tcPr>
            <w:tcW w:w="900" w:type="dxa"/>
            <w:tcBorders>
              <w:top w:val="nil"/>
              <w:left w:val="nil"/>
              <w:bottom w:val="single" w:sz="8" w:space="0" w:color="auto"/>
              <w:right w:val="single" w:sz="8" w:space="0" w:color="auto"/>
            </w:tcBorders>
            <w:shd w:val="clear" w:color="auto" w:fill="auto"/>
            <w:noWrap/>
            <w:vAlign w:val="center"/>
          </w:tcPr>
          <w:p w14:paraId="189731C8" w14:textId="634D8F2E"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w:t>
            </w:r>
          </w:p>
        </w:tc>
        <w:tc>
          <w:tcPr>
            <w:tcW w:w="990" w:type="dxa"/>
            <w:tcBorders>
              <w:top w:val="nil"/>
              <w:left w:val="nil"/>
              <w:bottom w:val="single" w:sz="8" w:space="0" w:color="auto"/>
              <w:right w:val="single" w:sz="8" w:space="0" w:color="auto"/>
            </w:tcBorders>
            <w:shd w:val="clear" w:color="auto" w:fill="auto"/>
            <w:noWrap/>
            <w:vAlign w:val="center"/>
          </w:tcPr>
          <w:p w14:paraId="7B5D8C76" w14:textId="4CA96C7F"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90</w:t>
            </w:r>
          </w:p>
        </w:tc>
      </w:tr>
      <w:tr w:rsidR="004B394A" w:rsidRPr="006E0865" w14:paraId="3BF3246B" w14:textId="77777777" w:rsidTr="00B474A0">
        <w:trPr>
          <w:trHeight w:val="43"/>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61FB7A5C" w14:textId="77777777" w:rsidR="004B394A" w:rsidRPr="00646EB5" w:rsidRDefault="004B394A" w:rsidP="004B394A">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provide you with the preliminary findings of your review before leaving?</w:t>
            </w:r>
          </w:p>
        </w:tc>
        <w:tc>
          <w:tcPr>
            <w:tcW w:w="900" w:type="dxa"/>
            <w:tcBorders>
              <w:top w:val="nil"/>
              <w:left w:val="nil"/>
              <w:bottom w:val="single" w:sz="8" w:space="0" w:color="auto"/>
              <w:right w:val="single" w:sz="8" w:space="0" w:color="auto"/>
            </w:tcBorders>
            <w:shd w:val="clear" w:color="000000" w:fill="BFBFBF"/>
            <w:noWrap/>
            <w:vAlign w:val="center"/>
          </w:tcPr>
          <w:p w14:paraId="0791FD95" w14:textId="0A36D9C6"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105</w:t>
            </w:r>
          </w:p>
        </w:tc>
        <w:tc>
          <w:tcPr>
            <w:tcW w:w="900" w:type="dxa"/>
            <w:tcBorders>
              <w:top w:val="nil"/>
              <w:left w:val="nil"/>
              <w:bottom w:val="single" w:sz="8" w:space="0" w:color="auto"/>
              <w:right w:val="single" w:sz="8" w:space="0" w:color="auto"/>
            </w:tcBorders>
            <w:shd w:val="clear" w:color="000000" w:fill="BFBFBF"/>
            <w:noWrap/>
            <w:vAlign w:val="center"/>
          </w:tcPr>
          <w:p w14:paraId="06B9EEA9" w14:textId="2D171482"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2</w:t>
            </w:r>
          </w:p>
        </w:tc>
        <w:tc>
          <w:tcPr>
            <w:tcW w:w="990" w:type="dxa"/>
            <w:tcBorders>
              <w:top w:val="nil"/>
              <w:left w:val="nil"/>
              <w:bottom w:val="single" w:sz="8" w:space="0" w:color="auto"/>
              <w:right w:val="single" w:sz="8" w:space="0" w:color="auto"/>
            </w:tcBorders>
            <w:shd w:val="clear" w:color="000000" w:fill="BFBFBF"/>
            <w:noWrap/>
            <w:vAlign w:val="center"/>
          </w:tcPr>
          <w:p w14:paraId="26057F58" w14:textId="1C7A9371" w:rsidR="004B394A" w:rsidRPr="00535135" w:rsidRDefault="004B394A" w:rsidP="004B394A">
            <w:pPr>
              <w:spacing w:line="240" w:lineRule="auto"/>
              <w:jc w:val="center"/>
              <w:rPr>
                <w:rFonts w:asciiTheme="minorHAnsi" w:eastAsia="Times New Roman" w:hAnsiTheme="minorHAnsi" w:cstheme="minorHAnsi"/>
                <w:color w:val="000000"/>
                <w:sz w:val="20"/>
                <w:szCs w:val="20"/>
              </w:rPr>
            </w:pPr>
            <w:r>
              <w:rPr>
                <w:rFonts w:ascii="Calibri" w:hAnsi="Calibri" w:cs="Calibri"/>
                <w:color w:val="000000"/>
                <w:sz w:val="20"/>
                <w:szCs w:val="20"/>
              </w:rPr>
              <w:t>30</w:t>
            </w:r>
          </w:p>
        </w:tc>
      </w:tr>
      <w:tr w:rsidR="004B394A" w:rsidRPr="006E0865" w14:paraId="379F9903" w14:textId="77777777" w:rsidTr="00535135">
        <w:trPr>
          <w:trHeight w:val="315"/>
        </w:trPr>
        <w:tc>
          <w:tcPr>
            <w:tcW w:w="6560" w:type="dxa"/>
            <w:tcBorders>
              <w:top w:val="nil"/>
              <w:left w:val="single" w:sz="8" w:space="0" w:color="auto"/>
              <w:bottom w:val="single" w:sz="8" w:space="0" w:color="auto"/>
              <w:right w:val="single" w:sz="8" w:space="0" w:color="auto"/>
            </w:tcBorders>
            <w:shd w:val="clear" w:color="auto" w:fill="auto"/>
            <w:noWrap/>
            <w:vAlign w:val="center"/>
            <w:hideMark/>
          </w:tcPr>
          <w:p w14:paraId="79C8E15A" w14:textId="77777777" w:rsidR="004B394A" w:rsidRPr="00646EB5" w:rsidRDefault="004B394A" w:rsidP="004B394A">
            <w:pPr>
              <w:spacing w:line="240" w:lineRule="auto"/>
              <w:rPr>
                <w:rFonts w:asciiTheme="minorHAnsi" w:eastAsia="Times New Roman" w:hAnsiTheme="minorHAnsi" w:cstheme="minorHAnsi"/>
                <w:b/>
                <w:color w:val="000000"/>
                <w:sz w:val="20"/>
                <w:szCs w:val="20"/>
              </w:rPr>
            </w:pPr>
            <w:r w:rsidRPr="00646EB5">
              <w:rPr>
                <w:rFonts w:asciiTheme="minorHAnsi" w:eastAsia="Times New Roman" w:hAnsiTheme="minorHAnsi" w:cstheme="minorHAnsi"/>
                <w:b/>
                <w:color w:val="000000"/>
                <w:sz w:val="20"/>
                <w:szCs w:val="20"/>
              </w:rPr>
              <w:t>Total Responses</w:t>
            </w:r>
          </w:p>
        </w:tc>
        <w:tc>
          <w:tcPr>
            <w:tcW w:w="900" w:type="dxa"/>
            <w:tcBorders>
              <w:top w:val="nil"/>
              <w:left w:val="nil"/>
              <w:bottom w:val="single" w:sz="8" w:space="0" w:color="auto"/>
              <w:right w:val="single" w:sz="8" w:space="0" w:color="auto"/>
            </w:tcBorders>
            <w:shd w:val="clear" w:color="auto" w:fill="auto"/>
            <w:noWrap/>
            <w:vAlign w:val="center"/>
          </w:tcPr>
          <w:p w14:paraId="2A7A3AA6" w14:textId="630B8DD5" w:rsidR="004B394A" w:rsidRPr="00535135" w:rsidRDefault="004B394A" w:rsidP="004B394A">
            <w:pPr>
              <w:spacing w:line="240" w:lineRule="auto"/>
              <w:jc w:val="center"/>
              <w:rPr>
                <w:rFonts w:asciiTheme="minorHAnsi" w:eastAsia="Times New Roman" w:hAnsiTheme="minorHAnsi" w:cstheme="minorHAnsi"/>
                <w:b/>
                <w:color w:val="000000"/>
                <w:sz w:val="20"/>
                <w:szCs w:val="20"/>
              </w:rPr>
            </w:pPr>
            <w:r>
              <w:rPr>
                <w:rFonts w:ascii="Calibri" w:hAnsi="Calibri" w:cs="Calibri"/>
                <w:b/>
                <w:bCs/>
                <w:color w:val="000000"/>
                <w:sz w:val="20"/>
                <w:szCs w:val="20"/>
              </w:rPr>
              <w:t>1,715</w:t>
            </w:r>
          </w:p>
        </w:tc>
        <w:tc>
          <w:tcPr>
            <w:tcW w:w="900" w:type="dxa"/>
            <w:tcBorders>
              <w:top w:val="nil"/>
              <w:left w:val="nil"/>
              <w:bottom w:val="single" w:sz="8" w:space="0" w:color="auto"/>
              <w:right w:val="single" w:sz="8" w:space="0" w:color="auto"/>
            </w:tcBorders>
            <w:shd w:val="clear" w:color="auto" w:fill="auto"/>
            <w:noWrap/>
            <w:vAlign w:val="center"/>
          </w:tcPr>
          <w:p w14:paraId="2E28BD02" w14:textId="22284952" w:rsidR="004B394A" w:rsidRPr="00535135" w:rsidRDefault="004B394A" w:rsidP="004B394A">
            <w:pPr>
              <w:spacing w:line="240" w:lineRule="auto"/>
              <w:jc w:val="center"/>
              <w:rPr>
                <w:rFonts w:asciiTheme="minorHAnsi" w:eastAsia="Times New Roman" w:hAnsiTheme="minorHAnsi" w:cstheme="minorHAnsi"/>
                <w:b/>
                <w:color w:val="000000"/>
                <w:sz w:val="20"/>
                <w:szCs w:val="20"/>
              </w:rPr>
            </w:pPr>
            <w:r>
              <w:rPr>
                <w:rFonts w:ascii="Calibri" w:hAnsi="Calibri" w:cs="Calibri"/>
                <w:b/>
                <w:bCs/>
                <w:color w:val="000000"/>
                <w:sz w:val="20"/>
                <w:szCs w:val="20"/>
              </w:rPr>
              <w:t>41</w:t>
            </w:r>
          </w:p>
        </w:tc>
        <w:tc>
          <w:tcPr>
            <w:tcW w:w="990" w:type="dxa"/>
            <w:tcBorders>
              <w:top w:val="nil"/>
              <w:left w:val="nil"/>
              <w:bottom w:val="single" w:sz="8" w:space="0" w:color="auto"/>
              <w:right w:val="single" w:sz="8" w:space="0" w:color="auto"/>
            </w:tcBorders>
            <w:shd w:val="clear" w:color="auto" w:fill="auto"/>
            <w:noWrap/>
            <w:vAlign w:val="center"/>
          </w:tcPr>
          <w:p w14:paraId="6BE7D33C" w14:textId="344CC22E" w:rsidR="004B394A" w:rsidRPr="00535135" w:rsidRDefault="004B394A" w:rsidP="004B394A">
            <w:pPr>
              <w:spacing w:line="240" w:lineRule="auto"/>
              <w:jc w:val="center"/>
              <w:rPr>
                <w:rFonts w:asciiTheme="minorHAnsi" w:eastAsia="Times New Roman" w:hAnsiTheme="minorHAnsi" w:cstheme="minorHAnsi"/>
                <w:b/>
                <w:color w:val="000000"/>
                <w:sz w:val="20"/>
                <w:szCs w:val="20"/>
              </w:rPr>
            </w:pPr>
            <w:r>
              <w:rPr>
                <w:rFonts w:ascii="Calibri" w:hAnsi="Calibri" w:cs="Calibri"/>
                <w:b/>
                <w:bCs/>
                <w:color w:val="000000"/>
                <w:sz w:val="20"/>
                <w:szCs w:val="20"/>
              </w:rPr>
              <w:t>299</w:t>
            </w:r>
          </w:p>
        </w:tc>
      </w:tr>
    </w:tbl>
    <w:p w14:paraId="6CD90111" w14:textId="77777777" w:rsidR="009C520E" w:rsidRPr="005A2E3C" w:rsidRDefault="009C520E" w:rsidP="006E0865">
      <w:pPr>
        <w:spacing w:line="240" w:lineRule="auto"/>
      </w:pPr>
    </w:p>
    <w:p w14:paraId="5C0ACC28" w14:textId="77777777" w:rsidR="009C520E" w:rsidRPr="00663F6D" w:rsidRDefault="009C520E" w:rsidP="009C520E">
      <w:pPr>
        <w:pStyle w:val="Heading2"/>
      </w:pPr>
      <w:bookmarkStart w:id="24" w:name="_Toc369864669"/>
      <w:bookmarkStart w:id="25" w:name="_Toc64285524"/>
      <w:r w:rsidRPr="00663F6D">
        <w:lastRenderedPageBreak/>
        <w:t>Summary of Customer Service Calls</w:t>
      </w:r>
      <w:bookmarkEnd w:id="24"/>
      <w:bookmarkEnd w:id="25"/>
    </w:p>
    <w:p w14:paraId="2F89F4C7" w14:textId="72B3BCE1" w:rsidR="00E71359" w:rsidRPr="00E71359" w:rsidRDefault="009C520E" w:rsidP="00E12C42">
      <w:pPr>
        <w:spacing w:line="276" w:lineRule="auto"/>
      </w:pPr>
      <w:r w:rsidRPr="00CF18BC">
        <w:t xml:space="preserve">During </w:t>
      </w:r>
      <w:r w:rsidRPr="00342275">
        <w:t xml:space="preserve">the </w:t>
      </w:r>
      <w:r w:rsidR="000238E2">
        <w:t xml:space="preserve">second </w:t>
      </w:r>
      <w:r w:rsidRPr="00342275">
        <w:t xml:space="preserve">quarter of the </w:t>
      </w:r>
      <w:r w:rsidR="00342275" w:rsidRPr="00342275">
        <w:t>year</w:t>
      </w:r>
      <w:r w:rsidR="001915BF">
        <w:t xml:space="preserve">, </w:t>
      </w:r>
      <w:r w:rsidR="000238E2">
        <w:t>October - December</w:t>
      </w:r>
      <w:r w:rsidR="00342275" w:rsidRPr="00342275">
        <w:t xml:space="preserve"> </w:t>
      </w:r>
      <w:r w:rsidR="0045602E" w:rsidRPr="00A73060">
        <w:t>20</w:t>
      </w:r>
      <w:r w:rsidR="001915BF">
        <w:t>20</w:t>
      </w:r>
      <w:r w:rsidRPr="00FC62B7">
        <w:t xml:space="preserve">, </w:t>
      </w:r>
      <w:r w:rsidR="00EC0F97">
        <w:t>176</w:t>
      </w:r>
      <w:r w:rsidR="00A16A77" w:rsidRPr="00813BA7">
        <w:t xml:space="preserve"> </w:t>
      </w:r>
      <w:r w:rsidRPr="00813BA7">
        <w:t>calls</w:t>
      </w:r>
      <w:r w:rsidRPr="00342275">
        <w:t xml:space="preserve"> were recorded in the Customer Service Log, with an average response time </w:t>
      </w:r>
      <w:r w:rsidR="0032371C" w:rsidRPr="00342275">
        <w:t>within</w:t>
      </w:r>
      <w:r w:rsidRPr="00342275">
        <w:t xml:space="preserve"> one day for each ca</w:t>
      </w:r>
      <w:r w:rsidRPr="00CF18BC">
        <w:t>ll.</w:t>
      </w:r>
      <w:r w:rsidRPr="00CF18BC">
        <w:rPr>
          <w:vertAlign w:val="superscript"/>
        </w:rPr>
        <w:footnoteReference w:id="4"/>
      </w:r>
      <w:r w:rsidRPr="003629D1">
        <w:rPr>
          <w:vertAlign w:val="superscript"/>
        </w:rPr>
        <w:t xml:space="preserve"> </w:t>
      </w:r>
      <w:r w:rsidRPr="003629D1">
        <w:t xml:space="preserve"> </w:t>
      </w:r>
    </w:p>
    <w:p w14:paraId="2DCEF58C" w14:textId="444186CF" w:rsidR="009C520E" w:rsidRPr="00A754AF" w:rsidRDefault="009C520E" w:rsidP="009C520E">
      <w:pPr>
        <w:pStyle w:val="Heading2"/>
      </w:pPr>
      <w:bookmarkStart w:id="26" w:name="_Toc369864672"/>
      <w:bookmarkStart w:id="27" w:name="_Toc64285525"/>
      <w:r w:rsidRPr="00A754AF">
        <w:t>Data Availability</w:t>
      </w:r>
      <w:bookmarkEnd w:id="26"/>
      <w:bookmarkEnd w:id="27"/>
    </w:p>
    <w:p w14:paraId="77AECD4E" w14:textId="4501FEEE" w:rsidR="009C520E" w:rsidRDefault="009C520E" w:rsidP="006F1549">
      <w:pPr>
        <w:numPr>
          <w:ilvl w:val="0"/>
          <w:numId w:val="2"/>
        </w:numPr>
      </w:pPr>
      <w:r w:rsidRPr="00A754AF">
        <w:t>Production reports are available for download at any time, available on the private section (required member login) of the FSQAP website</w:t>
      </w:r>
      <w:r w:rsidR="00E84426">
        <w:t>,</w:t>
      </w:r>
      <w:r w:rsidR="001543CD">
        <w:t xml:space="preserve"> for approved entities</w:t>
      </w:r>
      <w:r w:rsidRPr="00A754AF">
        <w:t xml:space="preserve">. </w:t>
      </w:r>
    </w:p>
    <w:p w14:paraId="789DCBA5" w14:textId="0B7382AB" w:rsidR="00210194" w:rsidRDefault="00210194" w:rsidP="006F1549">
      <w:pPr>
        <w:numPr>
          <w:ilvl w:val="0"/>
          <w:numId w:val="2"/>
        </w:numPr>
      </w:pPr>
      <w:r>
        <w:t>A report including provider level billing information is sent to ACHA monthly.</w:t>
      </w:r>
    </w:p>
    <w:p w14:paraId="6968838E" w14:textId="77777777" w:rsidR="00210194" w:rsidRPr="00A754AF" w:rsidRDefault="00210194" w:rsidP="00210194">
      <w:pPr>
        <w:ind w:left="720"/>
      </w:pPr>
    </w:p>
    <w:p w14:paraId="5DAAD083" w14:textId="2902CE0A" w:rsidR="009C520E" w:rsidRDefault="009C520E" w:rsidP="009C520E">
      <w:pPr>
        <w:pStyle w:val="Heading2"/>
      </w:pPr>
      <w:bookmarkStart w:id="28" w:name="_Toc64285526"/>
      <w:r w:rsidRPr="00286422">
        <w:t xml:space="preserve">Staff </w:t>
      </w:r>
      <w:r w:rsidR="008B344C">
        <w:t>Updates</w:t>
      </w:r>
      <w:bookmarkEnd w:id="28"/>
    </w:p>
    <w:p w14:paraId="2902EDFD" w14:textId="60C22E9C" w:rsidR="004D4475" w:rsidRDefault="00387616" w:rsidP="005238B4">
      <w:pPr>
        <w:rPr>
          <w:rFonts w:ascii="Calibri" w:hAnsi="Calibri" w:cs="Calibri"/>
          <w:color w:val="1F497D"/>
          <w:sz w:val="22"/>
        </w:rPr>
      </w:pPr>
      <w:bookmarkStart w:id="29" w:name="_Toc369864673"/>
      <w:r w:rsidRPr="009C09B9">
        <w:t xml:space="preserve">None during the </w:t>
      </w:r>
      <w:r w:rsidR="00B474A0" w:rsidRPr="009C09B9">
        <w:t>2nd</w:t>
      </w:r>
      <w:r w:rsidRPr="009C09B9">
        <w:t xml:space="preserve"> quarter</w:t>
      </w:r>
      <w:r w:rsidRPr="009C09B9">
        <w:rPr>
          <w:rFonts w:ascii="Calibri" w:hAnsi="Calibri" w:cs="Calibri"/>
          <w:color w:val="1F497D"/>
          <w:sz w:val="22"/>
        </w:rPr>
        <w:t>.</w:t>
      </w:r>
    </w:p>
    <w:p w14:paraId="3085F906" w14:textId="77777777" w:rsidR="00125129" w:rsidRDefault="00125129" w:rsidP="005238B4">
      <w:pPr>
        <w:rPr>
          <w:rFonts w:asciiTheme="majorHAnsi" w:eastAsiaTheme="majorEastAsia" w:hAnsiTheme="majorHAnsi" w:cstheme="majorBidi"/>
          <w:b/>
          <w:bCs/>
          <w:color w:val="2E74B5" w:themeColor="accent1" w:themeShade="BF"/>
          <w:sz w:val="28"/>
          <w:szCs w:val="28"/>
        </w:rPr>
      </w:pPr>
    </w:p>
    <w:p w14:paraId="07B05CE4" w14:textId="4321911E" w:rsidR="009C520E" w:rsidRPr="00F83F41" w:rsidRDefault="000F2F48" w:rsidP="009C520E">
      <w:pPr>
        <w:pStyle w:val="Heading1"/>
      </w:pPr>
      <w:bookmarkStart w:id="30" w:name="_Toc64285527"/>
      <w:r>
        <w:t>S</w:t>
      </w:r>
      <w:r w:rsidR="009C520E" w:rsidRPr="00F83F41">
        <w:t>ection II:  Data from Review Activities</w:t>
      </w:r>
      <w:bookmarkEnd w:id="29"/>
      <w:bookmarkEnd w:id="30"/>
    </w:p>
    <w:p w14:paraId="13E84AFB" w14:textId="77777777" w:rsidR="009C520E" w:rsidRPr="00E12C42" w:rsidRDefault="009C520E" w:rsidP="009C520E">
      <w:pPr>
        <w:pStyle w:val="Heading2"/>
      </w:pPr>
      <w:bookmarkStart w:id="31" w:name="_Toc369864674"/>
      <w:bookmarkStart w:id="32" w:name="_Toc64285528"/>
      <w:r w:rsidRPr="00E12C42">
        <w:t>Person Centered Reviews (PCR)</w:t>
      </w:r>
      <w:r w:rsidRPr="00E12C42">
        <w:rPr>
          <w:rStyle w:val="FootnoteReference"/>
        </w:rPr>
        <w:footnoteReference w:id="5"/>
      </w:r>
      <w:bookmarkEnd w:id="31"/>
      <w:bookmarkEnd w:id="32"/>
    </w:p>
    <w:tbl>
      <w:tblPr>
        <w:tblpPr w:leftFromText="288" w:rightFromText="288" w:topFromText="202" w:bottomFromText="202" w:vertAnchor="text" w:horzAnchor="margin" w:tblpXSpec="right" w:tblpY="2376"/>
        <w:tblOverlap w:val="never"/>
        <w:tblW w:w="4752" w:type="dxa"/>
        <w:tblBorders>
          <w:top w:val="single" w:sz="12" w:space="0" w:color="auto"/>
          <w:left w:val="single" w:sz="12" w:space="0" w:color="auto"/>
          <w:bottom w:val="single" w:sz="12" w:space="0" w:color="auto"/>
          <w:right w:val="single" w:sz="12" w:space="0" w:color="auto"/>
          <w:insideH w:val="single" w:sz="2" w:space="0" w:color="auto"/>
        </w:tblBorders>
        <w:tblLayout w:type="fixed"/>
        <w:tblLook w:val="04A0" w:firstRow="1" w:lastRow="0" w:firstColumn="1" w:lastColumn="0" w:noHBand="0" w:noVBand="1"/>
      </w:tblPr>
      <w:tblGrid>
        <w:gridCol w:w="1185"/>
        <w:gridCol w:w="958"/>
        <w:gridCol w:w="958"/>
        <w:gridCol w:w="894"/>
        <w:gridCol w:w="757"/>
      </w:tblGrid>
      <w:tr w:rsidR="00843506" w:rsidRPr="002652F4" w14:paraId="7233CF9C" w14:textId="77777777" w:rsidTr="007628D3">
        <w:trPr>
          <w:trHeight w:val="330"/>
          <w:tblHeader/>
        </w:trPr>
        <w:tc>
          <w:tcPr>
            <w:tcW w:w="5115" w:type="dxa"/>
            <w:gridSpan w:val="5"/>
            <w:shd w:val="clear" w:color="000000" w:fill="215967"/>
            <w:noWrap/>
            <w:vAlign w:val="bottom"/>
            <w:hideMark/>
          </w:tcPr>
          <w:p w14:paraId="69B2249F" w14:textId="77777777" w:rsidR="00843506" w:rsidRPr="002652F4" w:rsidRDefault="00843506" w:rsidP="00843506">
            <w:pPr>
              <w:spacing w:line="240" w:lineRule="auto"/>
              <w:jc w:val="center"/>
              <w:rPr>
                <w:rFonts w:ascii="Franklin Gothic Medium" w:eastAsia="Times New Roman" w:hAnsi="Franklin Gothic Medium" w:cs="Calibri"/>
                <w:color w:val="FFFFFF"/>
                <w:sz w:val="22"/>
              </w:rPr>
            </w:pPr>
            <w:r w:rsidRPr="002652F4">
              <w:rPr>
                <w:rFonts w:ascii="Franklin Gothic Medium" w:eastAsia="Times New Roman" w:hAnsi="Franklin Gothic Medium" w:cs="Calibri"/>
                <w:color w:val="FFFFFF"/>
                <w:sz w:val="22"/>
              </w:rPr>
              <w:t>Table 2:  Person Centered Review Activity</w:t>
            </w:r>
          </w:p>
        </w:tc>
      </w:tr>
      <w:tr w:rsidR="00843506" w:rsidRPr="002652F4" w14:paraId="37BB9A6B" w14:textId="77777777" w:rsidTr="007628D3">
        <w:trPr>
          <w:trHeight w:val="330"/>
          <w:tblHeader/>
        </w:trPr>
        <w:tc>
          <w:tcPr>
            <w:tcW w:w="5115" w:type="dxa"/>
            <w:gridSpan w:val="5"/>
            <w:shd w:val="clear" w:color="000000" w:fill="215967"/>
            <w:noWrap/>
            <w:vAlign w:val="bottom"/>
            <w:hideMark/>
          </w:tcPr>
          <w:p w14:paraId="48B08A6F" w14:textId="77777777" w:rsidR="00843506" w:rsidRPr="002652F4" w:rsidRDefault="00843506" w:rsidP="00843506">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July - December 2020</w:t>
            </w:r>
          </w:p>
        </w:tc>
      </w:tr>
      <w:tr w:rsidR="00843506" w:rsidRPr="002652F4" w14:paraId="1BF9448A" w14:textId="77777777" w:rsidTr="007628D3">
        <w:trPr>
          <w:trHeight w:val="330"/>
          <w:tblHeader/>
        </w:trPr>
        <w:tc>
          <w:tcPr>
            <w:tcW w:w="1282" w:type="dxa"/>
            <w:shd w:val="clear" w:color="000000" w:fill="215967"/>
            <w:noWrap/>
            <w:vAlign w:val="bottom"/>
            <w:hideMark/>
          </w:tcPr>
          <w:p w14:paraId="331FC966" w14:textId="77777777" w:rsidR="00843506" w:rsidRPr="002652F4" w:rsidRDefault="00843506" w:rsidP="00843506">
            <w:pPr>
              <w:spacing w:line="240" w:lineRule="auto"/>
              <w:rPr>
                <w:rFonts w:ascii="Franklin Gothic Medium" w:eastAsia="Times New Roman" w:hAnsi="Franklin Gothic Medium" w:cs="Calibri"/>
                <w:color w:val="FFFFFF"/>
                <w:szCs w:val="24"/>
              </w:rPr>
            </w:pPr>
            <w:r w:rsidRPr="002652F4">
              <w:rPr>
                <w:rFonts w:ascii="Franklin Gothic Medium" w:eastAsia="Times New Roman" w:hAnsi="Franklin Gothic Medium" w:cs="Calibri"/>
                <w:color w:val="FFFFFF"/>
                <w:szCs w:val="24"/>
              </w:rPr>
              <w:t> </w:t>
            </w:r>
          </w:p>
        </w:tc>
        <w:tc>
          <w:tcPr>
            <w:tcW w:w="2062" w:type="dxa"/>
            <w:gridSpan w:val="2"/>
            <w:shd w:val="clear" w:color="000000" w:fill="215967"/>
            <w:noWrap/>
            <w:vAlign w:val="bottom"/>
            <w:hideMark/>
          </w:tcPr>
          <w:p w14:paraId="657E0F51" w14:textId="77777777" w:rsidR="00843506" w:rsidRPr="002652F4" w:rsidRDefault="00843506" w:rsidP="00843506">
            <w:pPr>
              <w:spacing w:line="240" w:lineRule="auto"/>
              <w:jc w:val="center"/>
              <w:rPr>
                <w:rFonts w:ascii="Franklin Gothic Medium" w:eastAsia="Times New Roman" w:hAnsi="Franklin Gothic Medium" w:cs="Calibri"/>
                <w:color w:val="FFFFFF"/>
                <w:sz w:val="20"/>
                <w:szCs w:val="20"/>
              </w:rPr>
            </w:pPr>
            <w:r w:rsidRPr="002652F4">
              <w:rPr>
                <w:rFonts w:ascii="Franklin Gothic Medium" w:eastAsia="Times New Roman" w:hAnsi="Franklin Gothic Medium" w:cs="Calibri"/>
                <w:color w:val="FFFFFF"/>
                <w:sz w:val="20"/>
                <w:szCs w:val="20"/>
              </w:rPr>
              <w:t>Number of PCRs</w:t>
            </w:r>
          </w:p>
        </w:tc>
        <w:tc>
          <w:tcPr>
            <w:tcW w:w="1771" w:type="dxa"/>
            <w:gridSpan w:val="2"/>
            <w:shd w:val="clear" w:color="000000" w:fill="215967"/>
            <w:noWrap/>
            <w:vAlign w:val="bottom"/>
            <w:hideMark/>
          </w:tcPr>
          <w:p w14:paraId="301E7849" w14:textId="77777777" w:rsidR="00843506" w:rsidRPr="002652F4" w:rsidRDefault="00843506" w:rsidP="00843506">
            <w:pPr>
              <w:spacing w:line="240" w:lineRule="auto"/>
              <w:jc w:val="center"/>
              <w:rPr>
                <w:rFonts w:ascii="Franklin Gothic Medium" w:eastAsia="Times New Roman" w:hAnsi="Franklin Gothic Medium" w:cs="Calibri"/>
                <w:color w:val="FFFFFF"/>
                <w:sz w:val="20"/>
                <w:szCs w:val="20"/>
              </w:rPr>
            </w:pPr>
            <w:r w:rsidRPr="002652F4">
              <w:rPr>
                <w:rFonts w:ascii="Franklin Gothic Medium" w:eastAsia="Times New Roman" w:hAnsi="Franklin Gothic Medium" w:cs="Calibri"/>
                <w:color w:val="FFFFFF"/>
                <w:sz w:val="20"/>
                <w:szCs w:val="20"/>
              </w:rPr>
              <w:t>Number of Declines</w:t>
            </w:r>
          </w:p>
        </w:tc>
      </w:tr>
      <w:tr w:rsidR="00843506" w:rsidRPr="002652F4" w14:paraId="16A485A1" w14:textId="77777777" w:rsidTr="007628D3">
        <w:trPr>
          <w:trHeight w:val="300"/>
        </w:trPr>
        <w:tc>
          <w:tcPr>
            <w:tcW w:w="1282" w:type="dxa"/>
            <w:shd w:val="clear" w:color="000000" w:fill="D9D9D9"/>
            <w:noWrap/>
            <w:vAlign w:val="bottom"/>
            <w:hideMark/>
          </w:tcPr>
          <w:p w14:paraId="44C72891" w14:textId="77777777" w:rsidR="00843506" w:rsidRPr="002652F4" w:rsidRDefault="00843506" w:rsidP="00843506">
            <w:pPr>
              <w:spacing w:line="240" w:lineRule="auto"/>
              <w:rPr>
                <w:rFonts w:ascii="Calibri" w:eastAsia="Times New Roman" w:hAnsi="Calibri" w:cs="Calibri"/>
                <w:color w:val="000000"/>
                <w:sz w:val="22"/>
              </w:rPr>
            </w:pPr>
            <w:r w:rsidRPr="002652F4">
              <w:rPr>
                <w:rFonts w:ascii="Calibri" w:eastAsia="Times New Roman" w:hAnsi="Calibri" w:cs="Calibri"/>
                <w:color w:val="000000"/>
                <w:sz w:val="22"/>
              </w:rPr>
              <w:t>Region</w:t>
            </w:r>
          </w:p>
        </w:tc>
        <w:tc>
          <w:tcPr>
            <w:tcW w:w="1031" w:type="dxa"/>
            <w:shd w:val="clear" w:color="000000" w:fill="D9D9D9"/>
            <w:noWrap/>
            <w:vAlign w:val="bottom"/>
            <w:hideMark/>
          </w:tcPr>
          <w:p w14:paraId="276C12A0" w14:textId="77777777" w:rsidR="00843506" w:rsidRPr="002652F4" w:rsidRDefault="00843506" w:rsidP="00843506">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Waiver</w:t>
            </w:r>
          </w:p>
        </w:tc>
        <w:tc>
          <w:tcPr>
            <w:tcW w:w="1031" w:type="dxa"/>
            <w:shd w:val="clear" w:color="000000" w:fill="D9D9D9"/>
            <w:noWrap/>
            <w:vAlign w:val="bottom"/>
            <w:hideMark/>
          </w:tcPr>
          <w:p w14:paraId="781356B1" w14:textId="77777777" w:rsidR="00843506" w:rsidRPr="002652F4" w:rsidRDefault="00843506" w:rsidP="00843506">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CDC+</w:t>
            </w:r>
          </w:p>
        </w:tc>
        <w:tc>
          <w:tcPr>
            <w:tcW w:w="961" w:type="dxa"/>
            <w:shd w:val="clear" w:color="000000" w:fill="D9D9D9"/>
            <w:noWrap/>
            <w:vAlign w:val="bottom"/>
            <w:hideMark/>
          </w:tcPr>
          <w:p w14:paraId="18F1CAF3" w14:textId="77777777" w:rsidR="00843506" w:rsidRPr="002652F4" w:rsidRDefault="00843506" w:rsidP="00843506">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Waiver</w:t>
            </w:r>
          </w:p>
        </w:tc>
        <w:tc>
          <w:tcPr>
            <w:tcW w:w="810" w:type="dxa"/>
            <w:shd w:val="clear" w:color="000000" w:fill="D9D9D9"/>
            <w:noWrap/>
            <w:vAlign w:val="bottom"/>
            <w:hideMark/>
          </w:tcPr>
          <w:p w14:paraId="0F038F7E" w14:textId="77777777" w:rsidR="00843506" w:rsidRPr="002652F4" w:rsidRDefault="00843506" w:rsidP="00843506">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CDC+</w:t>
            </w:r>
          </w:p>
        </w:tc>
      </w:tr>
      <w:tr w:rsidR="00843506" w:rsidRPr="002652F4" w14:paraId="06021118" w14:textId="77777777" w:rsidTr="007628D3">
        <w:trPr>
          <w:trHeight w:val="245"/>
        </w:trPr>
        <w:tc>
          <w:tcPr>
            <w:tcW w:w="1282" w:type="dxa"/>
            <w:shd w:val="clear" w:color="auto" w:fill="auto"/>
            <w:noWrap/>
            <w:vAlign w:val="bottom"/>
            <w:hideMark/>
          </w:tcPr>
          <w:p w14:paraId="40A73573"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Northwest</w:t>
            </w:r>
          </w:p>
        </w:tc>
        <w:tc>
          <w:tcPr>
            <w:tcW w:w="1031" w:type="dxa"/>
            <w:shd w:val="clear" w:color="auto" w:fill="auto"/>
            <w:noWrap/>
            <w:vAlign w:val="bottom"/>
          </w:tcPr>
          <w:p w14:paraId="69BA4CF3"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32</w:t>
            </w:r>
          </w:p>
        </w:tc>
        <w:tc>
          <w:tcPr>
            <w:tcW w:w="1031" w:type="dxa"/>
            <w:shd w:val="clear" w:color="auto" w:fill="auto"/>
            <w:noWrap/>
            <w:vAlign w:val="bottom"/>
          </w:tcPr>
          <w:p w14:paraId="2B26EDC1"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2</w:t>
            </w:r>
          </w:p>
        </w:tc>
        <w:tc>
          <w:tcPr>
            <w:tcW w:w="961" w:type="dxa"/>
            <w:shd w:val="clear" w:color="auto" w:fill="auto"/>
            <w:noWrap/>
            <w:vAlign w:val="bottom"/>
          </w:tcPr>
          <w:p w14:paraId="0F7BD909"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1</w:t>
            </w:r>
          </w:p>
        </w:tc>
        <w:tc>
          <w:tcPr>
            <w:tcW w:w="810" w:type="dxa"/>
            <w:shd w:val="clear" w:color="auto" w:fill="auto"/>
            <w:noWrap/>
            <w:vAlign w:val="bottom"/>
          </w:tcPr>
          <w:p w14:paraId="1D41F288"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0</w:t>
            </w:r>
          </w:p>
        </w:tc>
      </w:tr>
      <w:tr w:rsidR="00843506" w:rsidRPr="002652F4" w14:paraId="3938F1DA" w14:textId="77777777" w:rsidTr="007628D3">
        <w:trPr>
          <w:trHeight w:val="300"/>
        </w:trPr>
        <w:tc>
          <w:tcPr>
            <w:tcW w:w="1282" w:type="dxa"/>
            <w:shd w:val="clear" w:color="auto" w:fill="auto"/>
            <w:noWrap/>
            <w:vAlign w:val="bottom"/>
            <w:hideMark/>
          </w:tcPr>
          <w:p w14:paraId="1856765A"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Northeast</w:t>
            </w:r>
          </w:p>
        </w:tc>
        <w:tc>
          <w:tcPr>
            <w:tcW w:w="1031" w:type="dxa"/>
            <w:shd w:val="clear" w:color="auto" w:fill="auto"/>
            <w:noWrap/>
            <w:vAlign w:val="bottom"/>
          </w:tcPr>
          <w:p w14:paraId="480709C0"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118</w:t>
            </w:r>
          </w:p>
        </w:tc>
        <w:tc>
          <w:tcPr>
            <w:tcW w:w="1031" w:type="dxa"/>
            <w:shd w:val="clear" w:color="auto" w:fill="auto"/>
            <w:noWrap/>
            <w:vAlign w:val="bottom"/>
          </w:tcPr>
          <w:p w14:paraId="510DE749"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18</w:t>
            </w:r>
          </w:p>
        </w:tc>
        <w:tc>
          <w:tcPr>
            <w:tcW w:w="961" w:type="dxa"/>
            <w:shd w:val="clear" w:color="auto" w:fill="auto"/>
            <w:noWrap/>
            <w:vAlign w:val="bottom"/>
          </w:tcPr>
          <w:p w14:paraId="1D6EC1E0"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3</w:t>
            </w:r>
          </w:p>
        </w:tc>
        <w:tc>
          <w:tcPr>
            <w:tcW w:w="810" w:type="dxa"/>
            <w:shd w:val="clear" w:color="auto" w:fill="auto"/>
            <w:noWrap/>
            <w:vAlign w:val="bottom"/>
          </w:tcPr>
          <w:p w14:paraId="3D10667F"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4</w:t>
            </w:r>
          </w:p>
        </w:tc>
      </w:tr>
      <w:tr w:rsidR="00843506" w:rsidRPr="002652F4" w14:paraId="5D8CC569" w14:textId="77777777" w:rsidTr="007628D3">
        <w:trPr>
          <w:trHeight w:val="300"/>
        </w:trPr>
        <w:tc>
          <w:tcPr>
            <w:tcW w:w="1282" w:type="dxa"/>
            <w:shd w:val="clear" w:color="auto" w:fill="auto"/>
            <w:noWrap/>
            <w:vAlign w:val="bottom"/>
            <w:hideMark/>
          </w:tcPr>
          <w:p w14:paraId="58A2F842"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Central</w:t>
            </w:r>
          </w:p>
        </w:tc>
        <w:tc>
          <w:tcPr>
            <w:tcW w:w="1031" w:type="dxa"/>
            <w:shd w:val="clear" w:color="auto" w:fill="auto"/>
            <w:noWrap/>
            <w:vAlign w:val="bottom"/>
          </w:tcPr>
          <w:p w14:paraId="7F1AE16D"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93</w:t>
            </w:r>
          </w:p>
        </w:tc>
        <w:tc>
          <w:tcPr>
            <w:tcW w:w="1031" w:type="dxa"/>
            <w:shd w:val="clear" w:color="auto" w:fill="auto"/>
            <w:noWrap/>
            <w:vAlign w:val="bottom"/>
          </w:tcPr>
          <w:p w14:paraId="4547108D"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20</w:t>
            </w:r>
          </w:p>
        </w:tc>
        <w:tc>
          <w:tcPr>
            <w:tcW w:w="961" w:type="dxa"/>
            <w:shd w:val="clear" w:color="auto" w:fill="auto"/>
            <w:noWrap/>
            <w:vAlign w:val="bottom"/>
          </w:tcPr>
          <w:p w14:paraId="5252D819"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4</w:t>
            </w:r>
          </w:p>
        </w:tc>
        <w:tc>
          <w:tcPr>
            <w:tcW w:w="810" w:type="dxa"/>
            <w:shd w:val="clear" w:color="auto" w:fill="auto"/>
            <w:noWrap/>
            <w:vAlign w:val="bottom"/>
          </w:tcPr>
          <w:p w14:paraId="4F391FFB"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1</w:t>
            </w:r>
          </w:p>
        </w:tc>
      </w:tr>
      <w:tr w:rsidR="00843506" w:rsidRPr="002652F4" w14:paraId="2A727A83" w14:textId="77777777" w:rsidTr="007628D3">
        <w:trPr>
          <w:trHeight w:val="300"/>
        </w:trPr>
        <w:tc>
          <w:tcPr>
            <w:tcW w:w="1282" w:type="dxa"/>
            <w:shd w:val="clear" w:color="auto" w:fill="auto"/>
            <w:noWrap/>
            <w:vAlign w:val="bottom"/>
            <w:hideMark/>
          </w:tcPr>
          <w:p w14:paraId="7C7E3631"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Suncoast</w:t>
            </w:r>
          </w:p>
        </w:tc>
        <w:tc>
          <w:tcPr>
            <w:tcW w:w="1031" w:type="dxa"/>
            <w:shd w:val="clear" w:color="auto" w:fill="auto"/>
            <w:noWrap/>
            <w:vAlign w:val="bottom"/>
          </w:tcPr>
          <w:p w14:paraId="10F1E8F8"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127</w:t>
            </w:r>
          </w:p>
        </w:tc>
        <w:tc>
          <w:tcPr>
            <w:tcW w:w="1031" w:type="dxa"/>
            <w:shd w:val="clear" w:color="auto" w:fill="auto"/>
            <w:noWrap/>
            <w:vAlign w:val="bottom"/>
          </w:tcPr>
          <w:p w14:paraId="2B832C9D"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6</w:t>
            </w:r>
          </w:p>
        </w:tc>
        <w:tc>
          <w:tcPr>
            <w:tcW w:w="961" w:type="dxa"/>
            <w:shd w:val="clear" w:color="auto" w:fill="auto"/>
            <w:noWrap/>
            <w:vAlign w:val="bottom"/>
          </w:tcPr>
          <w:p w14:paraId="6253578D"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4</w:t>
            </w:r>
          </w:p>
        </w:tc>
        <w:tc>
          <w:tcPr>
            <w:tcW w:w="810" w:type="dxa"/>
            <w:shd w:val="clear" w:color="auto" w:fill="auto"/>
            <w:noWrap/>
            <w:vAlign w:val="bottom"/>
          </w:tcPr>
          <w:p w14:paraId="3252B83B"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0</w:t>
            </w:r>
          </w:p>
        </w:tc>
      </w:tr>
      <w:tr w:rsidR="00843506" w:rsidRPr="002652F4" w14:paraId="42F171A7" w14:textId="77777777" w:rsidTr="007628D3">
        <w:trPr>
          <w:trHeight w:val="300"/>
        </w:trPr>
        <w:tc>
          <w:tcPr>
            <w:tcW w:w="1282" w:type="dxa"/>
            <w:shd w:val="clear" w:color="auto" w:fill="auto"/>
            <w:noWrap/>
            <w:vAlign w:val="bottom"/>
            <w:hideMark/>
          </w:tcPr>
          <w:p w14:paraId="04D2CD95"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Southeast</w:t>
            </w:r>
          </w:p>
        </w:tc>
        <w:tc>
          <w:tcPr>
            <w:tcW w:w="1031" w:type="dxa"/>
            <w:shd w:val="clear" w:color="auto" w:fill="auto"/>
            <w:noWrap/>
            <w:vAlign w:val="bottom"/>
          </w:tcPr>
          <w:p w14:paraId="26258660"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159</w:t>
            </w:r>
          </w:p>
        </w:tc>
        <w:tc>
          <w:tcPr>
            <w:tcW w:w="1031" w:type="dxa"/>
            <w:shd w:val="clear" w:color="auto" w:fill="auto"/>
            <w:noWrap/>
            <w:vAlign w:val="bottom"/>
          </w:tcPr>
          <w:p w14:paraId="08A0E207"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16</w:t>
            </w:r>
          </w:p>
        </w:tc>
        <w:tc>
          <w:tcPr>
            <w:tcW w:w="961" w:type="dxa"/>
            <w:shd w:val="clear" w:color="auto" w:fill="auto"/>
            <w:noWrap/>
            <w:vAlign w:val="bottom"/>
          </w:tcPr>
          <w:p w14:paraId="1F0BCF28"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10</w:t>
            </w:r>
          </w:p>
        </w:tc>
        <w:tc>
          <w:tcPr>
            <w:tcW w:w="810" w:type="dxa"/>
            <w:shd w:val="clear" w:color="auto" w:fill="auto"/>
            <w:noWrap/>
            <w:vAlign w:val="bottom"/>
          </w:tcPr>
          <w:p w14:paraId="2316F63E"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0</w:t>
            </w:r>
          </w:p>
        </w:tc>
      </w:tr>
      <w:tr w:rsidR="00843506" w:rsidRPr="002652F4" w14:paraId="0E91F0E3" w14:textId="77777777" w:rsidTr="007628D3">
        <w:trPr>
          <w:trHeight w:val="315"/>
        </w:trPr>
        <w:tc>
          <w:tcPr>
            <w:tcW w:w="1282" w:type="dxa"/>
            <w:shd w:val="clear" w:color="auto" w:fill="auto"/>
            <w:noWrap/>
            <w:vAlign w:val="bottom"/>
            <w:hideMark/>
          </w:tcPr>
          <w:p w14:paraId="43A1F84C"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Southern</w:t>
            </w:r>
          </w:p>
        </w:tc>
        <w:tc>
          <w:tcPr>
            <w:tcW w:w="1031" w:type="dxa"/>
            <w:shd w:val="clear" w:color="auto" w:fill="auto"/>
            <w:noWrap/>
            <w:vAlign w:val="bottom"/>
          </w:tcPr>
          <w:p w14:paraId="37BF5347"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73</w:t>
            </w:r>
          </w:p>
        </w:tc>
        <w:tc>
          <w:tcPr>
            <w:tcW w:w="1031" w:type="dxa"/>
            <w:shd w:val="clear" w:color="auto" w:fill="auto"/>
            <w:noWrap/>
            <w:vAlign w:val="bottom"/>
          </w:tcPr>
          <w:p w14:paraId="41EA9233" w14:textId="77777777" w:rsidR="00843506" w:rsidRPr="007628D3" w:rsidRDefault="00843506" w:rsidP="00843506">
            <w:pPr>
              <w:spacing w:line="240" w:lineRule="auto"/>
              <w:jc w:val="center"/>
              <w:rPr>
                <w:rFonts w:asciiTheme="minorHAnsi" w:hAnsiTheme="minorHAnsi" w:cstheme="minorHAnsi"/>
                <w:color w:val="000000"/>
                <w:sz w:val="20"/>
                <w:szCs w:val="20"/>
              </w:rPr>
            </w:pPr>
            <w:r w:rsidRPr="007628D3">
              <w:rPr>
                <w:rFonts w:ascii="Calibri" w:hAnsi="Calibri" w:cs="Calibri"/>
                <w:color w:val="000000"/>
                <w:sz w:val="20"/>
              </w:rPr>
              <w:t>10</w:t>
            </w:r>
          </w:p>
        </w:tc>
        <w:tc>
          <w:tcPr>
            <w:tcW w:w="961" w:type="dxa"/>
            <w:shd w:val="clear" w:color="auto" w:fill="auto"/>
            <w:noWrap/>
            <w:vAlign w:val="bottom"/>
          </w:tcPr>
          <w:p w14:paraId="5EF78C56"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1</w:t>
            </w:r>
          </w:p>
        </w:tc>
        <w:tc>
          <w:tcPr>
            <w:tcW w:w="810" w:type="dxa"/>
            <w:shd w:val="clear" w:color="auto" w:fill="auto"/>
            <w:noWrap/>
            <w:vAlign w:val="bottom"/>
          </w:tcPr>
          <w:p w14:paraId="59CFA8F7" w14:textId="77777777" w:rsidR="00843506" w:rsidRPr="007628D3" w:rsidRDefault="00843506" w:rsidP="00843506">
            <w:pPr>
              <w:spacing w:line="240" w:lineRule="auto"/>
              <w:jc w:val="center"/>
              <w:rPr>
                <w:rFonts w:asciiTheme="minorHAnsi" w:eastAsia="Times New Roman" w:hAnsiTheme="minorHAnsi" w:cstheme="minorHAnsi"/>
                <w:color w:val="000000"/>
                <w:sz w:val="20"/>
                <w:szCs w:val="20"/>
              </w:rPr>
            </w:pPr>
            <w:r w:rsidRPr="007628D3">
              <w:rPr>
                <w:rFonts w:ascii="Calibri" w:hAnsi="Calibri" w:cs="Calibri"/>
                <w:color w:val="000000"/>
                <w:sz w:val="20"/>
              </w:rPr>
              <w:t>0</w:t>
            </w:r>
          </w:p>
        </w:tc>
      </w:tr>
      <w:tr w:rsidR="00843506" w:rsidRPr="002652F4" w14:paraId="58B06AD3" w14:textId="77777777" w:rsidTr="007628D3">
        <w:trPr>
          <w:trHeight w:val="330"/>
        </w:trPr>
        <w:tc>
          <w:tcPr>
            <w:tcW w:w="1282" w:type="dxa"/>
            <w:shd w:val="clear" w:color="auto" w:fill="auto"/>
            <w:noWrap/>
            <w:vAlign w:val="bottom"/>
            <w:hideMark/>
          </w:tcPr>
          <w:p w14:paraId="0FD2F030" w14:textId="77777777" w:rsidR="00843506" w:rsidRPr="007628D3" w:rsidRDefault="00843506" w:rsidP="00843506">
            <w:pPr>
              <w:spacing w:line="240" w:lineRule="auto"/>
              <w:rPr>
                <w:rFonts w:ascii="Calibri" w:eastAsia="Times New Roman" w:hAnsi="Calibri" w:cs="Calibri"/>
                <w:b/>
                <w:color w:val="000000"/>
                <w:sz w:val="20"/>
              </w:rPr>
            </w:pPr>
            <w:r w:rsidRPr="007628D3">
              <w:rPr>
                <w:rFonts w:ascii="Calibri" w:eastAsia="Times New Roman" w:hAnsi="Calibri" w:cs="Calibri"/>
                <w:b/>
                <w:color w:val="000000"/>
                <w:sz w:val="20"/>
              </w:rPr>
              <w:t>Total</w:t>
            </w:r>
          </w:p>
        </w:tc>
        <w:tc>
          <w:tcPr>
            <w:tcW w:w="1031" w:type="dxa"/>
            <w:shd w:val="clear" w:color="auto" w:fill="auto"/>
            <w:noWrap/>
            <w:vAlign w:val="bottom"/>
          </w:tcPr>
          <w:p w14:paraId="2A550C00" w14:textId="77777777" w:rsidR="00843506" w:rsidRPr="007628D3" w:rsidRDefault="00843506" w:rsidP="00843506">
            <w:pPr>
              <w:spacing w:line="240" w:lineRule="auto"/>
              <w:jc w:val="center"/>
              <w:rPr>
                <w:rFonts w:asciiTheme="minorHAnsi" w:hAnsiTheme="minorHAnsi" w:cstheme="minorHAnsi"/>
                <w:b/>
                <w:color w:val="000000"/>
                <w:sz w:val="20"/>
                <w:szCs w:val="20"/>
              </w:rPr>
            </w:pPr>
            <w:r w:rsidRPr="007628D3">
              <w:rPr>
                <w:rFonts w:ascii="Calibri" w:hAnsi="Calibri" w:cs="Calibri"/>
                <w:b/>
                <w:color w:val="000000"/>
                <w:sz w:val="20"/>
              </w:rPr>
              <w:t>602</w:t>
            </w:r>
          </w:p>
        </w:tc>
        <w:tc>
          <w:tcPr>
            <w:tcW w:w="1031" w:type="dxa"/>
            <w:shd w:val="clear" w:color="auto" w:fill="auto"/>
            <w:noWrap/>
            <w:vAlign w:val="bottom"/>
          </w:tcPr>
          <w:p w14:paraId="1BBA1612" w14:textId="77777777" w:rsidR="00843506" w:rsidRPr="007628D3" w:rsidRDefault="00843506" w:rsidP="00843506">
            <w:pPr>
              <w:spacing w:line="240" w:lineRule="auto"/>
              <w:jc w:val="center"/>
              <w:rPr>
                <w:rFonts w:asciiTheme="minorHAnsi" w:hAnsiTheme="minorHAnsi" w:cstheme="minorHAnsi"/>
                <w:b/>
                <w:color w:val="000000"/>
                <w:sz w:val="20"/>
                <w:szCs w:val="20"/>
              </w:rPr>
            </w:pPr>
            <w:r w:rsidRPr="007628D3">
              <w:rPr>
                <w:rFonts w:ascii="Calibri" w:hAnsi="Calibri" w:cs="Calibri"/>
                <w:b/>
                <w:color w:val="000000"/>
                <w:sz w:val="20"/>
              </w:rPr>
              <w:t>72</w:t>
            </w:r>
          </w:p>
        </w:tc>
        <w:tc>
          <w:tcPr>
            <w:tcW w:w="961" w:type="dxa"/>
            <w:shd w:val="clear" w:color="auto" w:fill="auto"/>
            <w:noWrap/>
            <w:vAlign w:val="bottom"/>
          </w:tcPr>
          <w:p w14:paraId="4CED819C" w14:textId="77777777" w:rsidR="00843506" w:rsidRPr="007628D3" w:rsidRDefault="00843506" w:rsidP="00843506">
            <w:pPr>
              <w:spacing w:line="240" w:lineRule="auto"/>
              <w:jc w:val="center"/>
              <w:rPr>
                <w:rFonts w:asciiTheme="minorHAnsi" w:eastAsia="Times New Roman" w:hAnsiTheme="minorHAnsi" w:cstheme="minorHAnsi"/>
                <w:b/>
                <w:color w:val="000000"/>
                <w:sz w:val="20"/>
                <w:szCs w:val="20"/>
              </w:rPr>
            </w:pPr>
            <w:r w:rsidRPr="007628D3">
              <w:rPr>
                <w:rFonts w:ascii="Calibri" w:hAnsi="Calibri" w:cs="Calibri"/>
                <w:b/>
                <w:color w:val="000000"/>
                <w:sz w:val="20"/>
              </w:rPr>
              <w:t>23</w:t>
            </w:r>
          </w:p>
        </w:tc>
        <w:tc>
          <w:tcPr>
            <w:tcW w:w="810" w:type="dxa"/>
            <w:shd w:val="clear" w:color="auto" w:fill="auto"/>
            <w:noWrap/>
            <w:vAlign w:val="bottom"/>
          </w:tcPr>
          <w:p w14:paraId="4E922C0A" w14:textId="77777777" w:rsidR="00843506" w:rsidRPr="007628D3" w:rsidRDefault="00843506" w:rsidP="00843506">
            <w:pPr>
              <w:spacing w:line="240" w:lineRule="auto"/>
              <w:jc w:val="center"/>
              <w:rPr>
                <w:rFonts w:asciiTheme="minorHAnsi" w:eastAsia="Times New Roman" w:hAnsiTheme="minorHAnsi" w:cstheme="minorHAnsi"/>
                <w:b/>
                <w:color w:val="000000"/>
                <w:sz w:val="20"/>
                <w:szCs w:val="20"/>
              </w:rPr>
            </w:pPr>
            <w:r w:rsidRPr="007628D3">
              <w:rPr>
                <w:rFonts w:ascii="Calibri" w:hAnsi="Calibri" w:cs="Calibri"/>
                <w:b/>
                <w:color w:val="000000"/>
                <w:sz w:val="20"/>
              </w:rPr>
              <w:t>5</w:t>
            </w:r>
          </w:p>
        </w:tc>
      </w:tr>
    </w:tbl>
    <w:p w14:paraId="2D53EAFD" w14:textId="2B9A4139" w:rsidR="00956AE3" w:rsidRDefault="00956AE3" w:rsidP="00956AE3">
      <w:pPr>
        <w:spacing w:line="276" w:lineRule="auto"/>
      </w:pPr>
      <w:r>
        <w:rPr>
          <w:noProof/>
        </w:rPr>
        <w:drawing>
          <wp:anchor distT="0" distB="0" distL="114300" distR="114300" simplePos="0" relativeHeight="251658257" behindDoc="0" locked="0" layoutInCell="1" allowOverlap="1" wp14:anchorId="7287E8A9" wp14:editId="62F5A02A">
            <wp:simplePos x="0" y="0"/>
            <wp:positionH relativeFrom="column">
              <wp:posOffset>-51435</wp:posOffset>
            </wp:positionH>
            <wp:positionV relativeFrom="paragraph">
              <wp:posOffset>88265</wp:posOffset>
            </wp:positionV>
            <wp:extent cx="804545" cy="811530"/>
            <wp:effectExtent l="0" t="0" r="0" b="7620"/>
            <wp:wrapSquare wrapText="bothSides"/>
            <wp:docPr id="4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34"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04545" cy="811530"/>
                    </a:xfrm>
                    <a:prstGeom prst="rect">
                      <a:avLst/>
                    </a:prstGeom>
                    <a:solidFill>
                      <a:srgbClr val="FFC000">
                        <a:lumMod val="40000"/>
                        <a:lumOff val="60000"/>
                      </a:srgbClr>
                    </a:solidFill>
                    <a:ln>
                      <a:noFill/>
                    </a:ln>
                    <a:extLst/>
                  </pic:spPr>
                </pic:pic>
              </a:graphicData>
            </a:graphic>
            <wp14:sizeRelH relativeFrom="margin">
              <wp14:pctWidth>0</wp14:pctWidth>
            </wp14:sizeRelH>
            <wp14:sizeRelV relativeFrom="margin">
              <wp14:pctHeight>0</wp14:pctHeight>
            </wp14:sizeRelV>
          </wp:anchor>
        </w:drawing>
      </w:r>
      <w:r w:rsidR="00667288" w:rsidRPr="00667288">
        <w:t xml:space="preserve"> </w:t>
      </w:r>
      <w:r w:rsidR="00667288" w:rsidRPr="008A45F2">
        <w:t xml:space="preserve">The PCR includes an interview with the person, and a review of the person’s record maintained by the Support Coordinator. </w:t>
      </w:r>
      <w:r w:rsidR="00C64338">
        <w:t>Since</w:t>
      </w:r>
      <w:r w:rsidR="00667288" w:rsidRPr="008A45F2">
        <w:t xml:space="preserve"> April 2020, </w:t>
      </w:r>
      <w:r w:rsidR="00667288">
        <w:t xml:space="preserve">record reviews </w:t>
      </w:r>
      <w:r w:rsidR="00C64338">
        <w:t xml:space="preserve">have been </w:t>
      </w:r>
      <w:r w:rsidR="00667288">
        <w:t xml:space="preserve">completed remotely and </w:t>
      </w:r>
      <w:r w:rsidR="00667288" w:rsidRPr="008A45F2">
        <w:t>interview</w:t>
      </w:r>
      <w:r w:rsidR="00667288">
        <w:t xml:space="preserve">s </w:t>
      </w:r>
      <w:r w:rsidR="00667288" w:rsidRPr="008A45F2">
        <w:t xml:space="preserve">conducted telephonically </w:t>
      </w:r>
      <w:r w:rsidR="00667288">
        <w:t>(</w:t>
      </w:r>
      <w:r w:rsidR="00667288" w:rsidRPr="008A45F2">
        <w:t>some have included a video component</w:t>
      </w:r>
      <w:r w:rsidR="00667288">
        <w:t xml:space="preserve">); therefore, results </w:t>
      </w:r>
      <w:r w:rsidR="005A51F8">
        <w:t>in this report f</w:t>
      </w:r>
      <w:r w:rsidR="009204A3">
        <w:t>rom</w:t>
      </w:r>
      <w:r w:rsidR="005A51F8">
        <w:t xml:space="preserve"> the 1</w:t>
      </w:r>
      <w:r w:rsidR="005A51F8" w:rsidRPr="005A51F8">
        <w:rPr>
          <w:vertAlign w:val="superscript"/>
        </w:rPr>
        <w:t>st</w:t>
      </w:r>
      <w:r w:rsidR="005A51F8">
        <w:t xml:space="preserve"> </w:t>
      </w:r>
      <w:r w:rsidR="009204A3">
        <w:t>and 2</w:t>
      </w:r>
      <w:r w:rsidR="009204A3" w:rsidRPr="009204A3">
        <w:rPr>
          <w:vertAlign w:val="superscript"/>
        </w:rPr>
        <w:t>nd</w:t>
      </w:r>
      <w:r w:rsidR="009204A3">
        <w:t xml:space="preserve"> </w:t>
      </w:r>
      <w:r w:rsidR="005A51F8">
        <w:t>quarter</w:t>
      </w:r>
      <w:r w:rsidR="009204A3">
        <w:t>s</w:t>
      </w:r>
      <w:r w:rsidR="005A51F8">
        <w:t xml:space="preserve"> of FY</w:t>
      </w:r>
      <w:r w:rsidR="0037076B">
        <w:t xml:space="preserve"> 20</w:t>
      </w:r>
      <w:r w:rsidR="005A51F8">
        <w:t xml:space="preserve">21 are comparable to </w:t>
      </w:r>
      <w:r w:rsidR="00667288">
        <w:t>the 4</w:t>
      </w:r>
      <w:r w:rsidR="00667288" w:rsidRPr="00EF06FE">
        <w:rPr>
          <w:vertAlign w:val="superscript"/>
        </w:rPr>
        <w:t>th</w:t>
      </w:r>
      <w:r w:rsidR="00667288">
        <w:t xml:space="preserve"> Quarter </w:t>
      </w:r>
      <w:r w:rsidR="005A51F8">
        <w:t>of FY</w:t>
      </w:r>
      <w:r w:rsidR="0037076B">
        <w:t xml:space="preserve"> </w:t>
      </w:r>
      <w:r w:rsidR="005A51F8">
        <w:t>20</w:t>
      </w:r>
      <w:r w:rsidR="0037076B">
        <w:t>20</w:t>
      </w:r>
      <w:r w:rsidR="005A51F8">
        <w:t>; however, comparisons to data previous to April 202</w:t>
      </w:r>
      <w:r w:rsidR="009204A3">
        <w:t xml:space="preserve">0 should be made with caution. </w:t>
      </w:r>
      <w:r w:rsidR="00667288" w:rsidRPr="008A45F2">
        <w:t xml:space="preserve">Formal interviews with the Support Coordinator are no longer conducted as part of the PCR; however, informal interviews with the Support Coordinator and CDC + Consultant occur, as possible, to ensure a holistic approach to the process is used. </w:t>
      </w:r>
      <w:r w:rsidR="005A51F8">
        <w:t>The Support Coordinator</w:t>
      </w:r>
      <w:r w:rsidR="00667288">
        <w:t xml:space="preserve"> and CDC+ Consultant records are reviewed for individuals receiving a PCR. </w:t>
      </w:r>
      <w:r w:rsidR="00667288" w:rsidRPr="008A45F2">
        <w:t>If the person receives services through CDC+, a record review is also completed for the CDC+ Representative.</w:t>
      </w:r>
    </w:p>
    <w:p w14:paraId="076AC71A" w14:textId="77777777" w:rsidR="00956AE3" w:rsidRDefault="00956AE3" w:rsidP="00956AE3">
      <w:pPr>
        <w:spacing w:line="276" w:lineRule="auto"/>
      </w:pPr>
    </w:p>
    <w:p w14:paraId="1E5EBC01" w14:textId="3D769FDA" w:rsidR="00956AE3" w:rsidRDefault="00956AE3" w:rsidP="00956AE3">
      <w:pPr>
        <w:spacing w:line="276" w:lineRule="auto"/>
      </w:pPr>
      <w:r w:rsidRPr="005671F5">
        <w:t>The CDC</w:t>
      </w:r>
      <w:r>
        <w:t xml:space="preserve">+ program provides additional flexibility and opportunities not offered to other people on the iBudget Waiver, such as </w:t>
      </w:r>
      <w:r>
        <w:lastRenderedPageBreak/>
        <w:t xml:space="preserve">the ability to directly hire and fire providers, use </w:t>
      </w:r>
      <w:r w:rsidR="005A51F8">
        <w:t xml:space="preserve">of </w:t>
      </w:r>
      <w:r>
        <w:t xml:space="preserve">non-waiver providers who are often family members, and </w:t>
      </w:r>
      <w:r w:rsidR="005A51F8">
        <w:t xml:space="preserve">the ability to </w:t>
      </w:r>
      <w:r>
        <w:t>negotiate provider rates. A non-paid representative helps with the financial and business aspect of the program and a CDC+ Consultant acts as a service coordinator. CDC+ Consultants must also be certified as a Waiver Support Coordinator (WSC). Due to the differences, results for CDC+ are analyzed separately.</w:t>
      </w:r>
      <w:r w:rsidR="008816BC">
        <w:t xml:space="preserve"> </w:t>
      </w:r>
      <w:r>
        <w:t>Table 2</w:t>
      </w:r>
      <w:r w:rsidRPr="00EB179B">
        <w:t xml:space="preserve"> </w:t>
      </w:r>
      <w:r>
        <w:t>show</w:t>
      </w:r>
      <w:r w:rsidRPr="00EB179B">
        <w:t>s</w:t>
      </w:r>
      <w:r w:rsidR="005A51F8">
        <w:t xml:space="preserve"> </w:t>
      </w:r>
      <w:r w:rsidRPr="00EB179B">
        <w:t xml:space="preserve">the number of people </w:t>
      </w:r>
      <w:r>
        <w:t>reviewed who receive</w:t>
      </w:r>
      <w:r w:rsidR="00D25148">
        <w:t>d</w:t>
      </w:r>
      <w:r>
        <w:t xml:space="preserve"> services </w:t>
      </w:r>
      <w:r w:rsidR="00D25148">
        <w:t>through CDC</w:t>
      </w:r>
      <w:r w:rsidR="00957524">
        <w:t>+</w:t>
      </w:r>
      <w:r w:rsidR="005671F5">
        <w:t xml:space="preserve"> (72)</w:t>
      </w:r>
      <w:r w:rsidRPr="001C41D0">
        <w:t xml:space="preserve">, the number </w:t>
      </w:r>
      <w:r w:rsidR="00D25148">
        <w:t>who received</w:t>
      </w:r>
      <w:r w:rsidRPr="001C41D0">
        <w:t xml:space="preserve"> services through the Waiver</w:t>
      </w:r>
      <w:r w:rsidR="005671F5">
        <w:t xml:space="preserve"> (602)</w:t>
      </w:r>
      <w:r w:rsidRPr="001C41D0">
        <w:t>, and the total number</w:t>
      </w:r>
      <w:r w:rsidRPr="0086183B">
        <w:t xml:space="preserve"> of individuals who declined or were otherwise unable to </w:t>
      </w:r>
      <w:r w:rsidRPr="005671F5">
        <w:t>participate (</w:t>
      </w:r>
      <w:r w:rsidR="003E293D" w:rsidRPr="005671F5">
        <w:t>n</w:t>
      </w:r>
      <w:r w:rsidRPr="005671F5">
        <w:t xml:space="preserve"> = </w:t>
      </w:r>
      <w:r w:rsidR="005671F5" w:rsidRPr="005671F5">
        <w:t>28</w:t>
      </w:r>
      <w:r w:rsidRPr="005671F5">
        <w:t>).</w:t>
      </w:r>
      <w:r w:rsidRPr="0086183B">
        <w:t xml:space="preserve"> </w:t>
      </w:r>
    </w:p>
    <w:p w14:paraId="71BEA183" w14:textId="77777777" w:rsidR="000825D4" w:rsidRDefault="000825D4" w:rsidP="008816BC">
      <w:pPr>
        <w:spacing w:line="276" w:lineRule="auto"/>
      </w:pPr>
    </w:p>
    <w:tbl>
      <w:tblPr>
        <w:tblpPr w:leftFromText="180" w:rightFromText="180" w:vertAnchor="text" w:horzAnchor="page" w:tblpX="5865" w:tblpY="3171"/>
        <w:tblOverlap w:val="never"/>
        <w:tblW w:w="5691" w:type="dxa"/>
        <w:tblLook w:val="04A0" w:firstRow="1" w:lastRow="0" w:firstColumn="1" w:lastColumn="0" w:noHBand="0" w:noVBand="1"/>
      </w:tblPr>
      <w:tblGrid>
        <w:gridCol w:w="3157"/>
        <w:gridCol w:w="949"/>
        <w:gridCol w:w="845"/>
        <w:gridCol w:w="740"/>
      </w:tblGrid>
      <w:tr w:rsidR="007B04DE" w:rsidRPr="003B3A5C" w14:paraId="29CD6BB5" w14:textId="77777777" w:rsidTr="00764DC0">
        <w:trPr>
          <w:trHeight w:val="353"/>
        </w:trPr>
        <w:tc>
          <w:tcPr>
            <w:tcW w:w="5691" w:type="dxa"/>
            <w:gridSpan w:val="4"/>
            <w:tcBorders>
              <w:top w:val="single" w:sz="8" w:space="0" w:color="auto"/>
              <w:left w:val="single" w:sz="8" w:space="0" w:color="auto"/>
              <w:bottom w:val="single" w:sz="4" w:space="0" w:color="auto"/>
              <w:right w:val="single" w:sz="8" w:space="0" w:color="000000"/>
            </w:tcBorders>
            <w:shd w:val="clear" w:color="auto" w:fill="1F3864" w:themeFill="accent5" w:themeFillShade="80"/>
            <w:noWrap/>
            <w:vAlign w:val="center"/>
            <w:hideMark/>
          </w:tcPr>
          <w:p w14:paraId="31EE9B6D" w14:textId="77777777" w:rsidR="007B04DE" w:rsidRPr="00F84742" w:rsidRDefault="007B04DE" w:rsidP="00764DC0">
            <w:pPr>
              <w:spacing w:line="240" w:lineRule="auto"/>
              <w:jc w:val="center"/>
              <w:rPr>
                <w:rFonts w:ascii="Franklin Gothic Medium" w:eastAsia="Times New Roman" w:hAnsi="Franklin Gothic Medium" w:cs="Times New Roman"/>
                <w:bCs/>
                <w:color w:val="FFFFFF"/>
                <w:sz w:val="22"/>
              </w:rPr>
            </w:pPr>
            <w:r w:rsidRPr="00F84742">
              <w:rPr>
                <w:rFonts w:ascii="Franklin Gothic Medium" w:eastAsia="Times New Roman" w:hAnsi="Franklin Gothic Medium" w:cs="Times New Roman"/>
                <w:bCs/>
                <w:color w:val="FFFFFF"/>
                <w:sz w:val="22"/>
              </w:rPr>
              <w:t>Table 3. Person Centered Review Decline Reasons</w:t>
            </w:r>
          </w:p>
        </w:tc>
      </w:tr>
      <w:tr w:rsidR="007B04DE" w:rsidRPr="003B3A5C" w14:paraId="33521A26" w14:textId="77777777" w:rsidTr="00764DC0">
        <w:trPr>
          <w:trHeight w:val="269"/>
        </w:trPr>
        <w:tc>
          <w:tcPr>
            <w:tcW w:w="5691" w:type="dxa"/>
            <w:gridSpan w:val="4"/>
            <w:tcBorders>
              <w:top w:val="single" w:sz="4" w:space="0" w:color="auto"/>
              <w:left w:val="single" w:sz="8" w:space="0" w:color="auto"/>
              <w:bottom w:val="single" w:sz="4" w:space="0" w:color="auto"/>
              <w:right w:val="single" w:sz="8" w:space="0" w:color="000000"/>
            </w:tcBorders>
            <w:shd w:val="clear" w:color="auto" w:fill="1F3864" w:themeFill="accent5" w:themeFillShade="80"/>
            <w:noWrap/>
            <w:vAlign w:val="center"/>
            <w:hideMark/>
          </w:tcPr>
          <w:p w14:paraId="48A9C0B1" w14:textId="2C784CCA" w:rsidR="007B04DE" w:rsidRPr="009F6E44" w:rsidRDefault="007B04DE" w:rsidP="00764DC0">
            <w:pPr>
              <w:spacing w:line="240" w:lineRule="auto"/>
              <w:jc w:val="center"/>
              <w:rPr>
                <w:rFonts w:ascii="Franklin Gothic Medium" w:eastAsia="Times New Roman" w:hAnsi="Franklin Gothic Medium" w:cs="Times New Roman"/>
                <w:bCs/>
                <w:color w:val="FFFFFF"/>
                <w:sz w:val="20"/>
              </w:rPr>
            </w:pPr>
            <w:r w:rsidRPr="009F6E44">
              <w:rPr>
                <w:rFonts w:ascii="Franklin Gothic Medium" w:eastAsia="Times New Roman" w:hAnsi="Franklin Gothic Medium" w:cs="Times New Roman"/>
                <w:bCs/>
                <w:color w:val="FFFFFF"/>
                <w:sz w:val="20"/>
              </w:rPr>
              <w:t xml:space="preserve">July </w:t>
            </w:r>
            <w:r>
              <w:rPr>
                <w:rFonts w:ascii="Franklin Gothic Medium" w:eastAsia="Times New Roman" w:hAnsi="Franklin Gothic Medium" w:cs="Times New Roman"/>
                <w:bCs/>
                <w:color w:val="FFFFFF"/>
                <w:sz w:val="20"/>
              </w:rPr>
              <w:t xml:space="preserve"> - </w:t>
            </w:r>
            <w:r w:rsidR="001A7F5D">
              <w:rPr>
                <w:rFonts w:ascii="Franklin Gothic Medium" w:eastAsia="Times New Roman" w:hAnsi="Franklin Gothic Medium" w:cs="Times New Roman"/>
                <w:bCs/>
                <w:color w:val="FFFFFF"/>
                <w:sz w:val="20"/>
              </w:rPr>
              <w:t xml:space="preserve">December </w:t>
            </w:r>
            <w:r>
              <w:rPr>
                <w:rFonts w:ascii="Franklin Gothic Medium" w:eastAsia="Times New Roman" w:hAnsi="Franklin Gothic Medium" w:cs="Times New Roman"/>
                <w:bCs/>
                <w:color w:val="FFFFFF"/>
                <w:sz w:val="20"/>
              </w:rPr>
              <w:t>2020</w:t>
            </w:r>
          </w:p>
        </w:tc>
      </w:tr>
      <w:tr w:rsidR="007B04DE" w:rsidRPr="003B3A5C" w14:paraId="7ACA8793" w14:textId="77777777" w:rsidTr="00764DC0">
        <w:trPr>
          <w:trHeight w:val="300"/>
        </w:trPr>
        <w:tc>
          <w:tcPr>
            <w:tcW w:w="3157" w:type="dxa"/>
            <w:tcBorders>
              <w:top w:val="single" w:sz="4" w:space="0" w:color="auto"/>
              <w:left w:val="single" w:sz="8" w:space="0" w:color="auto"/>
              <w:bottom w:val="double" w:sz="4" w:space="0" w:color="auto"/>
            </w:tcBorders>
            <w:shd w:val="clear" w:color="auto" w:fill="D9D9D9" w:themeFill="background1" w:themeFillShade="D9"/>
            <w:noWrap/>
            <w:vAlign w:val="center"/>
            <w:hideMark/>
          </w:tcPr>
          <w:p w14:paraId="6FC1E118" w14:textId="77777777" w:rsidR="007B04DE" w:rsidRPr="009F6E44" w:rsidRDefault="007B04DE" w:rsidP="00764DC0">
            <w:pPr>
              <w:spacing w:line="240" w:lineRule="auto"/>
              <w:jc w:val="center"/>
              <w:rPr>
                <w:rFonts w:ascii="Franklin Gothic Medium" w:eastAsia="Times New Roman" w:hAnsi="Franklin Gothic Medium" w:cstheme="minorHAnsi"/>
                <w:bCs/>
                <w:color w:val="000000"/>
                <w:sz w:val="20"/>
              </w:rPr>
            </w:pPr>
            <w:r w:rsidRPr="009F6E44">
              <w:rPr>
                <w:rFonts w:ascii="Franklin Gothic Medium" w:eastAsia="Times New Roman" w:hAnsi="Franklin Gothic Medium" w:cstheme="minorHAnsi"/>
                <w:bCs/>
                <w:color w:val="000000"/>
                <w:sz w:val="20"/>
              </w:rPr>
              <w:t>Decline Reason</w:t>
            </w:r>
          </w:p>
        </w:tc>
        <w:tc>
          <w:tcPr>
            <w:tcW w:w="949" w:type="dxa"/>
            <w:tcBorders>
              <w:top w:val="single" w:sz="4" w:space="0" w:color="auto"/>
              <w:bottom w:val="double" w:sz="4" w:space="0" w:color="auto"/>
            </w:tcBorders>
            <w:shd w:val="clear" w:color="auto" w:fill="D9D9D9" w:themeFill="background1" w:themeFillShade="D9"/>
            <w:noWrap/>
            <w:vAlign w:val="center"/>
            <w:hideMark/>
          </w:tcPr>
          <w:p w14:paraId="7BE545E2"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Waiver</w:t>
            </w:r>
          </w:p>
        </w:tc>
        <w:tc>
          <w:tcPr>
            <w:tcW w:w="845" w:type="dxa"/>
            <w:tcBorders>
              <w:top w:val="single" w:sz="4" w:space="0" w:color="auto"/>
              <w:bottom w:val="double" w:sz="4" w:space="0" w:color="auto"/>
            </w:tcBorders>
            <w:shd w:val="clear" w:color="auto" w:fill="D9D9D9" w:themeFill="background1" w:themeFillShade="D9"/>
            <w:noWrap/>
            <w:vAlign w:val="center"/>
            <w:hideMark/>
          </w:tcPr>
          <w:p w14:paraId="25B6EC29"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CDC+</w:t>
            </w:r>
          </w:p>
        </w:tc>
        <w:tc>
          <w:tcPr>
            <w:tcW w:w="740" w:type="dxa"/>
            <w:tcBorders>
              <w:top w:val="single" w:sz="4" w:space="0" w:color="auto"/>
              <w:bottom w:val="double" w:sz="4" w:space="0" w:color="auto"/>
              <w:right w:val="single" w:sz="8" w:space="0" w:color="auto"/>
            </w:tcBorders>
            <w:shd w:val="clear" w:color="auto" w:fill="D9D9D9" w:themeFill="background1" w:themeFillShade="D9"/>
            <w:noWrap/>
            <w:vAlign w:val="center"/>
            <w:hideMark/>
          </w:tcPr>
          <w:p w14:paraId="758E9A83"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Total</w:t>
            </w:r>
          </w:p>
        </w:tc>
      </w:tr>
      <w:tr w:rsidR="007B04DE" w:rsidRPr="003B3A5C" w14:paraId="38999264" w14:textId="77777777" w:rsidTr="00764DC0">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46C0197F" w14:textId="77777777" w:rsidR="007B04DE" w:rsidRPr="009F6E44" w:rsidRDefault="007B04DE" w:rsidP="00764DC0">
            <w:pPr>
              <w:spacing w:line="240" w:lineRule="auto"/>
              <w:rPr>
                <w:rFonts w:asciiTheme="minorHAnsi" w:eastAsia="Times New Roman" w:hAnsiTheme="minorHAnsi" w:cstheme="minorHAnsi"/>
                <w:sz w:val="20"/>
                <w:szCs w:val="20"/>
              </w:rPr>
            </w:pPr>
            <w:r>
              <w:rPr>
                <w:rFonts w:ascii="Calibri" w:hAnsi="Calibri" w:cs="Calibri"/>
                <w:color w:val="000000"/>
                <w:sz w:val="20"/>
                <w:szCs w:val="20"/>
              </w:rPr>
              <w:t>Refused</w:t>
            </w:r>
          </w:p>
        </w:tc>
        <w:tc>
          <w:tcPr>
            <w:tcW w:w="949" w:type="dxa"/>
            <w:tcBorders>
              <w:top w:val="nil"/>
              <w:left w:val="nil"/>
              <w:bottom w:val="single" w:sz="8" w:space="0" w:color="auto"/>
              <w:right w:val="nil"/>
            </w:tcBorders>
            <w:shd w:val="clear" w:color="auto" w:fill="auto"/>
            <w:noWrap/>
            <w:vAlign w:val="bottom"/>
          </w:tcPr>
          <w:p w14:paraId="529F0A28" w14:textId="074BECB4" w:rsidR="007B04DE" w:rsidRPr="00E05F27" w:rsidRDefault="001A7F5D"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20</w:t>
            </w:r>
          </w:p>
        </w:tc>
        <w:tc>
          <w:tcPr>
            <w:tcW w:w="845" w:type="dxa"/>
            <w:tcBorders>
              <w:top w:val="nil"/>
              <w:left w:val="nil"/>
              <w:bottom w:val="single" w:sz="8" w:space="0" w:color="auto"/>
              <w:right w:val="nil"/>
            </w:tcBorders>
            <w:shd w:val="clear" w:color="auto" w:fill="auto"/>
            <w:noWrap/>
            <w:vAlign w:val="bottom"/>
          </w:tcPr>
          <w:p w14:paraId="3A558563" w14:textId="4D062AD4" w:rsidR="007B04DE" w:rsidRPr="00E05F27" w:rsidRDefault="001A7F5D"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2</w:t>
            </w:r>
          </w:p>
        </w:tc>
        <w:tc>
          <w:tcPr>
            <w:tcW w:w="740" w:type="dxa"/>
            <w:tcBorders>
              <w:top w:val="nil"/>
              <w:left w:val="nil"/>
              <w:bottom w:val="single" w:sz="8" w:space="0" w:color="auto"/>
              <w:right w:val="single" w:sz="8" w:space="0" w:color="auto"/>
            </w:tcBorders>
            <w:shd w:val="clear" w:color="auto" w:fill="auto"/>
            <w:noWrap/>
            <w:vAlign w:val="bottom"/>
          </w:tcPr>
          <w:p w14:paraId="7DEAED2B" w14:textId="4FCE8EFC" w:rsidR="007B04DE" w:rsidRPr="00DA76BF" w:rsidRDefault="001A7F5D" w:rsidP="00764DC0">
            <w:pPr>
              <w:spacing w:line="240" w:lineRule="auto"/>
              <w:jc w:val="center"/>
              <w:rPr>
                <w:rFonts w:asciiTheme="minorHAnsi" w:eastAsia="Times New Roman" w:hAnsiTheme="minorHAnsi" w:cstheme="minorHAnsi"/>
                <w:sz w:val="20"/>
                <w:szCs w:val="20"/>
                <w:highlight w:val="yellow"/>
              </w:rPr>
            </w:pPr>
            <w:r>
              <w:rPr>
                <w:rFonts w:asciiTheme="minorHAnsi" w:eastAsia="Times New Roman" w:hAnsiTheme="minorHAnsi" w:cstheme="minorHAnsi"/>
                <w:sz w:val="20"/>
                <w:szCs w:val="20"/>
              </w:rPr>
              <w:t>22</w:t>
            </w:r>
          </w:p>
        </w:tc>
      </w:tr>
      <w:tr w:rsidR="007B04DE" w:rsidRPr="003B3A5C" w14:paraId="60C3A7AD" w14:textId="77777777" w:rsidTr="00764DC0">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7691E542" w14:textId="77777777" w:rsidR="007B04DE" w:rsidRPr="00E05F27" w:rsidRDefault="007B04DE" w:rsidP="00764DC0">
            <w:pPr>
              <w:spacing w:line="240" w:lineRule="auto"/>
              <w:rPr>
                <w:rFonts w:asciiTheme="minorHAnsi" w:eastAsia="Times New Roman" w:hAnsiTheme="minorHAnsi" w:cstheme="minorHAnsi"/>
                <w:sz w:val="20"/>
                <w:szCs w:val="20"/>
              </w:rPr>
            </w:pPr>
            <w:r w:rsidRPr="00E05F27">
              <w:rPr>
                <w:rFonts w:ascii="Calibri" w:hAnsi="Calibri" w:cs="Calibri"/>
                <w:color w:val="000000"/>
                <w:sz w:val="20"/>
                <w:szCs w:val="20"/>
              </w:rPr>
              <w:t>Review Next Year</w:t>
            </w:r>
          </w:p>
        </w:tc>
        <w:tc>
          <w:tcPr>
            <w:tcW w:w="949" w:type="dxa"/>
            <w:tcBorders>
              <w:top w:val="nil"/>
              <w:left w:val="nil"/>
              <w:bottom w:val="single" w:sz="8" w:space="0" w:color="auto"/>
              <w:right w:val="nil"/>
            </w:tcBorders>
            <w:shd w:val="clear" w:color="auto" w:fill="auto"/>
            <w:noWrap/>
            <w:vAlign w:val="bottom"/>
          </w:tcPr>
          <w:p w14:paraId="56151A7F" w14:textId="77777777" w:rsidR="007B04DE" w:rsidRPr="00E05F27"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c>
          <w:tcPr>
            <w:tcW w:w="845" w:type="dxa"/>
            <w:tcBorders>
              <w:top w:val="nil"/>
              <w:left w:val="nil"/>
              <w:bottom w:val="single" w:sz="8" w:space="0" w:color="auto"/>
              <w:right w:val="nil"/>
            </w:tcBorders>
            <w:shd w:val="clear" w:color="auto" w:fill="auto"/>
            <w:noWrap/>
            <w:vAlign w:val="bottom"/>
          </w:tcPr>
          <w:p w14:paraId="02A66E5B" w14:textId="77777777" w:rsidR="007B04DE" w:rsidRPr="00E05F27"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45E441F8" w14:textId="77777777" w:rsidR="007B04DE" w:rsidRPr="00E05F27"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r>
      <w:tr w:rsidR="007B04DE" w:rsidRPr="003B3A5C" w14:paraId="14EF4221" w14:textId="77777777" w:rsidTr="00764DC0">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4D048DDC" w14:textId="77777777" w:rsidR="007B04DE" w:rsidRPr="009F6E44" w:rsidRDefault="007B04DE" w:rsidP="00764DC0">
            <w:pPr>
              <w:spacing w:line="240" w:lineRule="auto"/>
              <w:rPr>
                <w:rFonts w:asciiTheme="minorHAnsi" w:eastAsia="Times New Roman" w:hAnsiTheme="minorHAnsi" w:cstheme="minorHAnsi"/>
                <w:sz w:val="20"/>
                <w:szCs w:val="20"/>
              </w:rPr>
            </w:pPr>
            <w:r>
              <w:rPr>
                <w:rFonts w:ascii="Calibri" w:hAnsi="Calibri" w:cs="Calibri"/>
                <w:color w:val="000000"/>
                <w:sz w:val="20"/>
                <w:szCs w:val="20"/>
              </w:rPr>
              <w:t>No Longer Receiving Services</w:t>
            </w:r>
          </w:p>
        </w:tc>
        <w:tc>
          <w:tcPr>
            <w:tcW w:w="949" w:type="dxa"/>
            <w:tcBorders>
              <w:top w:val="nil"/>
              <w:left w:val="nil"/>
              <w:bottom w:val="single" w:sz="8" w:space="0" w:color="auto"/>
              <w:right w:val="nil"/>
            </w:tcBorders>
            <w:shd w:val="clear" w:color="auto" w:fill="auto"/>
            <w:noWrap/>
            <w:vAlign w:val="bottom"/>
          </w:tcPr>
          <w:p w14:paraId="42C30DFC" w14:textId="69D82529" w:rsidR="007B04DE" w:rsidRPr="00DA76BF" w:rsidRDefault="001A7F5D" w:rsidP="00764DC0">
            <w:pPr>
              <w:spacing w:line="240" w:lineRule="auto"/>
              <w:jc w:val="center"/>
              <w:rPr>
                <w:rFonts w:asciiTheme="minorHAnsi" w:eastAsia="Times New Roman" w:hAnsiTheme="minorHAnsi" w:cstheme="minorHAnsi"/>
                <w:sz w:val="20"/>
                <w:szCs w:val="20"/>
                <w:highlight w:val="yellow"/>
              </w:rPr>
            </w:pPr>
            <w:r>
              <w:rPr>
                <w:rFonts w:asciiTheme="minorHAnsi" w:eastAsia="Times New Roman" w:hAnsiTheme="minorHAnsi" w:cstheme="minorHAnsi"/>
                <w:sz w:val="20"/>
                <w:szCs w:val="20"/>
              </w:rPr>
              <w:t>1</w:t>
            </w:r>
          </w:p>
        </w:tc>
        <w:tc>
          <w:tcPr>
            <w:tcW w:w="845" w:type="dxa"/>
            <w:tcBorders>
              <w:top w:val="nil"/>
              <w:left w:val="nil"/>
              <w:bottom w:val="single" w:sz="8" w:space="0" w:color="auto"/>
              <w:right w:val="nil"/>
            </w:tcBorders>
            <w:shd w:val="clear" w:color="auto" w:fill="auto"/>
            <w:noWrap/>
            <w:vAlign w:val="bottom"/>
          </w:tcPr>
          <w:p w14:paraId="4FFC46F3" w14:textId="77777777" w:rsidR="007B04DE" w:rsidRPr="00E05F27" w:rsidRDefault="007B04DE" w:rsidP="00764DC0">
            <w:pPr>
              <w:spacing w:line="240" w:lineRule="auto"/>
              <w:jc w:val="center"/>
              <w:rPr>
                <w:rFonts w:asciiTheme="minorHAnsi" w:eastAsia="Times New Roman" w:hAnsiTheme="minorHAnsi" w:cstheme="minorHAnsi"/>
                <w:sz w:val="20"/>
                <w:szCs w:val="20"/>
              </w:rPr>
            </w:pPr>
            <w:r w:rsidRPr="00E05F27">
              <w:rPr>
                <w:rFonts w:asciiTheme="minorHAnsi" w:eastAsia="Times New Roman" w:hAnsiTheme="minorHAnsi" w:cstheme="minorHAnsi"/>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1C3AC048" w14:textId="4B27AD0B" w:rsidR="007B04DE" w:rsidRPr="00E05F27" w:rsidRDefault="001A7F5D"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1</w:t>
            </w:r>
          </w:p>
        </w:tc>
      </w:tr>
      <w:tr w:rsidR="007B04DE" w:rsidRPr="003B3A5C" w14:paraId="6E2EAA5D" w14:textId="77777777" w:rsidTr="00764DC0">
        <w:trPr>
          <w:trHeight w:val="300"/>
        </w:trPr>
        <w:tc>
          <w:tcPr>
            <w:tcW w:w="3157" w:type="dxa"/>
            <w:tcBorders>
              <w:top w:val="nil"/>
              <w:left w:val="single" w:sz="8" w:space="0" w:color="auto"/>
              <w:bottom w:val="single" w:sz="8" w:space="0" w:color="auto"/>
              <w:right w:val="nil"/>
            </w:tcBorders>
            <w:shd w:val="clear" w:color="auto" w:fill="auto"/>
            <w:noWrap/>
            <w:vAlign w:val="bottom"/>
          </w:tcPr>
          <w:p w14:paraId="39C8B9C4" w14:textId="77777777" w:rsidR="007B04DE" w:rsidRDefault="007B04DE" w:rsidP="00764DC0">
            <w:pPr>
              <w:spacing w:line="240" w:lineRule="auto"/>
              <w:rPr>
                <w:rFonts w:ascii="Calibri" w:hAnsi="Calibri" w:cs="Calibri"/>
                <w:color w:val="000000"/>
                <w:sz w:val="20"/>
                <w:szCs w:val="20"/>
              </w:rPr>
            </w:pPr>
            <w:r>
              <w:rPr>
                <w:rFonts w:ascii="Calibri" w:hAnsi="Calibri" w:cs="Calibri"/>
                <w:color w:val="000000"/>
                <w:sz w:val="20"/>
                <w:szCs w:val="20"/>
              </w:rPr>
              <w:t>Moved Out of State</w:t>
            </w:r>
          </w:p>
        </w:tc>
        <w:tc>
          <w:tcPr>
            <w:tcW w:w="949" w:type="dxa"/>
            <w:tcBorders>
              <w:top w:val="nil"/>
              <w:left w:val="nil"/>
              <w:bottom w:val="single" w:sz="8" w:space="0" w:color="auto"/>
              <w:right w:val="nil"/>
            </w:tcBorders>
            <w:shd w:val="clear" w:color="auto" w:fill="auto"/>
            <w:noWrap/>
            <w:vAlign w:val="bottom"/>
          </w:tcPr>
          <w:p w14:paraId="648B5C82" w14:textId="77777777" w:rsidR="007B04DE" w:rsidRPr="00DA76BF" w:rsidRDefault="007B04DE" w:rsidP="00764DC0">
            <w:pPr>
              <w:spacing w:line="240" w:lineRule="auto"/>
              <w:jc w:val="center"/>
              <w:rPr>
                <w:rFonts w:asciiTheme="minorHAnsi" w:hAnsiTheme="minorHAnsi" w:cstheme="minorHAnsi"/>
                <w:sz w:val="20"/>
                <w:szCs w:val="20"/>
              </w:rPr>
            </w:pPr>
            <w:r>
              <w:rPr>
                <w:rFonts w:asciiTheme="minorHAnsi" w:hAnsiTheme="minorHAnsi" w:cstheme="minorHAnsi"/>
                <w:sz w:val="20"/>
                <w:szCs w:val="20"/>
              </w:rPr>
              <w:t>1</w:t>
            </w:r>
          </w:p>
        </w:tc>
        <w:tc>
          <w:tcPr>
            <w:tcW w:w="845" w:type="dxa"/>
            <w:tcBorders>
              <w:top w:val="nil"/>
              <w:left w:val="nil"/>
              <w:bottom w:val="single" w:sz="8" w:space="0" w:color="auto"/>
              <w:right w:val="nil"/>
            </w:tcBorders>
            <w:shd w:val="clear" w:color="auto" w:fill="auto"/>
            <w:noWrap/>
            <w:vAlign w:val="bottom"/>
          </w:tcPr>
          <w:p w14:paraId="5168CBEE" w14:textId="77777777" w:rsidR="007B04DE" w:rsidRPr="00DA76BF" w:rsidRDefault="007B04DE" w:rsidP="00764DC0">
            <w:pPr>
              <w:spacing w:line="240" w:lineRule="auto"/>
              <w:jc w:val="center"/>
              <w:rPr>
                <w:rFonts w:asciiTheme="minorHAnsi" w:hAnsiTheme="minorHAnsi" w:cstheme="minorHAnsi"/>
                <w:color w:val="000000"/>
                <w:sz w:val="20"/>
                <w:szCs w:val="20"/>
              </w:rPr>
            </w:pPr>
            <w:r>
              <w:rPr>
                <w:rFonts w:asciiTheme="minorHAnsi" w:hAnsiTheme="minorHAnsi" w:cstheme="minorHAnsi"/>
                <w:color w:val="000000"/>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3C644819" w14:textId="77777777" w:rsidR="007B04DE" w:rsidRPr="00DA76BF" w:rsidRDefault="007B04DE" w:rsidP="00764DC0">
            <w:pPr>
              <w:spacing w:line="240" w:lineRule="auto"/>
              <w:jc w:val="center"/>
              <w:rPr>
                <w:rFonts w:asciiTheme="minorHAnsi" w:hAnsiTheme="minorHAnsi" w:cstheme="minorHAnsi"/>
                <w:color w:val="000000"/>
                <w:sz w:val="20"/>
                <w:szCs w:val="20"/>
              </w:rPr>
            </w:pPr>
            <w:r>
              <w:rPr>
                <w:rFonts w:asciiTheme="minorHAnsi" w:hAnsiTheme="minorHAnsi" w:cstheme="minorHAnsi"/>
                <w:color w:val="000000"/>
                <w:sz w:val="20"/>
                <w:szCs w:val="20"/>
              </w:rPr>
              <w:t>1</w:t>
            </w:r>
          </w:p>
        </w:tc>
      </w:tr>
      <w:tr w:rsidR="007B04DE" w:rsidRPr="003B3A5C" w14:paraId="23C984DB" w14:textId="77777777" w:rsidTr="00764DC0">
        <w:trPr>
          <w:trHeight w:val="358"/>
        </w:trPr>
        <w:tc>
          <w:tcPr>
            <w:tcW w:w="3157" w:type="dxa"/>
            <w:tcBorders>
              <w:top w:val="single" w:sz="8" w:space="0" w:color="auto"/>
              <w:left w:val="single" w:sz="8" w:space="0" w:color="auto"/>
              <w:bottom w:val="single" w:sz="4" w:space="0" w:color="auto"/>
              <w:right w:val="nil"/>
            </w:tcBorders>
            <w:shd w:val="clear" w:color="auto" w:fill="auto"/>
            <w:noWrap/>
            <w:vAlign w:val="bottom"/>
            <w:hideMark/>
          </w:tcPr>
          <w:p w14:paraId="0F4AB656" w14:textId="77777777" w:rsidR="007B04DE" w:rsidRPr="009F6E44" w:rsidRDefault="007B04DE" w:rsidP="00764DC0">
            <w:pPr>
              <w:spacing w:line="240" w:lineRule="auto"/>
              <w:rPr>
                <w:rFonts w:asciiTheme="minorHAnsi" w:eastAsia="Times New Roman" w:hAnsiTheme="minorHAnsi" w:cstheme="minorHAnsi"/>
                <w:sz w:val="20"/>
                <w:szCs w:val="20"/>
              </w:rPr>
            </w:pPr>
            <w:r>
              <w:rPr>
                <w:rFonts w:ascii="Calibri" w:hAnsi="Calibri" w:cs="Calibri"/>
                <w:color w:val="000000"/>
                <w:sz w:val="20"/>
                <w:szCs w:val="20"/>
              </w:rPr>
              <w:t>Deceased</w:t>
            </w:r>
          </w:p>
        </w:tc>
        <w:tc>
          <w:tcPr>
            <w:tcW w:w="949" w:type="dxa"/>
            <w:tcBorders>
              <w:top w:val="single" w:sz="8" w:space="0" w:color="auto"/>
              <w:left w:val="nil"/>
              <w:bottom w:val="single" w:sz="4" w:space="0" w:color="auto"/>
              <w:right w:val="nil"/>
            </w:tcBorders>
            <w:shd w:val="clear" w:color="auto" w:fill="auto"/>
            <w:noWrap/>
            <w:vAlign w:val="bottom"/>
          </w:tcPr>
          <w:p w14:paraId="4041C128" w14:textId="77777777" w:rsidR="007B04DE" w:rsidRPr="00DA76BF"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c>
          <w:tcPr>
            <w:tcW w:w="845" w:type="dxa"/>
            <w:tcBorders>
              <w:top w:val="single" w:sz="8" w:space="0" w:color="auto"/>
              <w:left w:val="nil"/>
              <w:bottom w:val="single" w:sz="4" w:space="0" w:color="auto"/>
              <w:right w:val="nil"/>
            </w:tcBorders>
            <w:shd w:val="clear" w:color="auto" w:fill="auto"/>
            <w:noWrap/>
            <w:vAlign w:val="bottom"/>
          </w:tcPr>
          <w:p w14:paraId="359BF30C" w14:textId="77777777" w:rsidR="007B04DE" w:rsidRPr="00DA76BF"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c>
          <w:tcPr>
            <w:tcW w:w="740" w:type="dxa"/>
            <w:tcBorders>
              <w:top w:val="single" w:sz="8" w:space="0" w:color="auto"/>
              <w:left w:val="nil"/>
              <w:bottom w:val="single" w:sz="4" w:space="0" w:color="auto"/>
              <w:right w:val="single" w:sz="8" w:space="0" w:color="auto"/>
            </w:tcBorders>
            <w:shd w:val="clear" w:color="auto" w:fill="auto"/>
            <w:noWrap/>
            <w:vAlign w:val="bottom"/>
          </w:tcPr>
          <w:p w14:paraId="3AC7F331" w14:textId="77777777" w:rsidR="007B04DE" w:rsidRPr="00DA76BF" w:rsidRDefault="007B04DE" w:rsidP="00764DC0">
            <w:pPr>
              <w:spacing w:line="240" w:lineRule="auto"/>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0</w:t>
            </w:r>
          </w:p>
        </w:tc>
      </w:tr>
      <w:tr w:rsidR="007B04DE" w:rsidRPr="003B3A5C" w14:paraId="300DAE95" w14:textId="77777777" w:rsidTr="00764DC0">
        <w:trPr>
          <w:trHeight w:val="358"/>
        </w:trPr>
        <w:tc>
          <w:tcPr>
            <w:tcW w:w="3157" w:type="dxa"/>
            <w:tcBorders>
              <w:top w:val="single" w:sz="4" w:space="0" w:color="auto"/>
              <w:left w:val="single" w:sz="8" w:space="0" w:color="auto"/>
              <w:bottom w:val="double" w:sz="6" w:space="0" w:color="auto"/>
              <w:right w:val="nil"/>
            </w:tcBorders>
            <w:shd w:val="clear" w:color="auto" w:fill="auto"/>
            <w:noWrap/>
            <w:vAlign w:val="bottom"/>
          </w:tcPr>
          <w:p w14:paraId="04FA882C" w14:textId="77777777" w:rsidR="007B04DE" w:rsidRDefault="007B04DE" w:rsidP="00764DC0">
            <w:pPr>
              <w:spacing w:line="240" w:lineRule="auto"/>
              <w:rPr>
                <w:rFonts w:ascii="Calibri" w:hAnsi="Calibri" w:cs="Calibri"/>
                <w:color w:val="000000"/>
                <w:sz w:val="20"/>
                <w:szCs w:val="20"/>
              </w:rPr>
            </w:pPr>
            <w:r>
              <w:rPr>
                <w:rFonts w:ascii="Calibri" w:hAnsi="Calibri" w:cs="Calibri"/>
                <w:color w:val="000000"/>
                <w:sz w:val="20"/>
                <w:szCs w:val="20"/>
              </w:rPr>
              <w:t>Other</w:t>
            </w:r>
          </w:p>
        </w:tc>
        <w:tc>
          <w:tcPr>
            <w:tcW w:w="949" w:type="dxa"/>
            <w:tcBorders>
              <w:top w:val="single" w:sz="4" w:space="0" w:color="auto"/>
              <w:left w:val="nil"/>
              <w:bottom w:val="double" w:sz="6" w:space="0" w:color="auto"/>
              <w:right w:val="nil"/>
            </w:tcBorders>
            <w:shd w:val="clear" w:color="auto" w:fill="auto"/>
            <w:noWrap/>
            <w:vAlign w:val="bottom"/>
          </w:tcPr>
          <w:p w14:paraId="1A46C5D2" w14:textId="77777777" w:rsidR="007B04DE" w:rsidRPr="00DA76BF" w:rsidRDefault="007B04DE" w:rsidP="00764DC0">
            <w:pPr>
              <w:spacing w:line="240" w:lineRule="auto"/>
              <w:jc w:val="center"/>
              <w:rPr>
                <w:rFonts w:asciiTheme="minorHAnsi" w:hAnsiTheme="minorHAnsi" w:cstheme="minorHAnsi"/>
                <w:sz w:val="20"/>
                <w:szCs w:val="20"/>
              </w:rPr>
            </w:pPr>
            <w:r>
              <w:rPr>
                <w:rFonts w:asciiTheme="minorHAnsi" w:hAnsiTheme="minorHAnsi" w:cstheme="minorHAnsi"/>
                <w:sz w:val="20"/>
                <w:szCs w:val="20"/>
              </w:rPr>
              <w:t>1</w:t>
            </w:r>
          </w:p>
        </w:tc>
        <w:tc>
          <w:tcPr>
            <w:tcW w:w="845" w:type="dxa"/>
            <w:tcBorders>
              <w:top w:val="single" w:sz="4" w:space="0" w:color="auto"/>
              <w:left w:val="nil"/>
              <w:bottom w:val="double" w:sz="6" w:space="0" w:color="auto"/>
              <w:right w:val="nil"/>
            </w:tcBorders>
            <w:shd w:val="clear" w:color="auto" w:fill="auto"/>
            <w:noWrap/>
            <w:vAlign w:val="bottom"/>
          </w:tcPr>
          <w:p w14:paraId="281FC7DB" w14:textId="5C923791" w:rsidR="007B04DE" w:rsidRPr="00DA76BF" w:rsidRDefault="001A7F5D" w:rsidP="00764DC0">
            <w:pPr>
              <w:spacing w:line="240" w:lineRule="auto"/>
              <w:jc w:val="center"/>
              <w:rPr>
                <w:rFonts w:asciiTheme="minorHAnsi" w:hAnsiTheme="minorHAnsi" w:cstheme="minorHAnsi"/>
                <w:color w:val="000000"/>
                <w:sz w:val="20"/>
                <w:szCs w:val="20"/>
              </w:rPr>
            </w:pPr>
            <w:r>
              <w:rPr>
                <w:rFonts w:asciiTheme="minorHAnsi" w:hAnsiTheme="minorHAnsi" w:cstheme="minorHAnsi"/>
                <w:color w:val="000000"/>
                <w:sz w:val="20"/>
                <w:szCs w:val="20"/>
              </w:rPr>
              <w:t>3</w:t>
            </w:r>
          </w:p>
        </w:tc>
        <w:tc>
          <w:tcPr>
            <w:tcW w:w="740" w:type="dxa"/>
            <w:tcBorders>
              <w:top w:val="single" w:sz="4" w:space="0" w:color="auto"/>
              <w:left w:val="nil"/>
              <w:bottom w:val="double" w:sz="6" w:space="0" w:color="auto"/>
              <w:right w:val="single" w:sz="8" w:space="0" w:color="auto"/>
            </w:tcBorders>
            <w:shd w:val="clear" w:color="auto" w:fill="auto"/>
            <w:noWrap/>
            <w:vAlign w:val="bottom"/>
          </w:tcPr>
          <w:p w14:paraId="6642E9BC" w14:textId="1779298E" w:rsidR="007B04DE" w:rsidRPr="00DA76BF" w:rsidRDefault="001A7F5D" w:rsidP="00764DC0">
            <w:pPr>
              <w:spacing w:line="240" w:lineRule="auto"/>
              <w:jc w:val="center"/>
              <w:rPr>
                <w:rFonts w:asciiTheme="minorHAnsi" w:hAnsiTheme="minorHAnsi" w:cstheme="minorHAnsi"/>
                <w:color w:val="000000"/>
                <w:sz w:val="20"/>
                <w:szCs w:val="20"/>
              </w:rPr>
            </w:pPr>
            <w:r>
              <w:rPr>
                <w:rFonts w:asciiTheme="minorHAnsi" w:hAnsiTheme="minorHAnsi" w:cstheme="minorHAnsi"/>
                <w:color w:val="000000"/>
                <w:sz w:val="20"/>
                <w:szCs w:val="20"/>
              </w:rPr>
              <w:t>4</w:t>
            </w:r>
          </w:p>
        </w:tc>
      </w:tr>
      <w:tr w:rsidR="007B04DE" w:rsidRPr="003B3A5C" w14:paraId="1ADB1E1B" w14:textId="77777777" w:rsidTr="00764DC0">
        <w:trPr>
          <w:trHeight w:val="317"/>
        </w:trPr>
        <w:tc>
          <w:tcPr>
            <w:tcW w:w="3157" w:type="dxa"/>
            <w:tcBorders>
              <w:top w:val="nil"/>
              <w:left w:val="single" w:sz="8" w:space="0" w:color="auto"/>
              <w:bottom w:val="single" w:sz="8" w:space="0" w:color="auto"/>
              <w:right w:val="nil"/>
            </w:tcBorders>
            <w:shd w:val="clear" w:color="000000" w:fill="D9D9D9"/>
            <w:noWrap/>
            <w:vAlign w:val="bottom"/>
            <w:hideMark/>
          </w:tcPr>
          <w:p w14:paraId="17EF6971" w14:textId="77777777" w:rsidR="007B04DE" w:rsidRPr="009F6E44" w:rsidRDefault="007B04DE" w:rsidP="00764DC0">
            <w:pPr>
              <w:spacing w:line="240" w:lineRule="auto"/>
              <w:rPr>
                <w:rFonts w:asciiTheme="minorHAnsi" w:eastAsia="Times New Roman" w:hAnsiTheme="minorHAnsi" w:cstheme="minorHAnsi"/>
                <w:sz w:val="20"/>
                <w:szCs w:val="20"/>
              </w:rPr>
            </w:pPr>
            <w:r>
              <w:rPr>
                <w:rFonts w:ascii="Calibri" w:hAnsi="Calibri" w:cs="Calibri"/>
                <w:b/>
                <w:bCs/>
                <w:color w:val="000000"/>
                <w:sz w:val="20"/>
                <w:szCs w:val="20"/>
              </w:rPr>
              <w:t>Total</w:t>
            </w:r>
          </w:p>
        </w:tc>
        <w:tc>
          <w:tcPr>
            <w:tcW w:w="949" w:type="dxa"/>
            <w:tcBorders>
              <w:top w:val="nil"/>
              <w:left w:val="nil"/>
              <w:bottom w:val="single" w:sz="8" w:space="0" w:color="auto"/>
              <w:right w:val="nil"/>
            </w:tcBorders>
            <w:shd w:val="clear" w:color="000000" w:fill="D9D9D9"/>
            <w:noWrap/>
            <w:vAlign w:val="bottom"/>
            <w:hideMark/>
          </w:tcPr>
          <w:p w14:paraId="56ACC953" w14:textId="4F8FF794" w:rsidR="007B04DE" w:rsidRPr="009F6E44" w:rsidRDefault="001A7F5D" w:rsidP="00764DC0">
            <w:pPr>
              <w:spacing w:line="240" w:lineRule="auto"/>
              <w:jc w:val="center"/>
              <w:rPr>
                <w:rFonts w:asciiTheme="minorHAnsi" w:eastAsia="Times New Roman" w:hAnsiTheme="minorHAnsi" w:cstheme="minorHAnsi"/>
                <w:sz w:val="20"/>
                <w:szCs w:val="20"/>
                <w:highlight w:val="yellow"/>
              </w:rPr>
            </w:pPr>
            <w:r>
              <w:rPr>
                <w:rFonts w:cs="Calibri"/>
                <w:color w:val="000000"/>
                <w:sz w:val="20"/>
                <w:szCs w:val="20"/>
              </w:rPr>
              <w:t>23</w:t>
            </w:r>
          </w:p>
        </w:tc>
        <w:tc>
          <w:tcPr>
            <w:tcW w:w="845" w:type="dxa"/>
            <w:tcBorders>
              <w:top w:val="nil"/>
              <w:left w:val="nil"/>
              <w:bottom w:val="single" w:sz="8" w:space="0" w:color="auto"/>
              <w:right w:val="nil"/>
            </w:tcBorders>
            <w:shd w:val="clear" w:color="000000" w:fill="D9D9D9"/>
            <w:noWrap/>
            <w:vAlign w:val="bottom"/>
            <w:hideMark/>
          </w:tcPr>
          <w:p w14:paraId="3DB4549D" w14:textId="02656CE4" w:rsidR="007B04DE" w:rsidRPr="009F6E44" w:rsidRDefault="001A7F5D" w:rsidP="00764DC0">
            <w:pPr>
              <w:spacing w:line="240" w:lineRule="auto"/>
              <w:jc w:val="center"/>
              <w:rPr>
                <w:rFonts w:asciiTheme="minorHAnsi" w:eastAsia="Times New Roman" w:hAnsiTheme="minorHAnsi" w:cstheme="minorHAnsi"/>
                <w:sz w:val="20"/>
                <w:szCs w:val="20"/>
                <w:highlight w:val="yellow"/>
              </w:rPr>
            </w:pPr>
            <w:r>
              <w:rPr>
                <w:rFonts w:cs="Calibri"/>
                <w:color w:val="000000"/>
                <w:sz w:val="20"/>
                <w:szCs w:val="20"/>
              </w:rPr>
              <w:t>5</w:t>
            </w:r>
          </w:p>
        </w:tc>
        <w:tc>
          <w:tcPr>
            <w:tcW w:w="740" w:type="dxa"/>
            <w:tcBorders>
              <w:top w:val="nil"/>
              <w:left w:val="nil"/>
              <w:bottom w:val="single" w:sz="8" w:space="0" w:color="auto"/>
              <w:right w:val="single" w:sz="8" w:space="0" w:color="auto"/>
            </w:tcBorders>
            <w:shd w:val="clear" w:color="000000" w:fill="D9D9D9"/>
            <w:noWrap/>
            <w:vAlign w:val="bottom"/>
            <w:hideMark/>
          </w:tcPr>
          <w:p w14:paraId="4A1ECE3F" w14:textId="5A231814" w:rsidR="007B04DE" w:rsidRPr="009F6E44" w:rsidRDefault="001A7F5D" w:rsidP="00764DC0">
            <w:pPr>
              <w:spacing w:line="240" w:lineRule="auto"/>
              <w:jc w:val="center"/>
              <w:rPr>
                <w:rFonts w:asciiTheme="minorHAnsi" w:eastAsia="Times New Roman" w:hAnsiTheme="minorHAnsi" w:cstheme="minorHAnsi"/>
                <w:sz w:val="20"/>
                <w:szCs w:val="20"/>
                <w:highlight w:val="yellow"/>
              </w:rPr>
            </w:pPr>
            <w:r>
              <w:rPr>
                <w:rFonts w:cs="Calibri"/>
                <w:color w:val="000000"/>
                <w:sz w:val="20"/>
                <w:szCs w:val="20"/>
              </w:rPr>
              <w:t>28</w:t>
            </w:r>
          </w:p>
        </w:tc>
      </w:tr>
    </w:tbl>
    <w:p w14:paraId="4248E92E" w14:textId="70E07B58" w:rsidR="00956AE3" w:rsidRDefault="00956AE3" w:rsidP="008816BC">
      <w:pPr>
        <w:spacing w:line="276" w:lineRule="auto"/>
        <w:rPr>
          <w:b/>
        </w:rPr>
      </w:pPr>
      <w:r w:rsidRPr="00AA59FC">
        <w:t>Indivi</w:t>
      </w:r>
      <w:r w:rsidRPr="00815FA1">
        <w:t>duals are free to decline to be interviewed at any time during the process</w:t>
      </w:r>
      <w:r>
        <w:t xml:space="preserve">. </w:t>
      </w:r>
      <w:r w:rsidRPr="00815FA1">
        <w:t xml:space="preserve">A </w:t>
      </w:r>
      <w:r>
        <w:t>person</w:t>
      </w:r>
      <w:r w:rsidRPr="00815FA1">
        <w:t xml:space="preserve"> who declines</w:t>
      </w:r>
      <w:r>
        <w:t>,</w:t>
      </w:r>
      <w:r w:rsidRPr="00815FA1">
        <w:t xml:space="preserve"> </w:t>
      </w:r>
      <w:r>
        <w:t>or may be otherwise unable to participate,</w:t>
      </w:r>
      <w:r w:rsidRPr="00815FA1">
        <w:t xml:space="preserve"> is replaced by another </w:t>
      </w:r>
      <w:r>
        <w:t>person</w:t>
      </w:r>
      <w:r w:rsidRPr="00F60228">
        <w:t xml:space="preserve"> from the oversample to ensure </w:t>
      </w:r>
      <w:r w:rsidRPr="00EF20B6">
        <w:t>an adequate and representative sample is used for analysis</w:t>
      </w:r>
      <w:r w:rsidR="00D25148" w:rsidRPr="00EF20B6">
        <w:t xml:space="preserve">. </w:t>
      </w:r>
      <w:r w:rsidR="008816BC" w:rsidRPr="0086183B">
        <w:t>The time period for declines</w:t>
      </w:r>
      <w:r w:rsidR="008816BC" w:rsidRPr="00FE27BA">
        <w:t xml:space="preserve"> is bas</w:t>
      </w:r>
      <w:r w:rsidR="008816BC" w:rsidRPr="00EB179B">
        <w:t>ed upon the projected time period for the review.</w:t>
      </w:r>
      <w:r w:rsidR="008816BC">
        <w:t xml:space="preserve"> </w:t>
      </w:r>
      <w:r w:rsidRPr="00EF20B6">
        <w:t xml:space="preserve">The replacement rate </w:t>
      </w:r>
      <w:r w:rsidR="00287111" w:rsidRPr="00EF20B6">
        <w:t xml:space="preserve">for the Waiver </w:t>
      </w:r>
      <w:r w:rsidRPr="00EF20B6">
        <w:t xml:space="preserve">was </w:t>
      </w:r>
      <w:r w:rsidRPr="001A7F5D">
        <w:t xml:space="preserve">approximately </w:t>
      </w:r>
      <w:r w:rsidR="009B792A" w:rsidRPr="001A7F5D">
        <w:t>3</w:t>
      </w:r>
      <w:r w:rsidRPr="001A7F5D">
        <w:t>.</w:t>
      </w:r>
      <w:r w:rsidR="001A7F5D" w:rsidRPr="001A7F5D">
        <w:t>7</w:t>
      </w:r>
      <w:r w:rsidRPr="00667288">
        <w:t xml:space="preserve"> percent</w:t>
      </w:r>
      <w:r w:rsidR="009B792A">
        <w:t xml:space="preserve">. This decline rate is much lower than in previous years, </w:t>
      </w:r>
      <w:r w:rsidR="009B792A" w:rsidRPr="002C0A87">
        <w:t>which averaged around 15 percent, perhaps due to the modified</w:t>
      </w:r>
      <w:r w:rsidR="009B792A">
        <w:t xml:space="preserve"> remote processes as opposed to onsite and face-to-face </w:t>
      </w:r>
      <w:r w:rsidR="009B792A" w:rsidRPr="002C0A87">
        <w:t xml:space="preserve">interviews. The rate was </w:t>
      </w:r>
      <w:r w:rsidR="002C0A87" w:rsidRPr="002C0A87">
        <w:t>slightly higher than</w:t>
      </w:r>
      <w:r w:rsidR="009B792A" w:rsidRPr="002C0A87">
        <w:t xml:space="preserve"> the 4</w:t>
      </w:r>
      <w:r w:rsidR="009B792A" w:rsidRPr="002C0A87">
        <w:rPr>
          <w:vertAlign w:val="superscript"/>
        </w:rPr>
        <w:t>th</w:t>
      </w:r>
      <w:r w:rsidR="009B792A" w:rsidRPr="002C0A87">
        <w:t xml:space="preserve"> quarter in FY</w:t>
      </w:r>
      <w:r w:rsidR="0037076B" w:rsidRPr="002C0A87">
        <w:t xml:space="preserve"> 20</w:t>
      </w:r>
      <w:r w:rsidR="009B792A" w:rsidRPr="002C0A87">
        <w:t xml:space="preserve">20, of 1.7 percent. </w:t>
      </w:r>
      <w:r w:rsidRPr="002C0A87">
        <w:t xml:space="preserve"> </w:t>
      </w:r>
      <w:r w:rsidR="009B792A" w:rsidRPr="002C0A87">
        <w:t>This may indicate</w:t>
      </w:r>
      <w:r w:rsidR="00287111" w:rsidRPr="002C0A87">
        <w:t xml:space="preserve"> perhaps phone interview</w:t>
      </w:r>
      <w:r w:rsidR="00EF20B6" w:rsidRPr="002C0A87">
        <w:t>s</w:t>
      </w:r>
      <w:r w:rsidR="00287111" w:rsidRPr="002C0A87">
        <w:t xml:space="preserve"> may be less intrusive or easier to schedule</w:t>
      </w:r>
      <w:r w:rsidR="00EF20B6" w:rsidRPr="002C0A87">
        <w:t xml:space="preserve"> than in-person interviews</w:t>
      </w:r>
      <w:r w:rsidR="00287111" w:rsidRPr="002C0A87">
        <w:t xml:space="preserve">. The </w:t>
      </w:r>
      <w:r w:rsidR="00EF20B6" w:rsidRPr="002C0A87">
        <w:t xml:space="preserve">CDC+ </w:t>
      </w:r>
      <w:r w:rsidR="00287111" w:rsidRPr="002C0A87">
        <w:t xml:space="preserve">replacement rate </w:t>
      </w:r>
      <w:r w:rsidR="00EF20B6" w:rsidRPr="002C0A87">
        <w:t xml:space="preserve">during the first </w:t>
      </w:r>
      <w:r w:rsidR="002C0A87" w:rsidRPr="002C0A87">
        <w:t xml:space="preserve">two </w:t>
      </w:r>
      <w:r w:rsidR="00EF20B6" w:rsidRPr="002C0A87">
        <w:t>quarter</w:t>
      </w:r>
      <w:r w:rsidR="002C0A87" w:rsidRPr="002C0A87">
        <w:t>s</w:t>
      </w:r>
      <w:r w:rsidR="00EF20B6" w:rsidRPr="002C0A87">
        <w:t xml:space="preserve"> </w:t>
      </w:r>
      <w:r w:rsidR="009B792A" w:rsidRPr="002C0A87">
        <w:t xml:space="preserve">was </w:t>
      </w:r>
      <w:r w:rsidR="002C0A87" w:rsidRPr="002C0A87">
        <w:t>6.5</w:t>
      </w:r>
      <w:r w:rsidR="009B792A" w:rsidRPr="002C0A87">
        <w:t xml:space="preserve"> percent</w:t>
      </w:r>
      <w:r w:rsidR="00EF20B6" w:rsidRPr="002C0A87">
        <w:t>.</w:t>
      </w:r>
      <w:r w:rsidR="00EF20B6" w:rsidRPr="00EF20B6">
        <w:t xml:space="preserve"> </w:t>
      </w:r>
      <w:r w:rsidR="00DC667D" w:rsidRPr="00EF20B6">
        <w:t xml:space="preserve"> </w:t>
      </w:r>
      <w:r w:rsidR="00DC667D">
        <w:t xml:space="preserve"> </w:t>
      </w:r>
    </w:p>
    <w:p w14:paraId="02265CBC" w14:textId="77777777" w:rsidR="00956AE3" w:rsidRDefault="00956AE3" w:rsidP="00956AE3">
      <w:pPr>
        <w:rPr>
          <w:b/>
        </w:rPr>
      </w:pPr>
    </w:p>
    <w:p w14:paraId="5BC9E9E7" w14:textId="6DC9A37D" w:rsidR="00956AE3" w:rsidRDefault="00956AE3" w:rsidP="00956AE3">
      <w:r w:rsidRPr="00815FA1">
        <w:t>Reasons given for the declines are shown</w:t>
      </w:r>
      <w:r>
        <w:t xml:space="preserve"> in Table 3. </w:t>
      </w:r>
      <w:r w:rsidRPr="00815FA1">
        <w:t xml:space="preserve">When an individual </w:t>
      </w:r>
      <w:r>
        <w:t>is unable to participate</w:t>
      </w:r>
      <w:r w:rsidRPr="00815FA1">
        <w:t xml:space="preserve">, the </w:t>
      </w:r>
      <w:r>
        <w:t>QAR</w:t>
      </w:r>
      <w:r w:rsidRPr="00815FA1">
        <w:t xml:space="preserve"> calls the </w:t>
      </w:r>
      <w:r>
        <w:t xml:space="preserve">person </w:t>
      </w:r>
      <w:r w:rsidR="00E05F27">
        <w:t xml:space="preserve">from the sample </w:t>
      </w:r>
      <w:r>
        <w:t xml:space="preserve">to verify the decision. </w:t>
      </w:r>
      <w:r w:rsidRPr="00815FA1">
        <w:t xml:space="preserve">This affords the person an opportunity to ask questions or seek clarification about the PCR process and the person’s potential role in it. </w:t>
      </w:r>
      <w:r>
        <w:t>This</w:t>
      </w:r>
      <w:r w:rsidRPr="00815FA1">
        <w:t xml:space="preserve"> also gives individuals an opportunity to change the</w:t>
      </w:r>
      <w:r w:rsidR="00E05F27">
        <w:t xml:space="preserve">ir minds about participating. </w:t>
      </w:r>
      <w:r w:rsidR="00764DC0">
        <w:t>Most of the declines, 22 of 28,</w:t>
      </w:r>
      <w:r w:rsidR="00E05F27">
        <w:t xml:space="preserve"> were people who refused to participate.  </w:t>
      </w:r>
    </w:p>
    <w:p w14:paraId="21B435E5" w14:textId="33154235" w:rsidR="004C768B" w:rsidRDefault="00956AE3" w:rsidP="006061BD">
      <w:pPr>
        <w:spacing w:line="240" w:lineRule="auto"/>
      </w:pPr>
      <w:r>
        <w:t xml:space="preserve"> </w:t>
      </w:r>
    </w:p>
    <w:p w14:paraId="2D22F435" w14:textId="793B81BB" w:rsidR="00956AE3" w:rsidRDefault="00956AE3" w:rsidP="00956AE3">
      <w:pPr>
        <w:pStyle w:val="Heading3"/>
      </w:pPr>
      <w:bookmarkStart w:id="33" w:name="_Toc64285529"/>
      <w:r>
        <w:lastRenderedPageBreak/>
        <w:t>Demographics</w:t>
      </w:r>
      <w:bookmarkEnd w:id="33"/>
    </w:p>
    <w:p w14:paraId="5CE7358E" w14:textId="2B79CFB5" w:rsidR="00956AE3" w:rsidRPr="00BA1197" w:rsidRDefault="00956AE3" w:rsidP="0043287E">
      <w:r w:rsidRPr="007E514E">
        <w:rPr>
          <w:noProof/>
        </w:rPr>
        <w:drawing>
          <wp:anchor distT="0" distB="0" distL="114300" distR="114300" simplePos="0" relativeHeight="251658253" behindDoc="0" locked="0" layoutInCell="1" allowOverlap="1" wp14:anchorId="040E665E" wp14:editId="3779E856">
            <wp:simplePos x="0" y="0"/>
            <wp:positionH relativeFrom="column">
              <wp:posOffset>4665345</wp:posOffset>
            </wp:positionH>
            <wp:positionV relativeFrom="paragraph">
              <wp:posOffset>22225</wp:posOffset>
            </wp:positionV>
            <wp:extent cx="1252220" cy="932180"/>
            <wp:effectExtent l="0" t="0" r="508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pulation[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2220" cy="932180"/>
                    </a:xfrm>
                    <a:prstGeom prst="rect">
                      <a:avLst/>
                    </a:prstGeom>
                  </pic:spPr>
                </pic:pic>
              </a:graphicData>
            </a:graphic>
            <wp14:sizeRelH relativeFrom="margin">
              <wp14:pctWidth>0</wp14:pctWidth>
            </wp14:sizeRelH>
            <wp14:sizeRelV relativeFrom="margin">
              <wp14:pctHeight>0</wp14:pctHeight>
            </wp14:sizeRelV>
          </wp:anchor>
        </w:drawing>
      </w:r>
      <w:r w:rsidRPr="007E514E">
        <w:t>The following series of figures show</w:t>
      </w:r>
      <w:r w:rsidR="007628D3">
        <w:t>s</w:t>
      </w:r>
      <w:r w:rsidRPr="007E514E">
        <w:t xml:space="preserve"> the distribution of the PCR sample across Residential Setting, Age Group and Primary Disability.</w:t>
      </w:r>
      <w:r w:rsidRPr="007E514E">
        <w:rPr>
          <w:rStyle w:val="FootnoteReference"/>
        </w:rPr>
        <w:footnoteReference w:id="6"/>
      </w:r>
      <w:r w:rsidR="0043287E">
        <w:t xml:space="preserve"> </w:t>
      </w:r>
      <w:r w:rsidRPr="007E514E">
        <w:t>Receiving</w:t>
      </w:r>
      <w:r w:rsidRPr="007562F1">
        <w:t xml:space="preserve"> </w:t>
      </w:r>
      <w:r w:rsidRPr="000E0904">
        <w:t>CDC+ requires that individuals not live in a li</w:t>
      </w:r>
      <w:r w:rsidR="0039417A">
        <w:t xml:space="preserve">censed residential home setting; therefore, </w:t>
      </w:r>
      <w:r w:rsidR="00324040">
        <w:t>most of the</w:t>
      </w:r>
      <w:r w:rsidR="0039417A">
        <w:t xml:space="preserve"> people inter</w:t>
      </w:r>
      <w:r w:rsidR="003C0B9B">
        <w:t xml:space="preserve">viewed </w:t>
      </w:r>
      <w:r w:rsidR="003C0B9B" w:rsidRPr="00BA1197">
        <w:t>lived in a family home</w:t>
      </w:r>
      <w:r w:rsidR="00BA1197" w:rsidRPr="00BA1197">
        <w:t>, compared to a</w:t>
      </w:r>
      <w:r w:rsidR="003C0B9B" w:rsidRPr="00BA1197">
        <w:t xml:space="preserve">bout half of people </w:t>
      </w:r>
      <w:r w:rsidR="00BA1197" w:rsidRPr="00BA1197">
        <w:t>using the</w:t>
      </w:r>
      <w:r w:rsidR="003C0B9B" w:rsidRPr="00BA1197">
        <w:t xml:space="preserve"> Waiver</w:t>
      </w:r>
      <w:r w:rsidR="005B539E">
        <w:t>.</w:t>
      </w:r>
      <w:r w:rsidR="003C0B9B" w:rsidRPr="00BA1197">
        <w:t xml:space="preserve"> </w:t>
      </w:r>
      <w:r w:rsidR="0043287E">
        <w:t xml:space="preserve">Other demographic differences between the </w:t>
      </w:r>
      <w:r w:rsidR="00A41DFC">
        <w:rPr>
          <w:noProof/>
        </w:rPr>
        <w:drawing>
          <wp:anchor distT="0" distB="0" distL="114300" distR="114300" simplePos="0" relativeHeight="251684919" behindDoc="0" locked="0" layoutInCell="1" allowOverlap="1" wp14:anchorId="31507DCC" wp14:editId="71198433">
            <wp:simplePos x="0" y="0"/>
            <wp:positionH relativeFrom="column">
              <wp:posOffset>3200400</wp:posOffset>
            </wp:positionH>
            <wp:positionV relativeFrom="paragraph">
              <wp:posOffset>592579</wp:posOffset>
            </wp:positionV>
            <wp:extent cx="3028950" cy="2380615"/>
            <wp:effectExtent l="0" t="0" r="0" b="635"/>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0043287E">
        <w:t>two groups are relatively small</w:t>
      </w:r>
      <w:r w:rsidR="005B539E">
        <w:t>.</w:t>
      </w:r>
    </w:p>
    <w:p w14:paraId="60D3F39D" w14:textId="3353A8A7" w:rsidR="0039417A" w:rsidRDefault="00A41DFC" w:rsidP="0039417A">
      <w:r>
        <w:rPr>
          <w:noProof/>
        </w:rPr>
        <w:drawing>
          <wp:anchor distT="0" distB="0" distL="114300" distR="114300" simplePos="0" relativeHeight="251683895" behindDoc="0" locked="0" layoutInCell="1" allowOverlap="1" wp14:anchorId="09829ACD" wp14:editId="17886E15">
            <wp:simplePos x="0" y="0"/>
            <wp:positionH relativeFrom="column">
              <wp:posOffset>94937</wp:posOffset>
            </wp:positionH>
            <wp:positionV relativeFrom="paragraph">
              <wp:posOffset>138076</wp:posOffset>
            </wp:positionV>
            <wp:extent cx="3117273" cy="2533650"/>
            <wp:effectExtent l="0" t="0" r="6985" b="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6F0DB708" w14:textId="7C53102C" w:rsidR="0039417A" w:rsidRDefault="0039417A" w:rsidP="00D336F3">
      <w:pPr>
        <w:spacing w:line="240" w:lineRule="auto"/>
        <w:jc w:val="center"/>
      </w:pPr>
    </w:p>
    <w:p w14:paraId="2982B4E3" w14:textId="5DD56337" w:rsidR="00955EE4" w:rsidRDefault="00A41DFC" w:rsidP="006151B1">
      <w:pPr>
        <w:tabs>
          <w:tab w:val="left" w:pos="3750"/>
        </w:tabs>
        <w:spacing w:line="240" w:lineRule="auto"/>
        <w:jc w:val="center"/>
        <w:rPr>
          <w:noProof/>
        </w:rPr>
      </w:pPr>
      <w:r>
        <w:rPr>
          <w:noProof/>
        </w:rPr>
        <w:drawing>
          <wp:inline distT="0" distB="0" distL="0" distR="0" wp14:anchorId="5E4C10EA" wp14:editId="7C8CEEE5">
            <wp:extent cx="3778250" cy="249555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D17DBCE" w14:textId="6ABCB15F" w:rsidR="007D6E8F" w:rsidRDefault="007D6E8F" w:rsidP="006151B1">
      <w:pPr>
        <w:spacing w:line="240" w:lineRule="auto"/>
      </w:pPr>
      <w:bookmarkStart w:id="34" w:name="_Toc369864675"/>
    </w:p>
    <w:p w14:paraId="0D74F848" w14:textId="5D76F39E" w:rsidR="00956AE3" w:rsidRPr="004C7445" w:rsidRDefault="00956AE3" w:rsidP="00956AE3">
      <w:pPr>
        <w:pStyle w:val="Heading3"/>
      </w:pPr>
      <w:bookmarkStart w:id="35" w:name="_Toc64285530"/>
      <w:r>
        <w:t>PCR My Life Interview</w:t>
      </w:r>
      <w:r w:rsidRPr="004C7445">
        <w:t xml:space="preserve"> </w:t>
      </w:r>
      <w:bookmarkEnd w:id="34"/>
      <w:r w:rsidRPr="004C7445">
        <w:t>(</w:t>
      </w:r>
      <w:r>
        <w:t>MLI</w:t>
      </w:r>
      <w:r w:rsidRPr="004C7445">
        <w:t>)</w:t>
      </w:r>
      <w:bookmarkEnd w:id="35"/>
      <w:r w:rsidRPr="00D001C8">
        <w:rPr>
          <w:rStyle w:val="FootnoteReference"/>
          <w:b w:val="0"/>
        </w:rPr>
        <w:t xml:space="preserve"> </w:t>
      </w:r>
    </w:p>
    <w:p w14:paraId="5B6597BB" w14:textId="3F9B9B75" w:rsidR="00956AE3" w:rsidRPr="007844DC" w:rsidRDefault="00956AE3" w:rsidP="00956AE3">
      <w:r>
        <w:rPr>
          <w:noProof/>
        </w:rPr>
        <w:drawing>
          <wp:anchor distT="0" distB="0" distL="114300" distR="114300" simplePos="0" relativeHeight="251658254" behindDoc="0" locked="0" layoutInCell="1" allowOverlap="1" wp14:anchorId="5323BF54" wp14:editId="7A4E47CB">
            <wp:simplePos x="0" y="0"/>
            <wp:positionH relativeFrom="margin">
              <wp:posOffset>85090</wp:posOffset>
            </wp:positionH>
            <wp:positionV relativeFrom="paragraph">
              <wp:posOffset>110490</wp:posOffset>
            </wp:positionV>
            <wp:extent cx="1152525" cy="1179195"/>
            <wp:effectExtent l="0" t="0" r="9525"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صناف-لا-يمكنك-التحاور-معهم-297x300[1].jpg"/>
                    <pic:cNvPicPr/>
                  </pic:nvPicPr>
                  <pic:blipFill>
                    <a:blip r:embed="rId39"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52525" cy="1179195"/>
                    </a:xfrm>
                    <a:prstGeom prst="rect">
                      <a:avLst/>
                    </a:prstGeom>
                  </pic:spPr>
                </pic:pic>
              </a:graphicData>
            </a:graphic>
            <wp14:sizeRelH relativeFrom="margin">
              <wp14:pctWidth>0</wp14:pctWidth>
            </wp14:sizeRelH>
            <wp14:sizeRelV relativeFrom="margin">
              <wp14:pctHeight>0</wp14:pctHeight>
            </wp14:sizeRelV>
          </wp:anchor>
        </w:drawing>
      </w:r>
      <w:r w:rsidRPr="007844DC">
        <w:t>Individuals who participate in a PCR receive a</w:t>
      </w:r>
      <w:r w:rsidR="00150D14">
        <w:t>n</w:t>
      </w:r>
      <w:r w:rsidRPr="007844DC">
        <w:t xml:space="preserve"> interview that include</w:t>
      </w:r>
      <w:r w:rsidR="00150D14">
        <w:t>s</w:t>
      </w:r>
      <w:r w:rsidRPr="007844DC">
        <w:t xml:space="preserve"> the PCR M</w:t>
      </w:r>
      <w:r>
        <w:t xml:space="preserve">y </w:t>
      </w:r>
      <w:r w:rsidRPr="007844DC">
        <w:t>L</w:t>
      </w:r>
      <w:r>
        <w:t xml:space="preserve">ife </w:t>
      </w:r>
      <w:r w:rsidRPr="007844DC">
        <w:t>I</w:t>
      </w:r>
      <w:r>
        <w:t>nterview</w:t>
      </w:r>
      <w:r w:rsidRPr="007844DC">
        <w:t xml:space="preserve"> and</w:t>
      </w:r>
      <w:r w:rsidR="00E84426">
        <w:t xml:space="preserve"> </w:t>
      </w:r>
      <w:r w:rsidRPr="007844DC">
        <w:t xml:space="preserve">may include the </w:t>
      </w:r>
      <w:r w:rsidR="00150D14">
        <w:t xml:space="preserve">National Core Indicators (NCI) </w:t>
      </w:r>
      <w:r w:rsidRPr="007844DC">
        <w:t>In-Person Survey</w:t>
      </w:r>
      <w:r>
        <w:t xml:space="preserve"> (</w:t>
      </w:r>
      <w:r w:rsidR="00150D14">
        <w:t>IPS</w:t>
      </w:r>
      <w:r>
        <w:t>)</w:t>
      </w:r>
      <w:r w:rsidRPr="007844DC">
        <w:t xml:space="preserve">. </w:t>
      </w:r>
      <w:r w:rsidR="00150D14">
        <w:t xml:space="preserve">Since March 2020, interviews have been conducted remotely. </w:t>
      </w:r>
      <w:r w:rsidRPr="007844DC">
        <w:t>The M</w:t>
      </w:r>
      <w:r>
        <w:t>L</w:t>
      </w:r>
      <w:r w:rsidRPr="007844DC">
        <w:t xml:space="preserve">I was implemented July 1, 2018. </w:t>
      </w:r>
      <w:r>
        <w:t>Based on QAR feedback, two standards were revised January 1, 2019.</w:t>
      </w:r>
      <w:r w:rsidRPr="007844DC">
        <w:t xml:space="preserve"> The </w:t>
      </w:r>
      <w:r>
        <w:t>MLI</w:t>
      </w:r>
      <w:r w:rsidRPr="007844DC">
        <w:t xml:space="preserve"> is organized around six </w:t>
      </w:r>
      <w:r>
        <w:t>Life A</w:t>
      </w:r>
      <w:r w:rsidRPr="007844DC">
        <w:t>r</w:t>
      </w:r>
      <w:r>
        <w:t>eas important to a person</w:t>
      </w:r>
      <w:r w:rsidRPr="007844DC">
        <w:t xml:space="preserve">, and </w:t>
      </w:r>
      <w:r>
        <w:t xml:space="preserve">each incorporates </w:t>
      </w:r>
      <w:r w:rsidRPr="007844DC">
        <w:t>measures of choice, respect, ri</w:t>
      </w:r>
      <w:r>
        <w:t>ghts and community integration:</w:t>
      </w:r>
    </w:p>
    <w:p w14:paraId="637AB5E7" w14:textId="77777777" w:rsidR="00956AE3" w:rsidRPr="007844DC" w:rsidRDefault="00956AE3" w:rsidP="00956AE3">
      <w:pPr>
        <w:ind w:left="720"/>
        <w:contextualSpacing/>
      </w:pPr>
    </w:p>
    <w:p w14:paraId="75A13801" w14:textId="5EC72F01" w:rsidR="00956AE3" w:rsidRPr="0065612B" w:rsidRDefault="00956AE3" w:rsidP="00956AE3">
      <w:pPr>
        <w:numPr>
          <w:ilvl w:val="0"/>
          <w:numId w:val="9"/>
        </w:numPr>
      </w:pPr>
      <w:r w:rsidRPr="0065612B">
        <w:t xml:space="preserve">My Service Life </w:t>
      </w:r>
      <w:r w:rsidR="004D7C61">
        <w:t>– ex</w:t>
      </w:r>
      <w:r w:rsidRPr="0065612B">
        <w:t>pectations for all of the services a person is receiving from providers and the involvement of the person in development and design of the service delivery system</w:t>
      </w:r>
    </w:p>
    <w:p w14:paraId="44EE7D71" w14:textId="3B968BE3" w:rsidR="00956AE3" w:rsidRPr="007844DC" w:rsidRDefault="00956AE3" w:rsidP="00956AE3">
      <w:pPr>
        <w:numPr>
          <w:ilvl w:val="0"/>
          <w:numId w:val="9"/>
        </w:numPr>
      </w:pPr>
      <w:r w:rsidRPr="007844DC">
        <w:t xml:space="preserve">My Home Life </w:t>
      </w:r>
      <w:r w:rsidR="004D7C61">
        <w:t>– ex</w:t>
      </w:r>
      <w:r w:rsidRPr="007844DC">
        <w:t>pectations for services a person is receiving in</w:t>
      </w:r>
      <w:r>
        <w:t xml:space="preserve"> th</w:t>
      </w:r>
      <w:r w:rsidR="0052019D">
        <w:t>e home</w:t>
      </w:r>
    </w:p>
    <w:p w14:paraId="0C4F344A" w14:textId="2D199C28" w:rsidR="00956AE3" w:rsidRPr="007844DC" w:rsidRDefault="00956AE3" w:rsidP="00956AE3">
      <w:pPr>
        <w:numPr>
          <w:ilvl w:val="0"/>
          <w:numId w:val="9"/>
        </w:numPr>
      </w:pPr>
      <w:r w:rsidRPr="007844DC">
        <w:lastRenderedPageBreak/>
        <w:t xml:space="preserve">My Work and Daily Life </w:t>
      </w:r>
      <w:r w:rsidR="004D7C61">
        <w:t>– ex</w:t>
      </w:r>
      <w:r w:rsidRPr="007844DC">
        <w:t xml:space="preserve">pectations for </w:t>
      </w:r>
      <w:r>
        <w:t>the person</w:t>
      </w:r>
      <w:r w:rsidRPr="007844DC">
        <w:t xml:space="preserve"> pertai</w:t>
      </w:r>
      <w:r w:rsidR="0052019D">
        <w:t>ning to work and day activities</w:t>
      </w:r>
      <w:r w:rsidRPr="007844DC">
        <w:t xml:space="preserve"> Services in this domain include the Life Skills Development services </w:t>
      </w:r>
      <w:r>
        <w:t xml:space="preserve">(Companion, Supported Employment and Day Programs) </w:t>
      </w:r>
      <w:r w:rsidRPr="007844DC">
        <w:t>and Personal Supports d</w:t>
      </w:r>
      <w:r>
        <w:t>epending on how it is utilized</w:t>
      </w:r>
    </w:p>
    <w:p w14:paraId="5595C55C" w14:textId="4A869682" w:rsidR="00956AE3" w:rsidRPr="007844DC" w:rsidRDefault="00956AE3" w:rsidP="00956AE3">
      <w:pPr>
        <w:numPr>
          <w:ilvl w:val="0"/>
          <w:numId w:val="9"/>
        </w:numPr>
      </w:pPr>
      <w:r w:rsidRPr="007844DC">
        <w:t xml:space="preserve">My Social Life </w:t>
      </w:r>
      <w:r w:rsidR="004D7C61">
        <w:t>– ex</w:t>
      </w:r>
      <w:r>
        <w:t xml:space="preserve">pectations for the </w:t>
      </w:r>
      <w:r w:rsidRPr="007844DC">
        <w:t xml:space="preserve">person </w:t>
      </w:r>
      <w:r>
        <w:t>regarding interaction with a</w:t>
      </w:r>
      <w:r w:rsidR="0052019D">
        <w:t>nd integration in the community</w:t>
      </w:r>
    </w:p>
    <w:p w14:paraId="6DC14963" w14:textId="145A23FB" w:rsidR="00956AE3" w:rsidRPr="007844DC" w:rsidRDefault="00956AE3" w:rsidP="00956AE3">
      <w:pPr>
        <w:numPr>
          <w:ilvl w:val="0"/>
          <w:numId w:val="9"/>
        </w:numPr>
      </w:pPr>
      <w:r w:rsidRPr="007844DC">
        <w:t>My Health</w:t>
      </w:r>
      <w:r w:rsidR="0052019D">
        <w:t xml:space="preserve"> – in</w:t>
      </w:r>
      <w:r>
        <w:t>cludes</w:t>
      </w:r>
      <w:r w:rsidRPr="007844DC">
        <w:t xml:space="preserve"> </w:t>
      </w:r>
      <w:r>
        <w:t xml:space="preserve">measures of </w:t>
      </w:r>
      <w:r w:rsidRPr="007844DC">
        <w:t>support</w:t>
      </w:r>
      <w:r>
        <w:t>s</w:t>
      </w:r>
      <w:r w:rsidRPr="007844DC">
        <w:t xml:space="preserve"> related to health acce</w:t>
      </w:r>
      <w:r w:rsidR="0052019D">
        <w:t>ss, satisfaction and education</w:t>
      </w:r>
    </w:p>
    <w:p w14:paraId="2B295B8B" w14:textId="08E0BD17" w:rsidR="00956AE3" w:rsidRDefault="00956AE3" w:rsidP="00956AE3">
      <w:pPr>
        <w:numPr>
          <w:ilvl w:val="0"/>
          <w:numId w:val="9"/>
        </w:numPr>
      </w:pPr>
      <w:r w:rsidRPr="007844DC">
        <w:t xml:space="preserve">My Safety </w:t>
      </w:r>
      <w:r w:rsidR="0052019D">
        <w:t>– includes measures</w:t>
      </w:r>
      <w:r w:rsidRPr="007844DC">
        <w:t xml:space="preserve"> of safety in various settings, including education and knowledge about ab</w:t>
      </w:r>
      <w:r w:rsidR="0052019D">
        <w:t>use, neglect, and exploitation</w:t>
      </w:r>
    </w:p>
    <w:p w14:paraId="6CA9B1A5" w14:textId="77777777" w:rsidR="00956AE3" w:rsidRDefault="00956AE3" w:rsidP="00956AE3">
      <w:pPr>
        <w:ind w:left="720"/>
      </w:pPr>
    </w:p>
    <w:p w14:paraId="4510F217" w14:textId="0ECEDAF0" w:rsidR="00956AE3" w:rsidRDefault="00956AE3" w:rsidP="00956AE3">
      <w:r>
        <w:t xml:space="preserve">Each MLI question is scored twice: once to indicate if the outcome is present in the person’s life and once if the person is supported to meet the outcome. When a question is marked “Not Present” as either an outcome or a support, one or more reasons are selected to explain why. The MLI </w:t>
      </w:r>
      <w:r w:rsidR="00150D14">
        <w:t>also includes</w:t>
      </w:r>
      <w:r>
        <w:t xml:space="preserve"> a series of questions regarding the level of satisfaction people have with various aspects of their li</w:t>
      </w:r>
      <w:r w:rsidR="00667288">
        <w:t>ves</w:t>
      </w:r>
      <w:r>
        <w:t xml:space="preserve"> including services, day activities, residence, health, and involvement in the community. Finally, the MLI is used to assess stability, i.e., how many times over the previous 12 months had the person experienced a change in services, service providers, Support Coordinators, jobs, or place of residence.</w:t>
      </w:r>
    </w:p>
    <w:p w14:paraId="36242C9B" w14:textId="77777777" w:rsidR="00956AE3" w:rsidRDefault="00956AE3" w:rsidP="00956AE3">
      <w:pPr>
        <w:pStyle w:val="Heading4"/>
      </w:pPr>
      <w:r>
        <w:t>Data Limitations</w:t>
      </w:r>
    </w:p>
    <w:p w14:paraId="24CFFE64" w14:textId="1A5D2244" w:rsidR="00956AE3" w:rsidRDefault="00394952" w:rsidP="00956AE3">
      <w:r>
        <w:t>Data in this report, the FY</w:t>
      </w:r>
      <w:r w:rsidR="0037076B">
        <w:t xml:space="preserve"> 20</w:t>
      </w:r>
      <w:r>
        <w:t xml:space="preserve">21 </w:t>
      </w:r>
      <w:r w:rsidR="007F0A1B">
        <w:t>2</w:t>
      </w:r>
      <w:r w:rsidR="007F0A1B" w:rsidRPr="007F0A1B">
        <w:rPr>
          <w:vertAlign w:val="superscript"/>
        </w:rPr>
        <w:t>nd</w:t>
      </w:r>
      <w:r w:rsidR="007F0A1B">
        <w:t xml:space="preserve"> </w:t>
      </w:r>
      <w:r>
        <w:t xml:space="preserve">quarter, were collected remotely.  Comparisons to data collected previous to </w:t>
      </w:r>
      <w:r w:rsidR="005D5F56">
        <w:t xml:space="preserve">April </w:t>
      </w:r>
      <w:r>
        <w:t>2020 should be made with caution</w:t>
      </w:r>
      <w:r w:rsidR="00763DAD">
        <w:t>, due to the change in processes to account for the COVI</w:t>
      </w:r>
      <w:r w:rsidR="00A83A56">
        <w:t>D</w:t>
      </w:r>
      <w:r w:rsidR="00763DAD">
        <w:t>-19 pandemic.</w:t>
      </w:r>
      <w:r>
        <w:t xml:space="preserve"> Because this report represents only a portion of the total number of providers to be reviewed and individuals to be interviewed, results are preliminary. </w:t>
      </w:r>
      <w:r w:rsidR="00A41DFC">
        <w:t>In addition, results in some categories, particularly for CDC+, are based on relatively small numbers</w:t>
      </w:r>
      <w:r w:rsidR="00887794">
        <w:t>; therefore, compares across categories or between Waiver and CDC+ should also be made with caution.</w:t>
      </w:r>
    </w:p>
    <w:p w14:paraId="5A5F1220" w14:textId="77777777" w:rsidR="00956AE3" w:rsidRPr="00FE1C90" w:rsidRDefault="00956AE3" w:rsidP="00956AE3">
      <w:pPr>
        <w:pStyle w:val="Heading4"/>
      </w:pPr>
      <w:r>
        <w:t xml:space="preserve">PCR </w:t>
      </w:r>
      <w:r w:rsidRPr="00FE1C90">
        <w:t>MLI Average Scores</w:t>
      </w:r>
    </w:p>
    <w:p w14:paraId="59A13F61" w14:textId="4253B8CE" w:rsidR="003A4780" w:rsidRDefault="00956AE3" w:rsidP="00956AE3">
      <w:r w:rsidRPr="00E55EB4">
        <w:t>The highest, lowest</w:t>
      </w:r>
      <w:r w:rsidRPr="002E4DE6">
        <w:t xml:space="preserve"> and average MLI scores are presented in Figure 4</w:t>
      </w:r>
      <w:r w:rsidR="00123E63" w:rsidRPr="002E4DE6">
        <w:t xml:space="preserve"> for </w:t>
      </w:r>
      <w:r w:rsidR="001B13FF">
        <w:t xml:space="preserve">data collected between July and </w:t>
      </w:r>
      <w:r w:rsidR="00E55EB4">
        <w:t>December</w:t>
      </w:r>
      <w:r w:rsidR="001B13FF">
        <w:t xml:space="preserve"> 2020</w:t>
      </w:r>
      <w:r w:rsidR="00887794">
        <w:t>, for outcomes and supports</w:t>
      </w:r>
      <w:r w:rsidRPr="001B13FF">
        <w:t xml:space="preserve">. </w:t>
      </w:r>
      <w:r w:rsidR="001B13FF" w:rsidRPr="001B13FF">
        <w:t>T</w:t>
      </w:r>
      <w:r w:rsidRPr="001B13FF">
        <w:t xml:space="preserve">he first two lines from the left represent scores for the Waiver and the two lines on the right represent scores for CDC+. </w:t>
      </w:r>
      <w:r w:rsidR="001B13FF">
        <w:t>Results to date indicate the lowest scores were for the Waiver</w:t>
      </w:r>
      <w:r w:rsidR="007F3F72">
        <w:t xml:space="preserve"> and that while average rates </w:t>
      </w:r>
      <w:r w:rsidR="00887794">
        <w:t>we</w:t>
      </w:r>
      <w:r w:rsidR="007F3F72">
        <w:t xml:space="preserve">re relatively high, outcomes and supports for some individuals </w:t>
      </w:r>
      <w:r w:rsidR="00887794">
        <w:t>we</w:t>
      </w:r>
      <w:r w:rsidR="007F3F72">
        <w:t>re quite low</w:t>
      </w:r>
      <w:r w:rsidR="008816BC">
        <w:t xml:space="preserve">. </w:t>
      </w:r>
      <w:r w:rsidR="001B13FF">
        <w:t xml:space="preserve">CDC+ </w:t>
      </w:r>
      <w:r w:rsidR="001D0FAD">
        <w:t>s</w:t>
      </w:r>
      <w:r w:rsidR="001B13FF">
        <w:t xml:space="preserve">upports were </w:t>
      </w:r>
      <w:r w:rsidR="003A666B">
        <w:t>relatively</w:t>
      </w:r>
      <w:r w:rsidR="001B13FF">
        <w:t xml:space="preserve"> high across all </w:t>
      </w:r>
      <w:r w:rsidR="003A666B">
        <w:t>72</w:t>
      </w:r>
      <w:r w:rsidR="001B13FF">
        <w:t xml:space="preserve"> PCRs completed. </w:t>
      </w:r>
    </w:p>
    <w:p w14:paraId="3754EF57" w14:textId="274DBCD3" w:rsidR="003A666B" w:rsidRDefault="003A666B" w:rsidP="00956AE3"/>
    <w:p w14:paraId="6C51B581" w14:textId="0F4959A3" w:rsidR="003A666B" w:rsidRDefault="003A666B" w:rsidP="003A666B">
      <w:pPr>
        <w:spacing w:line="240" w:lineRule="auto"/>
        <w:jc w:val="center"/>
      </w:pPr>
      <w:r>
        <w:rPr>
          <w:noProof/>
        </w:rPr>
        <w:lastRenderedPageBreak/>
        <w:drawing>
          <wp:inline distT="0" distB="0" distL="0" distR="0" wp14:anchorId="0C00880D" wp14:editId="5B9EC308">
            <wp:extent cx="4476751" cy="3081339"/>
            <wp:effectExtent l="0" t="0" r="0" b="508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E71DE43" w14:textId="77777777" w:rsidR="003A666B" w:rsidRDefault="003A666B" w:rsidP="00956AE3"/>
    <w:p w14:paraId="0ACB975B" w14:textId="77777777" w:rsidR="00956AE3" w:rsidRPr="00EA50C0" w:rsidRDefault="00956AE3" w:rsidP="00956AE3">
      <w:pPr>
        <w:pStyle w:val="Heading4"/>
      </w:pPr>
      <w:r w:rsidRPr="00EA50C0">
        <w:t>PCR My Life Interview Scores by Region</w:t>
      </w:r>
    </w:p>
    <w:p w14:paraId="3F7A23BF" w14:textId="6E8683A7" w:rsidR="00956AE3" w:rsidRDefault="00956AE3" w:rsidP="00956AE3">
      <w:pPr>
        <w:tabs>
          <w:tab w:val="left" w:pos="1905"/>
        </w:tabs>
      </w:pPr>
      <w:r w:rsidRPr="00D708A3">
        <w:t>Average scores for outcomes and supports are presented by region in Table</w:t>
      </w:r>
      <w:r w:rsidR="00DF058D" w:rsidRPr="00D708A3">
        <w:t xml:space="preserve"> 4.</w:t>
      </w:r>
      <w:r w:rsidRPr="00D708A3">
        <w:t xml:space="preserve"> The number of reviews completed in</w:t>
      </w:r>
      <w:r w:rsidRPr="003F28E6">
        <w:t xml:space="preserve"> </w:t>
      </w:r>
      <w:r w:rsidRPr="00794E68">
        <w:t>each region</w:t>
      </w:r>
      <w:r w:rsidR="009C34B9">
        <w:t>, particularly</w:t>
      </w:r>
      <w:r w:rsidRPr="00794E68">
        <w:t xml:space="preserve"> </w:t>
      </w:r>
      <w:r w:rsidR="00DB438C" w:rsidRPr="00794E68">
        <w:t>for CDC+</w:t>
      </w:r>
      <w:r w:rsidR="009C34B9">
        <w:t>,</w:t>
      </w:r>
      <w:r w:rsidR="00DB438C" w:rsidRPr="00794E68">
        <w:t xml:space="preserve"> </w:t>
      </w:r>
      <w:r w:rsidRPr="00794E68">
        <w:t xml:space="preserve">is relatively small and comparisons across regions should be made with caution. </w:t>
      </w:r>
      <w:r w:rsidR="000743B5" w:rsidRPr="00794E68">
        <w:t>O</w:t>
      </w:r>
      <w:r w:rsidRPr="00794E68">
        <w:t xml:space="preserve">utcomes were </w:t>
      </w:r>
      <w:r w:rsidR="009C34B9">
        <w:t>lower</w:t>
      </w:r>
      <w:r w:rsidRPr="00794E68">
        <w:t xml:space="preserve"> than supports</w:t>
      </w:r>
      <w:r w:rsidR="00DB438C" w:rsidRPr="00794E68">
        <w:t xml:space="preserve"> in each region.  </w:t>
      </w:r>
      <w:r w:rsidR="007D569D" w:rsidRPr="00794E68">
        <w:t>Differences were greatest in</w:t>
      </w:r>
      <w:r w:rsidR="00DB438C" w:rsidRPr="00794E68">
        <w:t xml:space="preserve"> Suncoast and in</w:t>
      </w:r>
      <w:r w:rsidR="007D569D" w:rsidRPr="00794E68">
        <w:t xml:space="preserve"> the southern part of the state</w:t>
      </w:r>
      <w:r w:rsidR="007D569D">
        <w:t>.</w:t>
      </w:r>
      <w:r w:rsidR="00794E68">
        <w:t xml:space="preserve"> </w:t>
      </w:r>
    </w:p>
    <w:p w14:paraId="57A02E08" w14:textId="77777777" w:rsidR="004D6D5C" w:rsidRDefault="004D6D5C" w:rsidP="00956AE3">
      <w:pPr>
        <w:spacing w:line="240" w:lineRule="auto"/>
        <w:jc w:val="center"/>
      </w:pPr>
    </w:p>
    <w:tbl>
      <w:tblPr>
        <w:tblW w:w="7195" w:type="dxa"/>
        <w:jc w:val="center"/>
        <w:tblLayout w:type="fixed"/>
        <w:tblLook w:val="04A0" w:firstRow="1" w:lastRow="0" w:firstColumn="1" w:lastColumn="0" w:noHBand="0" w:noVBand="1"/>
      </w:tblPr>
      <w:tblGrid>
        <w:gridCol w:w="1260"/>
        <w:gridCol w:w="671"/>
        <w:gridCol w:w="1378"/>
        <w:gridCol w:w="1006"/>
        <w:gridCol w:w="720"/>
        <w:gridCol w:w="1170"/>
        <w:gridCol w:w="990"/>
      </w:tblGrid>
      <w:tr w:rsidR="001D0FAD" w:rsidRPr="00D25CDD" w14:paraId="4AAE943B" w14:textId="77777777" w:rsidTr="00887794">
        <w:trPr>
          <w:trHeight w:val="273"/>
          <w:tblHeader/>
          <w:jc w:val="center"/>
        </w:trPr>
        <w:tc>
          <w:tcPr>
            <w:tcW w:w="7195" w:type="dxa"/>
            <w:gridSpan w:val="7"/>
            <w:tcBorders>
              <w:top w:val="single" w:sz="4" w:space="0" w:color="auto"/>
              <w:left w:val="single" w:sz="4" w:space="0" w:color="auto"/>
              <w:bottom w:val="nil"/>
              <w:right w:val="single" w:sz="4" w:space="0" w:color="auto"/>
            </w:tcBorders>
            <w:shd w:val="clear" w:color="auto" w:fill="524757"/>
            <w:noWrap/>
            <w:vAlign w:val="center"/>
            <w:hideMark/>
          </w:tcPr>
          <w:p w14:paraId="0F22F21A" w14:textId="1D04F922" w:rsidR="001D0FAD" w:rsidRPr="00D25CDD" w:rsidRDefault="001D0FAD" w:rsidP="007F3F72">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Table 4.</w:t>
            </w:r>
            <w:r w:rsidRPr="00D25CDD">
              <w:rPr>
                <w:rFonts w:ascii="Franklin Gothic Medium" w:eastAsia="Times New Roman" w:hAnsi="Franklin Gothic Medium" w:cs="Calibri"/>
                <w:color w:val="FFFFFF"/>
                <w:sz w:val="22"/>
              </w:rPr>
              <w:t xml:space="preserve">  </w:t>
            </w:r>
            <w:r w:rsidR="007F3F72">
              <w:rPr>
                <w:rFonts w:ascii="Franklin Gothic Medium" w:eastAsia="Times New Roman" w:hAnsi="Franklin Gothic Medium" w:cs="Calibri"/>
                <w:color w:val="FFFFFF"/>
                <w:sz w:val="22"/>
              </w:rPr>
              <w:t xml:space="preserve">My Life Interview Results (PCR) </w:t>
            </w:r>
            <w:r w:rsidRPr="00D25CDD">
              <w:rPr>
                <w:rFonts w:ascii="Franklin Gothic Medium" w:eastAsia="Times New Roman" w:hAnsi="Franklin Gothic Medium" w:cs="Calibri"/>
                <w:color w:val="FFFFFF"/>
                <w:sz w:val="22"/>
              </w:rPr>
              <w:t>by Region</w:t>
            </w:r>
          </w:p>
        </w:tc>
      </w:tr>
      <w:tr w:rsidR="001D0FAD" w:rsidRPr="00D25CDD" w14:paraId="1B1F20EB" w14:textId="77777777" w:rsidTr="00887794">
        <w:trPr>
          <w:trHeight w:val="273"/>
          <w:tblHeader/>
          <w:jc w:val="center"/>
        </w:trPr>
        <w:tc>
          <w:tcPr>
            <w:tcW w:w="7195" w:type="dxa"/>
            <w:gridSpan w:val="7"/>
            <w:tcBorders>
              <w:top w:val="nil"/>
              <w:left w:val="single" w:sz="4" w:space="0" w:color="auto"/>
              <w:right w:val="single" w:sz="4" w:space="0" w:color="auto"/>
            </w:tcBorders>
            <w:shd w:val="clear" w:color="auto" w:fill="524757"/>
            <w:noWrap/>
            <w:vAlign w:val="center"/>
            <w:hideMark/>
          </w:tcPr>
          <w:p w14:paraId="26796B89" w14:textId="0F8E95BD" w:rsidR="001D0FAD" w:rsidRPr="00D25CDD" w:rsidRDefault="00E10B01" w:rsidP="007F3F72">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 xml:space="preserve"> July – </w:t>
            </w:r>
            <w:r w:rsidR="007F3F72">
              <w:rPr>
                <w:rFonts w:ascii="Franklin Gothic Medium" w:eastAsia="Times New Roman" w:hAnsi="Franklin Gothic Medium" w:cs="Calibri"/>
                <w:color w:val="FFFFFF"/>
                <w:sz w:val="22"/>
              </w:rPr>
              <w:t>December</w:t>
            </w:r>
            <w:r>
              <w:rPr>
                <w:rFonts w:ascii="Franklin Gothic Medium" w:eastAsia="Times New Roman" w:hAnsi="Franklin Gothic Medium" w:cs="Calibri"/>
                <w:color w:val="FFFFFF"/>
                <w:sz w:val="22"/>
              </w:rPr>
              <w:t xml:space="preserve"> 2020</w:t>
            </w:r>
          </w:p>
        </w:tc>
      </w:tr>
      <w:tr w:rsidR="001D0FAD" w:rsidRPr="00D25CDD" w14:paraId="6592F4F8" w14:textId="77777777" w:rsidTr="00887794">
        <w:trPr>
          <w:trHeight w:val="287"/>
          <w:tblHeader/>
          <w:jc w:val="center"/>
        </w:trPr>
        <w:tc>
          <w:tcPr>
            <w:tcW w:w="1260" w:type="dxa"/>
            <w:tcBorders>
              <w:top w:val="nil"/>
              <w:left w:val="single" w:sz="4" w:space="0" w:color="auto"/>
              <w:right w:val="nil"/>
            </w:tcBorders>
            <w:shd w:val="clear" w:color="auto" w:fill="524757"/>
            <w:noWrap/>
            <w:vAlign w:val="center"/>
            <w:hideMark/>
          </w:tcPr>
          <w:p w14:paraId="143E890D" w14:textId="77777777" w:rsidR="001D0FAD" w:rsidRPr="00177822" w:rsidRDefault="001D0FAD" w:rsidP="00D972F6">
            <w:pPr>
              <w:spacing w:line="240" w:lineRule="auto"/>
              <w:jc w:val="center"/>
              <w:rPr>
                <w:rFonts w:eastAsia="Times New Roman" w:cs="Calibri"/>
                <w:color w:val="000000"/>
                <w:sz w:val="20"/>
              </w:rPr>
            </w:pPr>
          </w:p>
        </w:tc>
        <w:tc>
          <w:tcPr>
            <w:tcW w:w="3055" w:type="dxa"/>
            <w:gridSpan w:val="3"/>
            <w:tcBorders>
              <w:top w:val="nil"/>
              <w:left w:val="double" w:sz="6" w:space="0" w:color="9F8AB9"/>
              <w:right w:val="double" w:sz="6" w:space="0" w:color="9F8AB9"/>
            </w:tcBorders>
            <w:shd w:val="clear" w:color="auto" w:fill="524757"/>
            <w:noWrap/>
            <w:vAlign w:val="center"/>
            <w:hideMark/>
          </w:tcPr>
          <w:p w14:paraId="3E1C7B9C" w14:textId="7C264F91" w:rsidR="001D0FAD" w:rsidRPr="00177822" w:rsidRDefault="00E10B01" w:rsidP="00D972F6">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Waiver</w:t>
            </w:r>
          </w:p>
        </w:tc>
        <w:tc>
          <w:tcPr>
            <w:tcW w:w="2880" w:type="dxa"/>
            <w:gridSpan w:val="3"/>
            <w:tcBorders>
              <w:top w:val="nil"/>
              <w:left w:val="nil"/>
              <w:right w:val="single" w:sz="4" w:space="0" w:color="auto"/>
            </w:tcBorders>
            <w:shd w:val="clear" w:color="auto" w:fill="524757"/>
            <w:noWrap/>
            <w:vAlign w:val="center"/>
            <w:hideMark/>
          </w:tcPr>
          <w:p w14:paraId="65BED8E0" w14:textId="7D70FA08" w:rsidR="001D0FAD" w:rsidRPr="00177822" w:rsidRDefault="001D0FAD" w:rsidP="00E10B01">
            <w:pPr>
              <w:spacing w:line="240" w:lineRule="auto"/>
              <w:jc w:val="center"/>
              <w:rPr>
                <w:rFonts w:ascii="Franklin Gothic Medium" w:eastAsia="Times New Roman" w:hAnsi="Franklin Gothic Medium" w:cs="Calibri"/>
                <w:color w:val="FFFFFF"/>
                <w:sz w:val="20"/>
              </w:rPr>
            </w:pPr>
            <w:r w:rsidRPr="00177822">
              <w:rPr>
                <w:rFonts w:ascii="Franklin Gothic Medium" w:eastAsia="Times New Roman" w:hAnsi="Franklin Gothic Medium" w:cs="Calibri"/>
                <w:color w:val="FFFFFF"/>
                <w:sz w:val="20"/>
              </w:rPr>
              <w:t xml:space="preserve">CDC+ </w:t>
            </w:r>
          </w:p>
        </w:tc>
      </w:tr>
      <w:tr w:rsidR="001D0FAD" w:rsidRPr="00D25CDD" w14:paraId="628839FD" w14:textId="77777777" w:rsidTr="00887794">
        <w:trPr>
          <w:trHeight w:val="287"/>
          <w:tblHeader/>
          <w:jc w:val="center"/>
        </w:trPr>
        <w:tc>
          <w:tcPr>
            <w:tcW w:w="1260" w:type="dxa"/>
            <w:tcBorders>
              <w:left w:val="single" w:sz="4" w:space="0" w:color="auto"/>
              <w:bottom w:val="double" w:sz="6" w:space="0" w:color="auto"/>
              <w:right w:val="nil"/>
            </w:tcBorders>
            <w:shd w:val="clear" w:color="000000" w:fill="DFD8E8"/>
            <w:noWrap/>
            <w:vAlign w:val="bottom"/>
            <w:hideMark/>
          </w:tcPr>
          <w:p w14:paraId="51CCC800"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sidRPr="00177822">
              <w:rPr>
                <w:rFonts w:ascii="Franklin Gothic Medium" w:eastAsia="Times New Roman" w:hAnsi="Franklin Gothic Medium" w:cs="Calibri"/>
                <w:color w:val="000000"/>
                <w:sz w:val="20"/>
              </w:rPr>
              <w:t>Region</w:t>
            </w:r>
          </w:p>
        </w:tc>
        <w:tc>
          <w:tcPr>
            <w:tcW w:w="671" w:type="dxa"/>
            <w:tcBorders>
              <w:left w:val="single" w:sz="8" w:space="0" w:color="9F8AB9"/>
              <w:bottom w:val="double" w:sz="6" w:space="0" w:color="auto"/>
              <w:right w:val="nil"/>
            </w:tcBorders>
            <w:shd w:val="clear" w:color="000000" w:fill="DFD8E8"/>
            <w:noWrap/>
            <w:vAlign w:val="bottom"/>
            <w:hideMark/>
          </w:tcPr>
          <w:p w14:paraId="38219625" w14:textId="186ECE42" w:rsidR="001D0FAD" w:rsidRPr="00177822" w:rsidRDefault="007F3F72" w:rsidP="00D972F6">
            <w:pPr>
              <w:spacing w:line="240" w:lineRule="auto"/>
              <w:jc w:val="center"/>
              <w:rPr>
                <w:rFonts w:ascii="Franklin Gothic Medium" w:eastAsia="Times New Roman" w:hAnsi="Franklin Gothic Medium" w:cs="Calibri"/>
                <w:color w:val="000000"/>
                <w:sz w:val="20"/>
              </w:rPr>
            </w:pPr>
            <w:r>
              <w:rPr>
                <w:rFonts w:ascii="Franklin Gothic Medium" w:eastAsia="Times New Roman" w:hAnsi="Franklin Gothic Medium" w:cs="Calibri"/>
                <w:color w:val="000000"/>
                <w:sz w:val="20"/>
              </w:rPr>
              <w:t># of PCRs</w:t>
            </w:r>
          </w:p>
        </w:tc>
        <w:tc>
          <w:tcPr>
            <w:tcW w:w="1378" w:type="dxa"/>
            <w:tcBorders>
              <w:left w:val="nil"/>
              <w:bottom w:val="double" w:sz="6" w:space="0" w:color="auto"/>
              <w:right w:val="nil"/>
            </w:tcBorders>
            <w:shd w:val="clear" w:color="000000" w:fill="DFD8E8"/>
            <w:noWrap/>
            <w:vAlign w:val="bottom"/>
            <w:hideMark/>
          </w:tcPr>
          <w:p w14:paraId="7B89E3BA" w14:textId="77777777" w:rsidR="001D0FAD" w:rsidRPr="006E0AB5" w:rsidRDefault="001D0FAD" w:rsidP="00D972F6">
            <w:pPr>
              <w:spacing w:line="240" w:lineRule="auto"/>
              <w:jc w:val="center"/>
              <w:rPr>
                <w:rFonts w:ascii="Franklin Gothic Medium" w:eastAsia="Times New Roman" w:hAnsi="Franklin Gothic Medium" w:cstheme="minorHAnsi"/>
                <w:color w:val="000000"/>
                <w:sz w:val="20"/>
              </w:rPr>
            </w:pPr>
            <w:r>
              <w:rPr>
                <w:rFonts w:ascii="Franklin Gothic Medium" w:hAnsi="Franklin Gothic Medium" w:cstheme="minorHAnsi"/>
                <w:sz w:val="20"/>
              </w:rPr>
              <w:t>Outcomes</w:t>
            </w:r>
          </w:p>
        </w:tc>
        <w:tc>
          <w:tcPr>
            <w:tcW w:w="1006" w:type="dxa"/>
            <w:tcBorders>
              <w:left w:val="nil"/>
              <w:bottom w:val="double" w:sz="6" w:space="0" w:color="auto"/>
              <w:right w:val="nil"/>
            </w:tcBorders>
            <w:shd w:val="clear" w:color="000000" w:fill="DFD8E8"/>
            <w:noWrap/>
            <w:vAlign w:val="bottom"/>
            <w:hideMark/>
          </w:tcPr>
          <w:p w14:paraId="73F2520D" w14:textId="77777777" w:rsidR="001D0FAD" w:rsidRPr="006E0AB5" w:rsidRDefault="001D0FAD" w:rsidP="00D972F6">
            <w:pPr>
              <w:spacing w:line="240" w:lineRule="auto"/>
              <w:jc w:val="center"/>
              <w:rPr>
                <w:rFonts w:ascii="Franklin Gothic Medium" w:eastAsia="Times New Roman" w:hAnsi="Franklin Gothic Medium" w:cstheme="minorHAnsi"/>
                <w:color w:val="000000"/>
                <w:sz w:val="20"/>
              </w:rPr>
            </w:pPr>
            <w:r>
              <w:rPr>
                <w:rFonts w:ascii="Franklin Gothic Medium" w:hAnsi="Franklin Gothic Medium" w:cstheme="minorHAnsi"/>
                <w:sz w:val="20"/>
              </w:rPr>
              <w:t>Supports</w:t>
            </w:r>
          </w:p>
        </w:tc>
        <w:tc>
          <w:tcPr>
            <w:tcW w:w="720" w:type="dxa"/>
            <w:tcBorders>
              <w:left w:val="single" w:sz="8" w:space="0" w:color="9F8AB9"/>
              <w:bottom w:val="double" w:sz="6" w:space="0" w:color="auto"/>
              <w:right w:val="nil"/>
            </w:tcBorders>
            <w:shd w:val="clear" w:color="000000" w:fill="DFD8E8"/>
            <w:noWrap/>
            <w:vAlign w:val="bottom"/>
            <w:hideMark/>
          </w:tcPr>
          <w:p w14:paraId="3242A3C0" w14:textId="27B97A4E" w:rsidR="001D0FAD" w:rsidRPr="00177822" w:rsidRDefault="007F3F72" w:rsidP="00D972F6">
            <w:pPr>
              <w:spacing w:line="240" w:lineRule="auto"/>
              <w:jc w:val="center"/>
              <w:rPr>
                <w:rFonts w:ascii="Franklin Gothic Medium" w:eastAsia="Times New Roman" w:hAnsi="Franklin Gothic Medium" w:cs="Calibri"/>
                <w:color w:val="000000"/>
                <w:sz w:val="20"/>
              </w:rPr>
            </w:pPr>
            <w:r>
              <w:rPr>
                <w:rFonts w:ascii="Franklin Gothic Medium" w:eastAsia="Times New Roman" w:hAnsi="Franklin Gothic Medium" w:cs="Calibri"/>
                <w:color w:val="000000"/>
                <w:sz w:val="20"/>
              </w:rPr>
              <w:t># of PCRs</w:t>
            </w:r>
          </w:p>
        </w:tc>
        <w:tc>
          <w:tcPr>
            <w:tcW w:w="1170" w:type="dxa"/>
            <w:tcBorders>
              <w:left w:val="nil"/>
              <w:bottom w:val="double" w:sz="6" w:space="0" w:color="auto"/>
              <w:right w:val="nil"/>
            </w:tcBorders>
            <w:shd w:val="clear" w:color="000000" w:fill="DFD8E8"/>
            <w:noWrap/>
            <w:vAlign w:val="bottom"/>
            <w:hideMark/>
          </w:tcPr>
          <w:p w14:paraId="4190CD4C"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Pr>
                <w:rFonts w:ascii="Franklin Gothic Medium" w:hAnsi="Franklin Gothic Medium" w:cstheme="minorHAnsi"/>
                <w:sz w:val="20"/>
              </w:rPr>
              <w:t>Outcomes</w:t>
            </w:r>
          </w:p>
        </w:tc>
        <w:tc>
          <w:tcPr>
            <w:tcW w:w="990" w:type="dxa"/>
            <w:tcBorders>
              <w:left w:val="nil"/>
              <w:bottom w:val="double" w:sz="6" w:space="0" w:color="auto"/>
              <w:right w:val="single" w:sz="4" w:space="0" w:color="auto"/>
            </w:tcBorders>
            <w:shd w:val="clear" w:color="000000" w:fill="DFD8E8"/>
            <w:noWrap/>
            <w:vAlign w:val="bottom"/>
            <w:hideMark/>
          </w:tcPr>
          <w:p w14:paraId="6B20C090"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Pr>
                <w:rFonts w:ascii="Franklin Gothic Medium" w:hAnsi="Franklin Gothic Medium" w:cstheme="minorHAnsi"/>
                <w:sz w:val="20"/>
              </w:rPr>
              <w:t>Supports</w:t>
            </w:r>
          </w:p>
        </w:tc>
      </w:tr>
      <w:tr w:rsidR="00D708A3" w:rsidRPr="00D25CDD" w14:paraId="5DC8C565" w14:textId="77777777" w:rsidTr="00887794">
        <w:trPr>
          <w:trHeight w:val="287"/>
          <w:jc w:val="center"/>
        </w:trPr>
        <w:tc>
          <w:tcPr>
            <w:tcW w:w="1260" w:type="dxa"/>
            <w:tcBorders>
              <w:top w:val="nil"/>
              <w:left w:val="single" w:sz="4" w:space="0" w:color="auto"/>
              <w:bottom w:val="single" w:sz="8" w:space="0" w:color="9F8AB9"/>
              <w:right w:val="nil"/>
            </w:tcBorders>
            <w:shd w:val="clear" w:color="auto" w:fill="auto"/>
            <w:noWrap/>
            <w:vAlign w:val="bottom"/>
            <w:hideMark/>
          </w:tcPr>
          <w:p w14:paraId="1F258B7C"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Northwest</w:t>
            </w:r>
          </w:p>
        </w:tc>
        <w:tc>
          <w:tcPr>
            <w:tcW w:w="671" w:type="dxa"/>
            <w:tcBorders>
              <w:top w:val="nil"/>
              <w:left w:val="single" w:sz="8" w:space="0" w:color="9F8AB9"/>
              <w:bottom w:val="single" w:sz="8" w:space="0" w:color="9F8AB9"/>
              <w:right w:val="nil"/>
            </w:tcBorders>
            <w:shd w:val="clear" w:color="auto" w:fill="auto"/>
            <w:noWrap/>
            <w:vAlign w:val="bottom"/>
            <w:hideMark/>
          </w:tcPr>
          <w:p w14:paraId="7E64CF16" w14:textId="2D7DA515"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32</w:t>
            </w:r>
          </w:p>
        </w:tc>
        <w:tc>
          <w:tcPr>
            <w:tcW w:w="1378" w:type="dxa"/>
            <w:tcBorders>
              <w:top w:val="nil"/>
              <w:left w:val="nil"/>
              <w:bottom w:val="single" w:sz="8" w:space="0" w:color="9F8AB9"/>
              <w:right w:val="nil"/>
            </w:tcBorders>
            <w:shd w:val="clear" w:color="auto" w:fill="auto"/>
            <w:noWrap/>
            <w:vAlign w:val="bottom"/>
            <w:hideMark/>
          </w:tcPr>
          <w:p w14:paraId="7C698449" w14:textId="494041DC"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91.8%</w:t>
            </w:r>
          </w:p>
        </w:tc>
        <w:tc>
          <w:tcPr>
            <w:tcW w:w="1006" w:type="dxa"/>
            <w:tcBorders>
              <w:top w:val="nil"/>
              <w:left w:val="nil"/>
              <w:bottom w:val="single" w:sz="8" w:space="0" w:color="9F8AB9"/>
              <w:right w:val="nil"/>
            </w:tcBorders>
            <w:shd w:val="clear" w:color="auto" w:fill="auto"/>
            <w:noWrap/>
            <w:vAlign w:val="bottom"/>
            <w:hideMark/>
          </w:tcPr>
          <w:p w14:paraId="7704EA1D" w14:textId="3AA6BC1E"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97.6%</w:t>
            </w:r>
          </w:p>
        </w:tc>
        <w:tc>
          <w:tcPr>
            <w:tcW w:w="720" w:type="dxa"/>
            <w:tcBorders>
              <w:top w:val="nil"/>
              <w:left w:val="single" w:sz="8" w:space="0" w:color="9F8AB9"/>
              <w:bottom w:val="single" w:sz="8" w:space="0" w:color="9F8AB9"/>
              <w:right w:val="nil"/>
            </w:tcBorders>
            <w:shd w:val="clear" w:color="auto" w:fill="auto"/>
            <w:noWrap/>
            <w:vAlign w:val="bottom"/>
            <w:hideMark/>
          </w:tcPr>
          <w:p w14:paraId="129655A5" w14:textId="094275E3"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2</w:t>
            </w:r>
          </w:p>
        </w:tc>
        <w:tc>
          <w:tcPr>
            <w:tcW w:w="1170" w:type="dxa"/>
            <w:tcBorders>
              <w:top w:val="nil"/>
              <w:left w:val="nil"/>
              <w:bottom w:val="single" w:sz="8" w:space="0" w:color="9F8AB9"/>
              <w:right w:val="nil"/>
            </w:tcBorders>
            <w:shd w:val="clear" w:color="auto" w:fill="auto"/>
            <w:noWrap/>
            <w:vAlign w:val="bottom"/>
            <w:hideMark/>
          </w:tcPr>
          <w:p w14:paraId="2C605F34" w14:textId="65F338A5"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94.7%</w:t>
            </w:r>
          </w:p>
        </w:tc>
        <w:tc>
          <w:tcPr>
            <w:tcW w:w="990" w:type="dxa"/>
            <w:tcBorders>
              <w:top w:val="nil"/>
              <w:left w:val="nil"/>
              <w:bottom w:val="single" w:sz="8" w:space="0" w:color="9F8AB9"/>
              <w:right w:val="single" w:sz="4" w:space="0" w:color="auto"/>
            </w:tcBorders>
            <w:shd w:val="clear" w:color="auto" w:fill="auto"/>
            <w:noWrap/>
            <w:vAlign w:val="bottom"/>
            <w:hideMark/>
          </w:tcPr>
          <w:p w14:paraId="08311394" w14:textId="72480E6D"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96.8%</w:t>
            </w:r>
          </w:p>
        </w:tc>
      </w:tr>
      <w:tr w:rsidR="00D708A3" w:rsidRPr="00D25CDD" w14:paraId="14A2BB79" w14:textId="77777777" w:rsidTr="00887794">
        <w:trPr>
          <w:trHeight w:val="273"/>
          <w:jc w:val="center"/>
        </w:trPr>
        <w:tc>
          <w:tcPr>
            <w:tcW w:w="1260" w:type="dxa"/>
            <w:tcBorders>
              <w:top w:val="nil"/>
              <w:left w:val="single" w:sz="4" w:space="0" w:color="auto"/>
              <w:bottom w:val="single" w:sz="8" w:space="0" w:color="9F8AB9"/>
              <w:right w:val="nil"/>
            </w:tcBorders>
            <w:shd w:val="clear" w:color="000000" w:fill="DFD8E8"/>
            <w:noWrap/>
            <w:vAlign w:val="bottom"/>
            <w:hideMark/>
          </w:tcPr>
          <w:p w14:paraId="7A49891B"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Northeast</w:t>
            </w:r>
          </w:p>
        </w:tc>
        <w:tc>
          <w:tcPr>
            <w:tcW w:w="671" w:type="dxa"/>
            <w:tcBorders>
              <w:top w:val="nil"/>
              <w:left w:val="single" w:sz="8" w:space="0" w:color="9F8AB9"/>
              <w:bottom w:val="single" w:sz="8" w:space="0" w:color="9F8AB9"/>
              <w:right w:val="nil"/>
            </w:tcBorders>
            <w:shd w:val="clear" w:color="000000" w:fill="DFD8E8"/>
            <w:noWrap/>
            <w:vAlign w:val="bottom"/>
            <w:hideMark/>
          </w:tcPr>
          <w:p w14:paraId="721DD3B5" w14:textId="652EBE0A"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118</w:t>
            </w:r>
          </w:p>
        </w:tc>
        <w:tc>
          <w:tcPr>
            <w:tcW w:w="1378" w:type="dxa"/>
            <w:tcBorders>
              <w:top w:val="nil"/>
              <w:left w:val="nil"/>
              <w:bottom w:val="single" w:sz="8" w:space="0" w:color="9F8AB9"/>
              <w:right w:val="nil"/>
            </w:tcBorders>
            <w:shd w:val="clear" w:color="000000" w:fill="DFD8E8"/>
            <w:noWrap/>
            <w:vAlign w:val="bottom"/>
            <w:hideMark/>
          </w:tcPr>
          <w:p w14:paraId="7D4FAD2D" w14:textId="696A644D"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96.6%</w:t>
            </w:r>
          </w:p>
        </w:tc>
        <w:tc>
          <w:tcPr>
            <w:tcW w:w="1006" w:type="dxa"/>
            <w:tcBorders>
              <w:top w:val="nil"/>
              <w:left w:val="nil"/>
              <w:bottom w:val="single" w:sz="8" w:space="0" w:color="9F8AB9"/>
              <w:right w:val="nil"/>
            </w:tcBorders>
            <w:shd w:val="clear" w:color="000000" w:fill="DFD8E8"/>
            <w:noWrap/>
            <w:vAlign w:val="bottom"/>
            <w:hideMark/>
          </w:tcPr>
          <w:p w14:paraId="74B3A33C" w14:textId="0107965B"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99.1%</w:t>
            </w:r>
          </w:p>
        </w:tc>
        <w:tc>
          <w:tcPr>
            <w:tcW w:w="720" w:type="dxa"/>
            <w:tcBorders>
              <w:top w:val="nil"/>
              <w:left w:val="single" w:sz="8" w:space="0" w:color="9F8AB9"/>
              <w:bottom w:val="single" w:sz="8" w:space="0" w:color="9F8AB9"/>
              <w:right w:val="nil"/>
            </w:tcBorders>
            <w:shd w:val="clear" w:color="000000" w:fill="DFD8E8"/>
            <w:noWrap/>
            <w:vAlign w:val="bottom"/>
            <w:hideMark/>
          </w:tcPr>
          <w:p w14:paraId="2A8A39CC" w14:textId="092D5AE2"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18</w:t>
            </w:r>
          </w:p>
        </w:tc>
        <w:tc>
          <w:tcPr>
            <w:tcW w:w="1170" w:type="dxa"/>
            <w:tcBorders>
              <w:top w:val="nil"/>
              <w:left w:val="nil"/>
              <w:bottom w:val="single" w:sz="8" w:space="0" w:color="9F8AB9"/>
              <w:right w:val="nil"/>
            </w:tcBorders>
            <w:shd w:val="clear" w:color="000000" w:fill="DFD8E8"/>
            <w:noWrap/>
            <w:vAlign w:val="bottom"/>
            <w:hideMark/>
          </w:tcPr>
          <w:p w14:paraId="13D80A79" w14:textId="2C4F40C2"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98.0%</w:t>
            </w:r>
          </w:p>
        </w:tc>
        <w:tc>
          <w:tcPr>
            <w:tcW w:w="990" w:type="dxa"/>
            <w:tcBorders>
              <w:top w:val="nil"/>
              <w:left w:val="nil"/>
              <w:bottom w:val="single" w:sz="8" w:space="0" w:color="9F8AB9"/>
              <w:right w:val="single" w:sz="4" w:space="0" w:color="auto"/>
            </w:tcBorders>
            <w:shd w:val="clear" w:color="000000" w:fill="DFD8E8"/>
            <w:noWrap/>
            <w:vAlign w:val="bottom"/>
            <w:hideMark/>
          </w:tcPr>
          <w:p w14:paraId="621682BF" w14:textId="3D39E397"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100.0%</w:t>
            </w:r>
          </w:p>
        </w:tc>
      </w:tr>
      <w:tr w:rsidR="00D708A3" w:rsidRPr="00D25CDD" w14:paraId="7CAB29A9" w14:textId="77777777" w:rsidTr="00887794">
        <w:trPr>
          <w:trHeight w:val="273"/>
          <w:jc w:val="center"/>
        </w:trPr>
        <w:tc>
          <w:tcPr>
            <w:tcW w:w="1260" w:type="dxa"/>
            <w:tcBorders>
              <w:top w:val="nil"/>
              <w:left w:val="single" w:sz="4" w:space="0" w:color="auto"/>
              <w:bottom w:val="single" w:sz="8" w:space="0" w:color="9F8AB9"/>
              <w:right w:val="nil"/>
            </w:tcBorders>
            <w:shd w:val="clear" w:color="auto" w:fill="auto"/>
            <w:noWrap/>
            <w:vAlign w:val="bottom"/>
            <w:hideMark/>
          </w:tcPr>
          <w:p w14:paraId="41FEBB84"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Central</w:t>
            </w:r>
          </w:p>
        </w:tc>
        <w:tc>
          <w:tcPr>
            <w:tcW w:w="671" w:type="dxa"/>
            <w:tcBorders>
              <w:top w:val="nil"/>
              <w:left w:val="single" w:sz="8" w:space="0" w:color="9F8AB9"/>
              <w:bottom w:val="single" w:sz="8" w:space="0" w:color="9F8AB9"/>
              <w:right w:val="nil"/>
            </w:tcBorders>
            <w:shd w:val="clear" w:color="auto" w:fill="auto"/>
            <w:noWrap/>
            <w:vAlign w:val="bottom"/>
            <w:hideMark/>
          </w:tcPr>
          <w:p w14:paraId="646C9762" w14:textId="4A27CCBA"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93</w:t>
            </w:r>
          </w:p>
        </w:tc>
        <w:tc>
          <w:tcPr>
            <w:tcW w:w="1378" w:type="dxa"/>
            <w:tcBorders>
              <w:top w:val="nil"/>
              <w:left w:val="nil"/>
              <w:bottom w:val="single" w:sz="8" w:space="0" w:color="9F8AB9"/>
              <w:right w:val="nil"/>
            </w:tcBorders>
            <w:shd w:val="clear" w:color="auto" w:fill="auto"/>
            <w:noWrap/>
            <w:vAlign w:val="bottom"/>
            <w:hideMark/>
          </w:tcPr>
          <w:p w14:paraId="34F8820A" w14:textId="2E4367CA"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86.8%</w:t>
            </w:r>
          </w:p>
        </w:tc>
        <w:tc>
          <w:tcPr>
            <w:tcW w:w="1006" w:type="dxa"/>
            <w:tcBorders>
              <w:top w:val="nil"/>
              <w:left w:val="nil"/>
              <w:bottom w:val="single" w:sz="8" w:space="0" w:color="9F8AB9"/>
              <w:right w:val="nil"/>
            </w:tcBorders>
            <w:shd w:val="clear" w:color="auto" w:fill="auto"/>
            <w:noWrap/>
            <w:vAlign w:val="bottom"/>
            <w:hideMark/>
          </w:tcPr>
          <w:p w14:paraId="3CA181A4" w14:textId="4EA29634"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94.0%</w:t>
            </w:r>
          </w:p>
        </w:tc>
        <w:tc>
          <w:tcPr>
            <w:tcW w:w="720" w:type="dxa"/>
            <w:tcBorders>
              <w:top w:val="nil"/>
              <w:left w:val="single" w:sz="8" w:space="0" w:color="9F8AB9"/>
              <w:bottom w:val="single" w:sz="8" w:space="0" w:color="9F8AB9"/>
              <w:right w:val="nil"/>
            </w:tcBorders>
            <w:shd w:val="clear" w:color="auto" w:fill="auto"/>
            <w:noWrap/>
            <w:vAlign w:val="bottom"/>
            <w:hideMark/>
          </w:tcPr>
          <w:p w14:paraId="1AF73969" w14:textId="3C73017D"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20</w:t>
            </w:r>
          </w:p>
        </w:tc>
        <w:tc>
          <w:tcPr>
            <w:tcW w:w="1170" w:type="dxa"/>
            <w:tcBorders>
              <w:top w:val="nil"/>
              <w:left w:val="nil"/>
              <w:bottom w:val="single" w:sz="8" w:space="0" w:color="9F8AB9"/>
              <w:right w:val="nil"/>
            </w:tcBorders>
            <w:shd w:val="clear" w:color="auto" w:fill="auto"/>
            <w:noWrap/>
            <w:vAlign w:val="bottom"/>
            <w:hideMark/>
          </w:tcPr>
          <w:p w14:paraId="196239E7" w14:textId="6936740E"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90.8%</w:t>
            </w:r>
          </w:p>
        </w:tc>
        <w:tc>
          <w:tcPr>
            <w:tcW w:w="990" w:type="dxa"/>
            <w:tcBorders>
              <w:top w:val="nil"/>
              <w:left w:val="nil"/>
              <w:bottom w:val="single" w:sz="8" w:space="0" w:color="9F8AB9"/>
              <w:right w:val="single" w:sz="4" w:space="0" w:color="auto"/>
            </w:tcBorders>
            <w:shd w:val="clear" w:color="auto" w:fill="auto"/>
            <w:noWrap/>
            <w:vAlign w:val="bottom"/>
            <w:hideMark/>
          </w:tcPr>
          <w:p w14:paraId="685414B4" w14:textId="06B52852"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98.4%</w:t>
            </w:r>
          </w:p>
        </w:tc>
      </w:tr>
      <w:tr w:rsidR="00D708A3" w:rsidRPr="00D25CDD" w14:paraId="6047A988" w14:textId="77777777" w:rsidTr="00887794">
        <w:trPr>
          <w:trHeight w:val="273"/>
          <w:jc w:val="center"/>
        </w:trPr>
        <w:tc>
          <w:tcPr>
            <w:tcW w:w="1260" w:type="dxa"/>
            <w:tcBorders>
              <w:top w:val="nil"/>
              <w:left w:val="single" w:sz="4" w:space="0" w:color="auto"/>
              <w:bottom w:val="single" w:sz="8" w:space="0" w:color="9F8AB9"/>
              <w:right w:val="nil"/>
            </w:tcBorders>
            <w:shd w:val="clear" w:color="000000" w:fill="DFD8E8"/>
            <w:noWrap/>
            <w:vAlign w:val="bottom"/>
            <w:hideMark/>
          </w:tcPr>
          <w:p w14:paraId="4D6A244A"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Suncoast</w:t>
            </w:r>
          </w:p>
        </w:tc>
        <w:tc>
          <w:tcPr>
            <w:tcW w:w="671" w:type="dxa"/>
            <w:tcBorders>
              <w:top w:val="nil"/>
              <w:left w:val="single" w:sz="8" w:space="0" w:color="9F8AB9"/>
              <w:bottom w:val="single" w:sz="8" w:space="0" w:color="9F8AB9"/>
              <w:right w:val="nil"/>
            </w:tcBorders>
            <w:shd w:val="clear" w:color="000000" w:fill="DFD8E8"/>
            <w:noWrap/>
            <w:vAlign w:val="bottom"/>
            <w:hideMark/>
          </w:tcPr>
          <w:p w14:paraId="7BFF1A4C" w14:textId="544722A9"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127</w:t>
            </w:r>
          </w:p>
        </w:tc>
        <w:tc>
          <w:tcPr>
            <w:tcW w:w="1378" w:type="dxa"/>
            <w:tcBorders>
              <w:top w:val="nil"/>
              <w:left w:val="nil"/>
              <w:bottom w:val="single" w:sz="8" w:space="0" w:color="9F8AB9"/>
              <w:right w:val="nil"/>
            </w:tcBorders>
            <w:shd w:val="clear" w:color="000000" w:fill="DFD8E8"/>
            <w:noWrap/>
            <w:vAlign w:val="bottom"/>
            <w:hideMark/>
          </w:tcPr>
          <w:p w14:paraId="04A0D9A3" w14:textId="3254F262"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88.2%</w:t>
            </w:r>
          </w:p>
        </w:tc>
        <w:tc>
          <w:tcPr>
            <w:tcW w:w="1006" w:type="dxa"/>
            <w:tcBorders>
              <w:top w:val="nil"/>
              <w:left w:val="nil"/>
              <w:bottom w:val="single" w:sz="8" w:space="0" w:color="9F8AB9"/>
              <w:right w:val="nil"/>
            </w:tcBorders>
            <w:shd w:val="clear" w:color="000000" w:fill="DFD8E8"/>
            <w:noWrap/>
            <w:vAlign w:val="bottom"/>
            <w:hideMark/>
          </w:tcPr>
          <w:p w14:paraId="29C9F7CA" w14:textId="51B42009"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98.4%</w:t>
            </w:r>
          </w:p>
        </w:tc>
        <w:tc>
          <w:tcPr>
            <w:tcW w:w="720" w:type="dxa"/>
            <w:tcBorders>
              <w:top w:val="nil"/>
              <w:left w:val="single" w:sz="8" w:space="0" w:color="9F8AB9"/>
              <w:bottom w:val="single" w:sz="8" w:space="0" w:color="9F8AB9"/>
              <w:right w:val="nil"/>
            </w:tcBorders>
            <w:shd w:val="clear" w:color="000000" w:fill="DFD8E8"/>
            <w:noWrap/>
            <w:vAlign w:val="bottom"/>
            <w:hideMark/>
          </w:tcPr>
          <w:p w14:paraId="4433D55A" w14:textId="4054EE57"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6</w:t>
            </w:r>
          </w:p>
        </w:tc>
        <w:tc>
          <w:tcPr>
            <w:tcW w:w="1170" w:type="dxa"/>
            <w:tcBorders>
              <w:top w:val="nil"/>
              <w:left w:val="nil"/>
              <w:bottom w:val="single" w:sz="8" w:space="0" w:color="9F8AB9"/>
              <w:right w:val="nil"/>
            </w:tcBorders>
            <w:shd w:val="clear" w:color="000000" w:fill="DFD8E8"/>
            <w:noWrap/>
            <w:vAlign w:val="bottom"/>
            <w:hideMark/>
          </w:tcPr>
          <w:p w14:paraId="138CB6CA" w14:textId="02E21A5D"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82.9%</w:t>
            </w:r>
          </w:p>
        </w:tc>
        <w:tc>
          <w:tcPr>
            <w:tcW w:w="990" w:type="dxa"/>
            <w:tcBorders>
              <w:top w:val="nil"/>
              <w:left w:val="nil"/>
              <w:bottom w:val="single" w:sz="8" w:space="0" w:color="9F8AB9"/>
              <w:right w:val="single" w:sz="4" w:space="0" w:color="auto"/>
            </w:tcBorders>
            <w:shd w:val="clear" w:color="000000" w:fill="DFD8E8"/>
            <w:noWrap/>
            <w:vAlign w:val="bottom"/>
            <w:hideMark/>
          </w:tcPr>
          <w:p w14:paraId="184D15BD" w14:textId="7D780AFA"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98.6%</w:t>
            </w:r>
          </w:p>
        </w:tc>
      </w:tr>
      <w:tr w:rsidR="00D708A3" w:rsidRPr="00D25CDD" w14:paraId="7320A125" w14:textId="77777777" w:rsidTr="00887794">
        <w:trPr>
          <w:trHeight w:val="273"/>
          <w:jc w:val="center"/>
        </w:trPr>
        <w:tc>
          <w:tcPr>
            <w:tcW w:w="1260" w:type="dxa"/>
            <w:tcBorders>
              <w:top w:val="nil"/>
              <w:left w:val="single" w:sz="4" w:space="0" w:color="auto"/>
              <w:bottom w:val="single" w:sz="8" w:space="0" w:color="9F8AB9"/>
              <w:right w:val="nil"/>
            </w:tcBorders>
            <w:shd w:val="clear" w:color="auto" w:fill="auto"/>
            <w:noWrap/>
            <w:vAlign w:val="bottom"/>
            <w:hideMark/>
          </w:tcPr>
          <w:p w14:paraId="383FB740"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Southeast</w:t>
            </w:r>
          </w:p>
        </w:tc>
        <w:tc>
          <w:tcPr>
            <w:tcW w:w="671" w:type="dxa"/>
            <w:tcBorders>
              <w:top w:val="nil"/>
              <w:left w:val="single" w:sz="8" w:space="0" w:color="9F8AB9"/>
              <w:bottom w:val="single" w:sz="8" w:space="0" w:color="9F8AB9"/>
              <w:right w:val="nil"/>
            </w:tcBorders>
            <w:shd w:val="clear" w:color="auto" w:fill="auto"/>
            <w:noWrap/>
            <w:vAlign w:val="bottom"/>
            <w:hideMark/>
          </w:tcPr>
          <w:p w14:paraId="7F65DADA" w14:textId="2FF4E1B6"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159</w:t>
            </w:r>
          </w:p>
        </w:tc>
        <w:tc>
          <w:tcPr>
            <w:tcW w:w="1378" w:type="dxa"/>
            <w:tcBorders>
              <w:top w:val="nil"/>
              <w:left w:val="nil"/>
              <w:bottom w:val="single" w:sz="8" w:space="0" w:color="9F8AB9"/>
              <w:right w:val="nil"/>
            </w:tcBorders>
            <w:shd w:val="clear" w:color="auto" w:fill="auto"/>
            <w:noWrap/>
            <w:vAlign w:val="bottom"/>
            <w:hideMark/>
          </w:tcPr>
          <w:p w14:paraId="0189DDC7" w14:textId="0DEC9E6F"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86.7%</w:t>
            </w:r>
          </w:p>
        </w:tc>
        <w:tc>
          <w:tcPr>
            <w:tcW w:w="1006" w:type="dxa"/>
            <w:tcBorders>
              <w:top w:val="nil"/>
              <w:left w:val="nil"/>
              <w:bottom w:val="single" w:sz="8" w:space="0" w:color="9F8AB9"/>
              <w:right w:val="nil"/>
            </w:tcBorders>
            <w:shd w:val="clear" w:color="auto" w:fill="auto"/>
            <w:noWrap/>
            <w:vAlign w:val="bottom"/>
            <w:hideMark/>
          </w:tcPr>
          <w:p w14:paraId="210DC315" w14:textId="4F024E9D"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99.5%</w:t>
            </w:r>
          </w:p>
        </w:tc>
        <w:tc>
          <w:tcPr>
            <w:tcW w:w="720" w:type="dxa"/>
            <w:tcBorders>
              <w:top w:val="nil"/>
              <w:left w:val="single" w:sz="8" w:space="0" w:color="9F8AB9"/>
              <w:bottom w:val="single" w:sz="8" w:space="0" w:color="9F8AB9"/>
              <w:right w:val="nil"/>
            </w:tcBorders>
            <w:shd w:val="clear" w:color="auto" w:fill="auto"/>
            <w:noWrap/>
            <w:vAlign w:val="bottom"/>
            <w:hideMark/>
          </w:tcPr>
          <w:p w14:paraId="2801C16B" w14:textId="123D8BDE"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16</w:t>
            </w:r>
          </w:p>
        </w:tc>
        <w:tc>
          <w:tcPr>
            <w:tcW w:w="1170" w:type="dxa"/>
            <w:tcBorders>
              <w:top w:val="nil"/>
              <w:left w:val="nil"/>
              <w:bottom w:val="single" w:sz="8" w:space="0" w:color="9F8AB9"/>
              <w:right w:val="nil"/>
            </w:tcBorders>
            <w:shd w:val="clear" w:color="auto" w:fill="auto"/>
            <w:noWrap/>
            <w:vAlign w:val="bottom"/>
            <w:hideMark/>
          </w:tcPr>
          <w:p w14:paraId="6665DB1B" w14:textId="13C5A04F"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88.4%</w:t>
            </w:r>
          </w:p>
        </w:tc>
        <w:tc>
          <w:tcPr>
            <w:tcW w:w="990" w:type="dxa"/>
            <w:tcBorders>
              <w:top w:val="nil"/>
              <w:left w:val="nil"/>
              <w:bottom w:val="single" w:sz="8" w:space="0" w:color="9F8AB9"/>
              <w:right w:val="single" w:sz="4" w:space="0" w:color="auto"/>
            </w:tcBorders>
            <w:shd w:val="clear" w:color="auto" w:fill="auto"/>
            <w:noWrap/>
            <w:vAlign w:val="bottom"/>
            <w:hideMark/>
          </w:tcPr>
          <w:p w14:paraId="6C9389F6" w14:textId="6808D7E3"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100.0%</w:t>
            </w:r>
          </w:p>
        </w:tc>
      </w:tr>
      <w:tr w:rsidR="00D708A3" w:rsidRPr="00D25CDD" w14:paraId="3DADE43E" w14:textId="77777777" w:rsidTr="00887794">
        <w:trPr>
          <w:trHeight w:val="273"/>
          <w:jc w:val="center"/>
        </w:trPr>
        <w:tc>
          <w:tcPr>
            <w:tcW w:w="1260" w:type="dxa"/>
            <w:tcBorders>
              <w:top w:val="nil"/>
              <w:left w:val="single" w:sz="4" w:space="0" w:color="auto"/>
              <w:bottom w:val="double" w:sz="6" w:space="0" w:color="auto"/>
              <w:right w:val="nil"/>
            </w:tcBorders>
            <w:shd w:val="clear" w:color="000000" w:fill="DFD8E8"/>
            <w:noWrap/>
            <w:vAlign w:val="bottom"/>
            <w:hideMark/>
          </w:tcPr>
          <w:p w14:paraId="45D2EF2B"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Southern</w:t>
            </w:r>
          </w:p>
        </w:tc>
        <w:tc>
          <w:tcPr>
            <w:tcW w:w="671" w:type="dxa"/>
            <w:tcBorders>
              <w:top w:val="nil"/>
              <w:left w:val="single" w:sz="8" w:space="0" w:color="9F8AB9"/>
              <w:bottom w:val="double" w:sz="6" w:space="0" w:color="auto"/>
              <w:right w:val="nil"/>
            </w:tcBorders>
            <w:shd w:val="clear" w:color="000000" w:fill="DFD8E8"/>
            <w:noWrap/>
            <w:vAlign w:val="bottom"/>
            <w:hideMark/>
          </w:tcPr>
          <w:p w14:paraId="482E1FA9" w14:textId="3DC6346B" w:rsidR="00D708A3" w:rsidRPr="00D708A3" w:rsidRDefault="00D708A3" w:rsidP="00D708A3">
            <w:pPr>
              <w:spacing w:line="240" w:lineRule="auto"/>
              <w:jc w:val="center"/>
              <w:rPr>
                <w:rFonts w:asciiTheme="minorHAnsi" w:hAnsiTheme="minorHAnsi" w:cstheme="minorHAnsi"/>
                <w:sz w:val="20"/>
                <w:szCs w:val="20"/>
              </w:rPr>
            </w:pPr>
            <w:r w:rsidRPr="00D708A3">
              <w:rPr>
                <w:rFonts w:asciiTheme="minorHAnsi" w:hAnsiTheme="minorHAnsi" w:cstheme="minorHAnsi"/>
                <w:sz w:val="20"/>
                <w:szCs w:val="20"/>
              </w:rPr>
              <w:t>73</w:t>
            </w:r>
          </w:p>
        </w:tc>
        <w:tc>
          <w:tcPr>
            <w:tcW w:w="1378" w:type="dxa"/>
            <w:tcBorders>
              <w:top w:val="nil"/>
              <w:left w:val="nil"/>
              <w:bottom w:val="double" w:sz="6" w:space="0" w:color="auto"/>
              <w:right w:val="nil"/>
            </w:tcBorders>
            <w:shd w:val="clear" w:color="000000" w:fill="DFD8E8"/>
            <w:noWrap/>
            <w:vAlign w:val="bottom"/>
            <w:hideMark/>
          </w:tcPr>
          <w:p w14:paraId="2C816479" w14:textId="4B020CF2"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87.3%</w:t>
            </w:r>
          </w:p>
        </w:tc>
        <w:tc>
          <w:tcPr>
            <w:tcW w:w="1006" w:type="dxa"/>
            <w:tcBorders>
              <w:top w:val="nil"/>
              <w:left w:val="nil"/>
              <w:bottom w:val="double" w:sz="6" w:space="0" w:color="auto"/>
              <w:right w:val="nil"/>
            </w:tcBorders>
            <w:shd w:val="clear" w:color="000000" w:fill="DFD8E8"/>
            <w:noWrap/>
            <w:vAlign w:val="bottom"/>
            <w:hideMark/>
          </w:tcPr>
          <w:p w14:paraId="7AF833C5" w14:textId="2108FB53"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97.0%</w:t>
            </w:r>
          </w:p>
        </w:tc>
        <w:tc>
          <w:tcPr>
            <w:tcW w:w="720" w:type="dxa"/>
            <w:tcBorders>
              <w:top w:val="nil"/>
              <w:left w:val="single" w:sz="8" w:space="0" w:color="9F8AB9"/>
              <w:bottom w:val="double" w:sz="6" w:space="0" w:color="auto"/>
              <w:right w:val="nil"/>
            </w:tcBorders>
            <w:shd w:val="clear" w:color="000000" w:fill="DFD8E8"/>
            <w:noWrap/>
            <w:vAlign w:val="bottom"/>
            <w:hideMark/>
          </w:tcPr>
          <w:p w14:paraId="1EE70727" w14:textId="450FD217" w:rsidR="00D708A3" w:rsidRPr="00D708A3" w:rsidRDefault="00D708A3" w:rsidP="00D708A3">
            <w:pPr>
              <w:spacing w:line="240" w:lineRule="auto"/>
              <w:jc w:val="center"/>
              <w:rPr>
                <w:rFonts w:asciiTheme="minorHAnsi" w:eastAsia="Times New Roman" w:hAnsiTheme="minorHAnsi" w:cstheme="minorHAnsi"/>
                <w:bCs/>
                <w:color w:val="000000"/>
                <w:sz w:val="20"/>
                <w:szCs w:val="20"/>
              </w:rPr>
            </w:pPr>
            <w:r w:rsidRPr="00D708A3">
              <w:rPr>
                <w:rFonts w:asciiTheme="minorHAnsi" w:hAnsiTheme="minorHAnsi" w:cstheme="minorHAnsi"/>
                <w:sz w:val="20"/>
                <w:szCs w:val="20"/>
              </w:rPr>
              <w:t>10</w:t>
            </w:r>
          </w:p>
        </w:tc>
        <w:tc>
          <w:tcPr>
            <w:tcW w:w="1170" w:type="dxa"/>
            <w:tcBorders>
              <w:top w:val="nil"/>
              <w:left w:val="nil"/>
              <w:bottom w:val="double" w:sz="6" w:space="0" w:color="auto"/>
              <w:right w:val="nil"/>
            </w:tcBorders>
            <w:shd w:val="clear" w:color="000000" w:fill="DFD8E8"/>
            <w:noWrap/>
            <w:vAlign w:val="bottom"/>
            <w:hideMark/>
          </w:tcPr>
          <w:p w14:paraId="200A1CF1" w14:textId="0F615FAB"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94.7%</w:t>
            </w:r>
          </w:p>
        </w:tc>
        <w:tc>
          <w:tcPr>
            <w:tcW w:w="990" w:type="dxa"/>
            <w:tcBorders>
              <w:top w:val="nil"/>
              <w:left w:val="nil"/>
              <w:bottom w:val="double" w:sz="6" w:space="0" w:color="auto"/>
              <w:right w:val="single" w:sz="4" w:space="0" w:color="auto"/>
            </w:tcBorders>
            <w:shd w:val="clear" w:color="000000" w:fill="DFD8E8"/>
            <w:noWrap/>
            <w:vAlign w:val="bottom"/>
            <w:hideMark/>
          </w:tcPr>
          <w:p w14:paraId="3F04FEC0" w14:textId="7EFB88A2" w:rsidR="00D708A3" w:rsidRPr="00D708A3" w:rsidRDefault="00D708A3" w:rsidP="00D708A3">
            <w:pPr>
              <w:spacing w:line="240" w:lineRule="auto"/>
              <w:jc w:val="center"/>
              <w:rPr>
                <w:rFonts w:asciiTheme="minorHAnsi" w:eastAsia="Times New Roman" w:hAnsiTheme="minorHAnsi" w:cstheme="minorHAnsi"/>
                <w:color w:val="000000"/>
                <w:sz w:val="20"/>
                <w:szCs w:val="20"/>
              </w:rPr>
            </w:pPr>
            <w:r w:rsidRPr="00D708A3">
              <w:rPr>
                <w:rFonts w:asciiTheme="minorHAnsi" w:hAnsiTheme="minorHAnsi" w:cstheme="minorHAnsi"/>
                <w:sz w:val="20"/>
                <w:szCs w:val="20"/>
              </w:rPr>
              <w:t>100.0%</w:t>
            </w:r>
          </w:p>
        </w:tc>
      </w:tr>
      <w:tr w:rsidR="00D708A3" w:rsidRPr="00D25CDD" w14:paraId="5962B84E" w14:textId="77777777" w:rsidTr="00887794">
        <w:trPr>
          <w:trHeight w:val="287"/>
          <w:jc w:val="center"/>
        </w:trPr>
        <w:tc>
          <w:tcPr>
            <w:tcW w:w="1260" w:type="dxa"/>
            <w:tcBorders>
              <w:top w:val="nil"/>
              <w:left w:val="single" w:sz="4" w:space="0" w:color="auto"/>
              <w:bottom w:val="single" w:sz="4" w:space="0" w:color="auto"/>
              <w:right w:val="nil"/>
            </w:tcBorders>
            <w:shd w:val="clear" w:color="auto" w:fill="auto"/>
            <w:noWrap/>
            <w:vAlign w:val="center"/>
            <w:hideMark/>
          </w:tcPr>
          <w:p w14:paraId="5319E5DB" w14:textId="77777777" w:rsidR="00D708A3" w:rsidRPr="00887794" w:rsidRDefault="00D708A3" w:rsidP="00D708A3">
            <w:pPr>
              <w:spacing w:line="240" w:lineRule="auto"/>
              <w:rPr>
                <w:rFonts w:ascii="Calibri" w:eastAsia="Times New Roman" w:hAnsi="Calibri" w:cs="Calibri"/>
                <w:b/>
                <w:bCs/>
                <w:color w:val="000000"/>
                <w:sz w:val="20"/>
              </w:rPr>
            </w:pPr>
            <w:r w:rsidRPr="00887794">
              <w:rPr>
                <w:rFonts w:ascii="Calibri" w:eastAsia="Times New Roman" w:hAnsi="Calibri" w:cs="Calibri"/>
                <w:b/>
                <w:bCs/>
                <w:color w:val="000000"/>
                <w:sz w:val="20"/>
              </w:rPr>
              <w:t>State</w:t>
            </w:r>
          </w:p>
        </w:tc>
        <w:tc>
          <w:tcPr>
            <w:tcW w:w="671" w:type="dxa"/>
            <w:tcBorders>
              <w:top w:val="nil"/>
              <w:left w:val="single" w:sz="8" w:space="0" w:color="9F8AB9"/>
              <w:bottom w:val="single" w:sz="4" w:space="0" w:color="auto"/>
              <w:right w:val="nil"/>
            </w:tcBorders>
            <w:shd w:val="clear" w:color="auto" w:fill="auto"/>
            <w:noWrap/>
            <w:vAlign w:val="bottom"/>
            <w:hideMark/>
          </w:tcPr>
          <w:p w14:paraId="2393D967" w14:textId="7DA61024" w:rsidR="00D708A3" w:rsidRPr="009C34B9" w:rsidRDefault="00D708A3" w:rsidP="00D708A3">
            <w:pPr>
              <w:spacing w:line="240" w:lineRule="auto"/>
              <w:jc w:val="center"/>
              <w:rPr>
                <w:rFonts w:asciiTheme="minorHAnsi" w:eastAsia="Times New Roman" w:hAnsiTheme="minorHAnsi" w:cstheme="minorHAnsi"/>
                <w:b/>
                <w:bCs/>
                <w:color w:val="000000"/>
                <w:sz w:val="20"/>
                <w:szCs w:val="20"/>
              </w:rPr>
            </w:pPr>
            <w:r>
              <w:rPr>
                <w:rFonts w:asciiTheme="minorHAnsi" w:eastAsia="Times New Roman" w:hAnsiTheme="minorHAnsi" w:cstheme="minorHAnsi"/>
                <w:b/>
                <w:bCs/>
                <w:color w:val="000000"/>
                <w:sz w:val="20"/>
                <w:szCs w:val="20"/>
              </w:rPr>
              <w:t>602</w:t>
            </w:r>
          </w:p>
        </w:tc>
        <w:tc>
          <w:tcPr>
            <w:tcW w:w="1378" w:type="dxa"/>
            <w:tcBorders>
              <w:top w:val="nil"/>
              <w:left w:val="nil"/>
              <w:bottom w:val="single" w:sz="4" w:space="0" w:color="auto"/>
              <w:right w:val="nil"/>
            </w:tcBorders>
            <w:shd w:val="clear" w:color="auto" w:fill="auto"/>
            <w:noWrap/>
            <w:vAlign w:val="bottom"/>
            <w:hideMark/>
          </w:tcPr>
          <w:p w14:paraId="7A080BE5" w14:textId="0547B6FE" w:rsidR="00D708A3" w:rsidRPr="00D708A3" w:rsidRDefault="00D708A3" w:rsidP="00D708A3">
            <w:pPr>
              <w:spacing w:line="240" w:lineRule="auto"/>
              <w:jc w:val="center"/>
              <w:rPr>
                <w:rFonts w:asciiTheme="minorHAnsi" w:eastAsia="Times New Roman" w:hAnsiTheme="minorHAnsi" w:cstheme="minorHAnsi"/>
                <w:b/>
                <w:color w:val="000000"/>
                <w:sz w:val="20"/>
                <w:szCs w:val="20"/>
              </w:rPr>
            </w:pPr>
            <w:r w:rsidRPr="00D708A3">
              <w:rPr>
                <w:b/>
                <w:sz w:val="20"/>
                <w:szCs w:val="20"/>
              </w:rPr>
              <w:t>89.3%</w:t>
            </w:r>
          </w:p>
        </w:tc>
        <w:tc>
          <w:tcPr>
            <w:tcW w:w="1006" w:type="dxa"/>
            <w:tcBorders>
              <w:top w:val="nil"/>
              <w:left w:val="nil"/>
              <w:bottom w:val="single" w:sz="4" w:space="0" w:color="auto"/>
              <w:right w:val="nil"/>
            </w:tcBorders>
            <w:shd w:val="clear" w:color="auto" w:fill="auto"/>
            <w:noWrap/>
            <w:vAlign w:val="bottom"/>
            <w:hideMark/>
          </w:tcPr>
          <w:p w14:paraId="21BD5B56" w14:textId="6477E898" w:rsidR="00D708A3" w:rsidRPr="00D708A3" w:rsidRDefault="00D708A3" w:rsidP="00D708A3">
            <w:pPr>
              <w:spacing w:line="240" w:lineRule="auto"/>
              <w:jc w:val="center"/>
              <w:rPr>
                <w:rFonts w:asciiTheme="minorHAnsi" w:eastAsia="Times New Roman" w:hAnsiTheme="minorHAnsi" w:cstheme="minorHAnsi"/>
                <w:b/>
                <w:color w:val="000000"/>
                <w:sz w:val="20"/>
                <w:szCs w:val="20"/>
              </w:rPr>
            </w:pPr>
            <w:r w:rsidRPr="00D708A3">
              <w:rPr>
                <w:b/>
                <w:sz w:val="20"/>
                <w:szCs w:val="20"/>
              </w:rPr>
              <w:t>97.9%</w:t>
            </w:r>
          </w:p>
        </w:tc>
        <w:tc>
          <w:tcPr>
            <w:tcW w:w="720" w:type="dxa"/>
            <w:tcBorders>
              <w:top w:val="nil"/>
              <w:left w:val="single" w:sz="8" w:space="0" w:color="9F8AB9"/>
              <w:bottom w:val="single" w:sz="4" w:space="0" w:color="auto"/>
              <w:right w:val="nil"/>
            </w:tcBorders>
            <w:shd w:val="clear" w:color="auto" w:fill="auto"/>
            <w:noWrap/>
            <w:vAlign w:val="bottom"/>
            <w:hideMark/>
          </w:tcPr>
          <w:p w14:paraId="7865B18E" w14:textId="64C98DF4" w:rsidR="00D708A3" w:rsidRPr="00D708A3" w:rsidRDefault="00D708A3" w:rsidP="00D708A3">
            <w:pPr>
              <w:spacing w:line="240" w:lineRule="auto"/>
              <w:jc w:val="center"/>
              <w:rPr>
                <w:rFonts w:asciiTheme="minorHAnsi" w:eastAsia="Times New Roman" w:hAnsiTheme="minorHAnsi" w:cstheme="minorHAnsi"/>
                <w:b/>
                <w:bCs/>
                <w:color w:val="000000"/>
                <w:sz w:val="20"/>
                <w:szCs w:val="20"/>
              </w:rPr>
            </w:pPr>
            <w:r w:rsidRPr="00D708A3">
              <w:rPr>
                <w:rFonts w:asciiTheme="minorHAnsi" w:eastAsia="Times New Roman" w:hAnsiTheme="minorHAnsi" w:cstheme="minorHAnsi"/>
                <w:b/>
                <w:bCs/>
                <w:color w:val="000000"/>
                <w:sz w:val="20"/>
                <w:szCs w:val="20"/>
              </w:rPr>
              <w:t>72</w:t>
            </w:r>
          </w:p>
        </w:tc>
        <w:tc>
          <w:tcPr>
            <w:tcW w:w="1170" w:type="dxa"/>
            <w:tcBorders>
              <w:top w:val="nil"/>
              <w:left w:val="nil"/>
              <w:bottom w:val="single" w:sz="4" w:space="0" w:color="auto"/>
              <w:right w:val="nil"/>
            </w:tcBorders>
            <w:shd w:val="clear" w:color="auto" w:fill="auto"/>
            <w:noWrap/>
            <w:vAlign w:val="bottom"/>
            <w:hideMark/>
          </w:tcPr>
          <w:p w14:paraId="70598114" w14:textId="5BD362D2" w:rsidR="00D708A3" w:rsidRPr="00D708A3" w:rsidRDefault="00D708A3" w:rsidP="00D708A3">
            <w:pPr>
              <w:spacing w:line="240" w:lineRule="auto"/>
              <w:jc w:val="center"/>
              <w:rPr>
                <w:rFonts w:asciiTheme="minorHAnsi" w:eastAsia="Times New Roman" w:hAnsiTheme="minorHAnsi" w:cstheme="minorHAnsi"/>
                <w:b/>
                <w:bCs/>
                <w:color w:val="000000"/>
                <w:sz w:val="20"/>
                <w:szCs w:val="20"/>
              </w:rPr>
            </w:pPr>
            <w:r w:rsidRPr="00D708A3">
              <w:rPr>
                <w:rFonts w:asciiTheme="minorHAnsi" w:hAnsiTheme="minorHAnsi" w:cstheme="minorHAnsi"/>
                <w:b/>
                <w:sz w:val="20"/>
                <w:szCs w:val="20"/>
              </w:rPr>
              <w:t>91.9%</w:t>
            </w:r>
          </w:p>
        </w:tc>
        <w:tc>
          <w:tcPr>
            <w:tcW w:w="990" w:type="dxa"/>
            <w:tcBorders>
              <w:top w:val="nil"/>
              <w:left w:val="nil"/>
              <w:bottom w:val="single" w:sz="4" w:space="0" w:color="auto"/>
              <w:right w:val="single" w:sz="4" w:space="0" w:color="auto"/>
            </w:tcBorders>
            <w:shd w:val="clear" w:color="auto" w:fill="auto"/>
            <w:noWrap/>
            <w:vAlign w:val="bottom"/>
            <w:hideMark/>
          </w:tcPr>
          <w:p w14:paraId="34B9DD12" w14:textId="540B66C6" w:rsidR="00D708A3" w:rsidRPr="00D708A3" w:rsidRDefault="00D708A3" w:rsidP="00D708A3">
            <w:pPr>
              <w:spacing w:line="240" w:lineRule="auto"/>
              <w:jc w:val="center"/>
              <w:rPr>
                <w:rFonts w:asciiTheme="minorHAnsi" w:eastAsia="Times New Roman" w:hAnsiTheme="minorHAnsi" w:cstheme="minorHAnsi"/>
                <w:b/>
                <w:bCs/>
                <w:color w:val="000000"/>
                <w:sz w:val="20"/>
                <w:szCs w:val="20"/>
              </w:rPr>
            </w:pPr>
            <w:r w:rsidRPr="00D708A3">
              <w:rPr>
                <w:rFonts w:asciiTheme="minorHAnsi" w:hAnsiTheme="minorHAnsi" w:cstheme="minorHAnsi"/>
                <w:b/>
                <w:sz w:val="20"/>
                <w:szCs w:val="20"/>
              </w:rPr>
              <w:t>99.3%</w:t>
            </w:r>
          </w:p>
        </w:tc>
      </w:tr>
    </w:tbl>
    <w:p w14:paraId="3994EF6A" w14:textId="3F414F10" w:rsidR="00956AE3" w:rsidRDefault="00956AE3" w:rsidP="00956AE3">
      <w:pPr>
        <w:spacing w:line="240" w:lineRule="auto"/>
        <w:jc w:val="center"/>
      </w:pPr>
    </w:p>
    <w:p w14:paraId="21B18BFA" w14:textId="77777777" w:rsidR="00956AE3" w:rsidRPr="006F44D8" w:rsidRDefault="00956AE3" w:rsidP="00956AE3">
      <w:pPr>
        <w:pStyle w:val="Heading4"/>
      </w:pPr>
      <w:r w:rsidRPr="006F44D8">
        <w:rPr>
          <w:rStyle w:val="Heading4Char"/>
          <w:b/>
        </w:rPr>
        <w:t>PCR My Life Interview by Life Area</w:t>
      </w:r>
    </w:p>
    <w:p w14:paraId="761193AC" w14:textId="606ABAFB" w:rsidR="00717003" w:rsidRDefault="00956AE3" w:rsidP="00956AE3">
      <w:r w:rsidRPr="004A7D8D">
        <w:t xml:space="preserve">The average MLI score for each Life Area is presented in Figure </w:t>
      </w:r>
      <w:r>
        <w:t>5</w:t>
      </w:r>
      <w:r w:rsidR="007A703C">
        <w:t>a for the Waiver and Figure 5b for CDC+,</w:t>
      </w:r>
      <w:r>
        <w:t xml:space="preserve"> </w:t>
      </w:r>
      <w:r w:rsidR="007A703C">
        <w:t xml:space="preserve">by outcomes and </w:t>
      </w:r>
      <w:r w:rsidR="007A703C" w:rsidRPr="00E73DD3">
        <w:t>supports</w:t>
      </w:r>
      <w:r w:rsidR="00791803" w:rsidRPr="00E73DD3">
        <w:t xml:space="preserve">. </w:t>
      </w:r>
      <w:r w:rsidRPr="00E73DD3">
        <w:t xml:space="preserve">Findings to date indicate individuals </w:t>
      </w:r>
      <w:r w:rsidR="004D6D5C" w:rsidRPr="00E73DD3">
        <w:t xml:space="preserve">receiving services </w:t>
      </w:r>
      <w:r w:rsidRPr="00E73DD3">
        <w:t xml:space="preserve">were supported across all life areas, </w:t>
      </w:r>
      <w:r w:rsidR="00C23AD9" w:rsidRPr="00E73DD3">
        <w:t>and</w:t>
      </w:r>
      <w:r w:rsidRPr="00E73DD3">
        <w:t xml:space="preserve"> were le</w:t>
      </w:r>
      <w:r w:rsidR="00C23AD9" w:rsidRPr="00E73DD3">
        <w:t>ast</w:t>
      </w:r>
      <w:r w:rsidRPr="00E73DD3">
        <w:t xml:space="preserve"> likely to meet outcomes related to </w:t>
      </w:r>
      <w:r w:rsidR="000C65DA" w:rsidRPr="00E73DD3">
        <w:t>safety for both the Waiver and CDC</w:t>
      </w:r>
      <w:r w:rsidR="00717003" w:rsidRPr="00E73DD3">
        <w:t>+</w:t>
      </w:r>
      <w:r w:rsidR="000C65DA" w:rsidRPr="00E73DD3">
        <w:t xml:space="preserve">. </w:t>
      </w:r>
      <w:r w:rsidR="00557F9D" w:rsidRPr="00E73DD3">
        <w:t xml:space="preserve"> People receiving </w:t>
      </w:r>
      <w:r w:rsidR="00557F9D" w:rsidRPr="00E73DD3">
        <w:lastRenderedPageBreak/>
        <w:t xml:space="preserve">services through the Waiver were also much less likely to have outcomes present </w:t>
      </w:r>
      <w:r w:rsidR="0095001A" w:rsidRPr="00E73DD3">
        <w:t xml:space="preserve">in areas of their social life, </w:t>
      </w:r>
      <w:r w:rsidR="00557F9D" w:rsidRPr="00E73DD3">
        <w:t>when</w:t>
      </w:r>
      <w:r w:rsidR="00EF75D4">
        <w:t xml:space="preserve"> compared to supports,</w:t>
      </w:r>
      <w:r w:rsidR="00557F9D">
        <w:t xml:space="preserve"> 84.6 percent and 97.5 percent respectively.</w:t>
      </w:r>
    </w:p>
    <w:p w14:paraId="03572515" w14:textId="6CF69C85" w:rsidR="00EA4F63" w:rsidRDefault="00EA4F63" w:rsidP="00956AE3"/>
    <w:p w14:paraId="01AF93C8" w14:textId="4971CC16" w:rsidR="00EA4F63" w:rsidRDefault="0078745D" w:rsidP="00EA4F63">
      <w:pPr>
        <w:spacing w:line="240" w:lineRule="auto"/>
      </w:pPr>
      <w:r>
        <w:rPr>
          <w:noProof/>
        </w:rPr>
        <w:drawing>
          <wp:anchor distT="0" distB="0" distL="114300" distR="114300" simplePos="0" relativeHeight="251672631" behindDoc="0" locked="0" layoutInCell="1" allowOverlap="1" wp14:anchorId="51ACD748" wp14:editId="14F004C1">
            <wp:simplePos x="0" y="0"/>
            <wp:positionH relativeFrom="column">
              <wp:posOffset>3138170</wp:posOffset>
            </wp:positionH>
            <wp:positionV relativeFrom="paragraph">
              <wp:posOffset>32441</wp:posOffset>
            </wp:positionV>
            <wp:extent cx="3247390" cy="3357245"/>
            <wp:effectExtent l="0" t="0" r="0" b="0"/>
            <wp:wrapSquare wrapText="bothSides"/>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607" behindDoc="0" locked="0" layoutInCell="1" allowOverlap="1" wp14:anchorId="4B4CAF1B" wp14:editId="146DA96D">
            <wp:simplePos x="0" y="0"/>
            <wp:positionH relativeFrom="margin">
              <wp:posOffset>-512445</wp:posOffset>
            </wp:positionH>
            <wp:positionV relativeFrom="paragraph">
              <wp:posOffset>117348</wp:posOffset>
            </wp:positionV>
            <wp:extent cx="3496310" cy="3225165"/>
            <wp:effectExtent l="0" t="0" r="8890" b="0"/>
            <wp:wrapSquare wrapText="bothSides"/>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2425638E" w14:textId="77777777" w:rsidR="0078745D" w:rsidRDefault="0078745D" w:rsidP="00956AE3"/>
    <w:p w14:paraId="4ADE3EFA" w14:textId="1C890615" w:rsidR="00956AE3" w:rsidRDefault="00956AE3" w:rsidP="00956AE3">
      <w:r w:rsidRPr="00633E38">
        <w:t>Analysis of the 2</w:t>
      </w:r>
      <w:r w:rsidR="008B5B9F" w:rsidRPr="00633E38">
        <w:t>6</w:t>
      </w:r>
      <w:r w:rsidRPr="00633E38">
        <w:t xml:space="preserve"> MLI indicators provides some insight into more specific data and reasons for My Life Area results. People receiving services through the </w:t>
      </w:r>
      <w:r w:rsidR="00992FDD" w:rsidRPr="00633E38">
        <w:t xml:space="preserve">iBudget </w:t>
      </w:r>
      <w:r w:rsidR="00FD02EE">
        <w:t>w</w:t>
      </w:r>
      <w:r w:rsidRPr="00633E38">
        <w:t>aiver programs (Waiver and CDC+) appear to be</w:t>
      </w:r>
      <w:r>
        <w:t xml:space="preserve"> well supported. For each waiver type</w:t>
      </w:r>
      <w:r w:rsidR="00C448EE">
        <w:t xml:space="preserve"> </w:t>
      </w:r>
      <w:r w:rsidRPr="0053749B">
        <w:t>all 2</w:t>
      </w:r>
      <w:r w:rsidR="008B5B9F">
        <w:t>6</w:t>
      </w:r>
      <w:r w:rsidRPr="0053749B">
        <w:t xml:space="preserve"> indicators measuring </w:t>
      </w:r>
      <w:r w:rsidR="00BA47F8">
        <w:t>s</w:t>
      </w:r>
      <w:r w:rsidRPr="0053749B">
        <w:t xml:space="preserve">upport scored </w:t>
      </w:r>
      <w:r w:rsidR="008B5B9F">
        <w:t>approximately 9</w:t>
      </w:r>
      <w:r w:rsidR="00BA47F8">
        <w:t>5</w:t>
      </w:r>
      <w:r w:rsidRPr="0053749B">
        <w:t xml:space="preserve"> percent or higher. However, several outcomes reflected a score of less </w:t>
      </w:r>
      <w:r w:rsidRPr="00540BE8">
        <w:t xml:space="preserve">than </w:t>
      </w:r>
      <w:r w:rsidR="00A04B9E">
        <w:t>9</w:t>
      </w:r>
      <w:r w:rsidR="00633E38" w:rsidRPr="00540BE8">
        <w:t>0</w:t>
      </w:r>
      <w:r w:rsidRPr="00540BE8">
        <w:t xml:space="preserve"> percent</w:t>
      </w:r>
      <w:r w:rsidRPr="0053749B">
        <w:t xml:space="preserve"> for individuals receiving services through the Waiver or </w:t>
      </w:r>
      <w:r w:rsidRPr="00DF60F8">
        <w:t>CDC+</w:t>
      </w:r>
      <w:r w:rsidR="00A04B9E">
        <w:t>, shown in Table 5</w:t>
      </w:r>
      <w:r w:rsidRPr="00DF60F8">
        <w:t xml:space="preserve">. </w:t>
      </w:r>
      <w:r w:rsidR="00B60835">
        <w:t>People receiving services through the system often indicated they did not understand their medication or what abuse, neglect or exploitation mean.</w:t>
      </w:r>
    </w:p>
    <w:p w14:paraId="746AB20D" w14:textId="2CE392E8" w:rsidR="00413F2A" w:rsidRDefault="00413F2A" w:rsidP="008547DF">
      <w:r>
        <w:t xml:space="preserve"> </w:t>
      </w:r>
    </w:p>
    <w:tbl>
      <w:tblPr>
        <w:tblW w:w="8840" w:type="dxa"/>
        <w:tblLook w:val="04A0" w:firstRow="1" w:lastRow="0" w:firstColumn="1" w:lastColumn="0" w:noHBand="0" w:noVBand="1"/>
      </w:tblPr>
      <w:tblGrid>
        <w:gridCol w:w="4860"/>
        <w:gridCol w:w="1087"/>
        <w:gridCol w:w="901"/>
        <w:gridCol w:w="1100"/>
        <w:gridCol w:w="960"/>
      </w:tblGrid>
      <w:tr w:rsidR="00A04B9E" w:rsidRPr="00A04B9E" w14:paraId="1008443C" w14:textId="77777777" w:rsidTr="00A04B9E">
        <w:trPr>
          <w:trHeight w:val="420"/>
          <w:tblHeader/>
        </w:trPr>
        <w:tc>
          <w:tcPr>
            <w:tcW w:w="8840" w:type="dxa"/>
            <w:gridSpan w:val="5"/>
            <w:tcBorders>
              <w:top w:val="single" w:sz="8" w:space="0" w:color="auto"/>
              <w:left w:val="single" w:sz="8" w:space="0" w:color="auto"/>
              <w:bottom w:val="single" w:sz="4" w:space="0" w:color="auto"/>
              <w:right w:val="single" w:sz="8" w:space="0" w:color="000000"/>
            </w:tcBorders>
            <w:shd w:val="clear" w:color="000000" w:fill="215967"/>
            <w:noWrap/>
            <w:vAlign w:val="bottom"/>
            <w:hideMark/>
          </w:tcPr>
          <w:p w14:paraId="0D40F51E" w14:textId="67A3AED9" w:rsidR="00A04B9E" w:rsidRPr="00A04B9E" w:rsidRDefault="00A04B9E" w:rsidP="00B053B9">
            <w:pPr>
              <w:spacing w:line="240" w:lineRule="auto"/>
              <w:jc w:val="center"/>
              <w:rPr>
                <w:rFonts w:ascii="Franklin Gothic Medium" w:eastAsia="Times New Roman" w:hAnsi="Franklin Gothic Medium" w:cs="Calibri"/>
                <w:color w:val="FFFFFF"/>
                <w:sz w:val="22"/>
              </w:rPr>
            </w:pPr>
            <w:r w:rsidRPr="00A04B9E">
              <w:rPr>
                <w:rFonts w:ascii="Franklin Gothic Medium" w:eastAsia="Times New Roman" w:hAnsi="Franklin Gothic Medium" w:cs="Calibri"/>
                <w:color w:val="FFFFFF"/>
                <w:sz w:val="22"/>
              </w:rPr>
              <w:t xml:space="preserve">Table 5.  Lowest Scoring (&lt;90%) Outcomes  (July - </w:t>
            </w:r>
            <w:r w:rsidR="00B053B9">
              <w:rPr>
                <w:rFonts w:ascii="Franklin Gothic Medium" w:eastAsia="Times New Roman" w:hAnsi="Franklin Gothic Medium" w:cs="Calibri"/>
                <w:color w:val="FFFFFF"/>
                <w:sz w:val="22"/>
              </w:rPr>
              <w:t>Decem</w:t>
            </w:r>
            <w:r w:rsidRPr="00A04B9E">
              <w:rPr>
                <w:rFonts w:ascii="Franklin Gothic Medium" w:eastAsia="Times New Roman" w:hAnsi="Franklin Gothic Medium" w:cs="Calibri"/>
                <w:color w:val="FFFFFF"/>
                <w:sz w:val="22"/>
              </w:rPr>
              <w:t>ber 2020)</w:t>
            </w:r>
          </w:p>
        </w:tc>
      </w:tr>
      <w:tr w:rsidR="00A04B9E" w:rsidRPr="00A04B9E" w14:paraId="730F2A18" w14:textId="77777777" w:rsidTr="00A04B9E">
        <w:trPr>
          <w:trHeight w:val="315"/>
          <w:tblHeader/>
        </w:trPr>
        <w:tc>
          <w:tcPr>
            <w:tcW w:w="4860" w:type="dxa"/>
            <w:tcBorders>
              <w:top w:val="single" w:sz="4" w:space="0" w:color="auto"/>
              <w:left w:val="single" w:sz="8" w:space="0" w:color="auto"/>
              <w:bottom w:val="single" w:sz="4" w:space="0" w:color="auto"/>
              <w:right w:val="nil"/>
            </w:tcBorders>
            <w:shd w:val="clear" w:color="000000" w:fill="215967"/>
            <w:noWrap/>
            <w:vAlign w:val="bottom"/>
            <w:hideMark/>
          </w:tcPr>
          <w:p w14:paraId="282E7E73" w14:textId="77777777" w:rsidR="00A04B9E" w:rsidRPr="00A04B9E" w:rsidRDefault="00A04B9E" w:rsidP="00A04B9E">
            <w:pPr>
              <w:spacing w:line="240" w:lineRule="auto"/>
              <w:rPr>
                <w:rFonts w:ascii="Calibri" w:eastAsia="Times New Roman" w:hAnsi="Calibri" w:cs="Calibri"/>
                <w:color w:val="FFFFFF"/>
                <w:sz w:val="22"/>
              </w:rPr>
            </w:pPr>
            <w:r w:rsidRPr="00A04B9E">
              <w:rPr>
                <w:rFonts w:ascii="Calibri" w:eastAsia="Times New Roman" w:hAnsi="Calibri" w:cs="Calibri"/>
                <w:color w:val="FFFFFF"/>
                <w:sz w:val="22"/>
              </w:rPr>
              <w:t> </w:t>
            </w:r>
          </w:p>
        </w:tc>
        <w:tc>
          <w:tcPr>
            <w:tcW w:w="1920" w:type="dxa"/>
            <w:gridSpan w:val="2"/>
            <w:tcBorders>
              <w:top w:val="single" w:sz="4" w:space="0" w:color="auto"/>
              <w:left w:val="nil"/>
              <w:bottom w:val="single" w:sz="4" w:space="0" w:color="auto"/>
              <w:right w:val="nil"/>
            </w:tcBorders>
            <w:shd w:val="clear" w:color="000000" w:fill="215967"/>
            <w:noWrap/>
            <w:vAlign w:val="bottom"/>
            <w:hideMark/>
          </w:tcPr>
          <w:p w14:paraId="1AB5D4A7" w14:textId="77777777" w:rsidR="00A04B9E" w:rsidRPr="00A04B9E" w:rsidRDefault="00A04B9E" w:rsidP="00A04B9E">
            <w:pPr>
              <w:spacing w:line="240" w:lineRule="auto"/>
              <w:jc w:val="center"/>
              <w:rPr>
                <w:rFonts w:ascii="Calibri" w:eastAsia="Times New Roman" w:hAnsi="Calibri" w:cs="Calibri"/>
                <w:b/>
                <w:bCs/>
                <w:color w:val="FFFFFF"/>
                <w:sz w:val="22"/>
              </w:rPr>
            </w:pPr>
            <w:r w:rsidRPr="00A04B9E">
              <w:rPr>
                <w:rFonts w:ascii="Calibri" w:eastAsia="Times New Roman" w:hAnsi="Calibri" w:cs="Calibri"/>
                <w:b/>
                <w:bCs/>
                <w:color w:val="FFFFFF"/>
                <w:sz w:val="22"/>
              </w:rPr>
              <w:t>Waiver</w:t>
            </w:r>
          </w:p>
        </w:tc>
        <w:tc>
          <w:tcPr>
            <w:tcW w:w="2060" w:type="dxa"/>
            <w:gridSpan w:val="2"/>
            <w:tcBorders>
              <w:top w:val="single" w:sz="4" w:space="0" w:color="auto"/>
              <w:left w:val="nil"/>
              <w:bottom w:val="single" w:sz="4" w:space="0" w:color="auto"/>
              <w:right w:val="single" w:sz="8" w:space="0" w:color="000000"/>
            </w:tcBorders>
            <w:shd w:val="clear" w:color="000000" w:fill="215967"/>
            <w:noWrap/>
            <w:vAlign w:val="bottom"/>
            <w:hideMark/>
          </w:tcPr>
          <w:p w14:paraId="4CABBA19" w14:textId="77777777" w:rsidR="00A04B9E" w:rsidRPr="00A04B9E" w:rsidRDefault="00A04B9E" w:rsidP="00A04B9E">
            <w:pPr>
              <w:spacing w:line="240" w:lineRule="auto"/>
              <w:jc w:val="center"/>
              <w:rPr>
                <w:rFonts w:ascii="Calibri" w:eastAsia="Times New Roman" w:hAnsi="Calibri" w:cs="Calibri"/>
                <w:b/>
                <w:bCs/>
                <w:color w:val="FFFFFF"/>
                <w:sz w:val="22"/>
              </w:rPr>
            </w:pPr>
            <w:r w:rsidRPr="00A04B9E">
              <w:rPr>
                <w:rFonts w:ascii="Calibri" w:eastAsia="Times New Roman" w:hAnsi="Calibri" w:cs="Calibri"/>
                <w:b/>
                <w:bCs/>
                <w:color w:val="FFFFFF"/>
                <w:sz w:val="22"/>
              </w:rPr>
              <w:t>CDC+</w:t>
            </w:r>
          </w:p>
        </w:tc>
      </w:tr>
      <w:tr w:rsidR="00A04B9E" w:rsidRPr="00A04B9E" w14:paraId="54868EF6" w14:textId="77777777" w:rsidTr="00EB29E8">
        <w:trPr>
          <w:trHeight w:val="539"/>
          <w:tblHeader/>
        </w:trPr>
        <w:tc>
          <w:tcPr>
            <w:tcW w:w="4860" w:type="dxa"/>
            <w:tcBorders>
              <w:top w:val="nil"/>
              <w:left w:val="single" w:sz="8" w:space="0" w:color="auto"/>
              <w:bottom w:val="single" w:sz="4" w:space="0" w:color="auto"/>
              <w:right w:val="nil"/>
            </w:tcBorders>
            <w:shd w:val="clear" w:color="auto" w:fill="FFE599" w:themeFill="accent4" w:themeFillTint="66"/>
            <w:noWrap/>
            <w:vAlign w:val="bottom"/>
            <w:hideMark/>
          </w:tcPr>
          <w:p w14:paraId="27CED2D5" w14:textId="77777777" w:rsidR="00A04B9E" w:rsidRPr="00A04B9E" w:rsidRDefault="00A04B9E" w:rsidP="00A04B9E">
            <w:pPr>
              <w:spacing w:line="240" w:lineRule="auto"/>
              <w:rPr>
                <w:rFonts w:ascii="Calibri" w:eastAsia="Times New Roman" w:hAnsi="Calibri" w:cs="Calibri"/>
                <w:color w:val="000000"/>
                <w:sz w:val="22"/>
              </w:rPr>
            </w:pPr>
            <w:r w:rsidRPr="00A04B9E">
              <w:rPr>
                <w:rFonts w:ascii="Calibri" w:eastAsia="Times New Roman" w:hAnsi="Calibri" w:cs="Calibri"/>
                <w:color w:val="000000"/>
                <w:sz w:val="22"/>
              </w:rPr>
              <w:t>Outcome</w:t>
            </w:r>
          </w:p>
        </w:tc>
        <w:tc>
          <w:tcPr>
            <w:tcW w:w="1060" w:type="dxa"/>
            <w:tcBorders>
              <w:top w:val="nil"/>
              <w:left w:val="nil"/>
              <w:bottom w:val="single" w:sz="4" w:space="0" w:color="auto"/>
              <w:right w:val="nil"/>
            </w:tcBorders>
            <w:shd w:val="clear" w:color="auto" w:fill="FFE599" w:themeFill="accent4" w:themeFillTint="66"/>
            <w:vAlign w:val="bottom"/>
            <w:hideMark/>
          </w:tcPr>
          <w:p w14:paraId="447AEF73" w14:textId="77777777" w:rsidR="00A04B9E" w:rsidRPr="00A04B9E" w:rsidRDefault="00A04B9E" w:rsidP="00A04B9E">
            <w:pPr>
              <w:spacing w:line="240" w:lineRule="auto"/>
              <w:jc w:val="center"/>
              <w:rPr>
                <w:rFonts w:ascii="Calibri" w:eastAsia="Times New Roman" w:hAnsi="Calibri" w:cs="Calibri"/>
                <w:color w:val="000000"/>
                <w:sz w:val="22"/>
              </w:rPr>
            </w:pPr>
            <w:r w:rsidRPr="00A04B9E">
              <w:rPr>
                <w:rFonts w:ascii="Calibri" w:eastAsia="Times New Roman" w:hAnsi="Calibri" w:cs="Calibri"/>
                <w:color w:val="000000"/>
                <w:sz w:val="22"/>
              </w:rPr>
              <w:t># Reviewed</w:t>
            </w:r>
          </w:p>
        </w:tc>
        <w:tc>
          <w:tcPr>
            <w:tcW w:w="860" w:type="dxa"/>
            <w:tcBorders>
              <w:top w:val="nil"/>
              <w:left w:val="nil"/>
              <w:bottom w:val="single" w:sz="4" w:space="0" w:color="auto"/>
              <w:right w:val="nil"/>
            </w:tcBorders>
            <w:shd w:val="clear" w:color="auto" w:fill="FFE599" w:themeFill="accent4" w:themeFillTint="66"/>
            <w:vAlign w:val="bottom"/>
            <w:hideMark/>
          </w:tcPr>
          <w:p w14:paraId="3B40DFDA" w14:textId="77777777" w:rsidR="00A04B9E" w:rsidRPr="00A04B9E" w:rsidRDefault="00A04B9E" w:rsidP="00A04B9E">
            <w:pPr>
              <w:spacing w:line="240" w:lineRule="auto"/>
              <w:jc w:val="center"/>
              <w:rPr>
                <w:rFonts w:ascii="Calibri" w:eastAsia="Times New Roman" w:hAnsi="Calibri" w:cs="Calibri"/>
                <w:color w:val="000000"/>
                <w:sz w:val="22"/>
              </w:rPr>
            </w:pPr>
            <w:r w:rsidRPr="00A04B9E">
              <w:rPr>
                <w:rFonts w:ascii="Calibri" w:eastAsia="Times New Roman" w:hAnsi="Calibri" w:cs="Calibri"/>
                <w:color w:val="000000"/>
                <w:sz w:val="22"/>
              </w:rPr>
              <w:t>% Present</w:t>
            </w:r>
          </w:p>
        </w:tc>
        <w:tc>
          <w:tcPr>
            <w:tcW w:w="1100" w:type="dxa"/>
            <w:tcBorders>
              <w:top w:val="nil"/>
              <w:left w:val="nil"/>
              <w:bottom w:val="single" w:sz="4" w:space="0" w:color="auto"/>
              <w:right w:val="nil"/>
            </w:tcBorders>
            <w:shd w:val="clear" w:color="auto" w:fill="FFE599" w:themeFill="accent4" w:themeFillTint="66"/>
            <w:vAlign w:val="bottom"/>
            <w:hideMark/>
          </w:tcPr>
          <w:p w14:paraId="42D87634" w14:textId="77777777" w:rsidR="00A04B9E" w:rsidRPr="00A04B9E" w:rsidRDefault="00A04B9E" w:rsidP="00A04B9E">
            <w:pPr>
              <w:spacing w:line="240" w:lineRule="auto"/>
              <w:jc w:val="center"/>
              <w:rPr>
                <w:rFonts w:ascii="Calibri" w:eastAsia="Times New Roman" w:hAnsi="Calibri" w:cs="Calibri"/>
                <w:color w:val="000000"/>
                <w:sz w:val="22"/>
              </w:rPr>
            </w:pPr>
            <w:r w:rsidRPr="00A04B9E">
              <w:rPr>
                <w:rFonts w:ascii="Calibri" w:eastAsia="Times New Roman" w:hAnsi="Calibri" w:cs="Calibri"/>
                <w:color w:val="000000"/>
                <w:sz w:val="22"/>
              </w:rPr>
              <w:t># Reviewed</w:t>
            </w:r>
          </w:p>
        </w:tc>
        <w:tc>
          <w:tcPr>
            <w:tcW w:w="960" w:type="dxa"/>
            <w:tcBorders>
              <w:top w:val="nil"/>
              <w:left w:val="nil"/>
              <w:bottom w:val="single" w:sz="4" w:space="0" w:color="auto"/>
              <w:right w:val="single" w:sz="8" w:space="0" w:color="auto"/>
            </w:tcBorders>
            <w:shd w:val="clear" w:color="auto" w:fill="FFE599" w:themeFill="accent4" w:themeFillTint="66"/>
            <w:vAlign w:val="bottom"/>
            <w:hideMark/>
          </w:tcPr>
          <w:p w14:paraId="053B71BA" w14:textId="77777777" w:rsidR="00A04B9E" w:rsidRPr="00A04B9E" w:rsidRDefault="00A04B9E" w:rsidP="00A04B9E">
            <w:pPr>
              <w:spacing w:line="240" w:lineRule="auto"/>
              <w:jc w:val="center"/>
              <w:rPr>
                <w:rFonts w:ascii="Calibri" w:eastAsia="Times New Roman" w:hAnsi="Calibri" w:cs="Calibri"/>
                <w:color w:val="000000"/>
                <w:sz w:val="22"/>
              </w:rPr>
            </w:pPr>
            <w:r w:rsidRPr="00A04B9E">
              <w:rPr>
                <w:rFonts w:ascii="Calibri" w:eastAsia="Times New Roman" w:hAnsi="Calibri" w:cs="Calibri"/>
                <w:color w:val="000000"/>
                <w:sz w:val="22"/>
              </w:rPr>
              <w:t>% Present</w:t>
            </w:r>
          </w:p>
        </w:tc>
      </w:tr>
      <w:tr w:rsidR="00A04B9E" w:rsidRPr="00A04B9E" w14:paraId="66C34633" w14:textId="77777777" w:rsidTr="00EB29E8">
        <w:trPr>
          <w:trHeight w:val="251"/>
        </w:trPr>
        <w:tc>
          <w:tcPr>
            <w:tcW w:w="4860" w:type="dxa"/>
            <w:tcBorders>
              <w:top w:val="nil"/>
              <w:left w:val="single" w:sz="8" w:space="0" w:color="auto"/>
              <w:bottom w:val="single" w:sz="4" w:space="0" w:color="auto"/>
              <w:right w:val="nil"/>
            </w:tcBorders>
            <w:shd w:val="clear" w:color="auto" w:fill="auto"/>
            <w:vAlign w:val="bottom"/>
            <w:hideMark/>
          </w:tcPr>
          <w:p w14:paraId="49275B84"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understand my medications.</w:t>
            </w:r>
          </w:p>
        </w:tc>
        <w:tc>
          <w:tcPr>
            <w:tcW w:w="1060" w:type="dxa"/>
            <w:tcBorders>
              <w:top w:val="nil"/>
              <w:left w:val="nil"/>
              <w:bottom w:val="single" w:sz="4" w:space="0" w:color="auto"/>
              <w:right w:val="nil"/>
            </w:tcBorders>
            <w:shd w:val="clear" w:color="auto" w:fill="auto"/>
            <w:noWrap/>
            <w:vAlign w:val="bottom"/>
            <w:hideMark/>
          </w:tcPr>
          <w:p w14:paraId="05EEC33A"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496</w:t>
            </w:r>
          </w:p>
        </w:tc>
        <w:tc>
          <w:tcPr>
            <w:tcW w:w="860" w:type="dxa"/>
            <w:tcBorders>
              <w:top w:val="nil"/>
              <w:left w:val="nil"/>
              <w:bottom w:val="single" w:sz="4" w:space="0" w:color="auto"/>
              <w:right w:val="nil"/>
            </w:tcBorders>
            <w:shd w:val="clear" w:color="auto" w:fill="auto"/>
            <w:noWrap/>
            <w:vAlign w:val="bottom"/>
            <w:hideMark/>
          </w:tcPr>
          <w:p w14:paraId="33C44D9B"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60.9%</w:t>
            </w:r>
          </w:p>
        </w:tc>
        <w:tc>
          <w:tcPr>
            <w:tcW w:w="1100" w:type="dxa"/>
            <w:tcBorders>
              <w:top w:val="nil"/>
              <w:left w:val="nil"/>
              <w:bottom w:val="single" w:sz="4" w:space="0" w:color="auto"/>
              <w:right w:val="nil"/>
            </w:tcBorders>
            <w:shd w:val="clear" w:color="auto" w:fill="auto"/>
            <w:noWrap/>
            <w:vAlign w:val="bottom"/>
            <w:hideMark/>
          </w:tcPr>
          <w:p w14:paraId="0CE1FC5E"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54</w:t>
            </w:r>
          </w:p>
        </w:tc>
        <w:tc>
          <w:tcPr>
            <w:tcW w:w="960" w:type="dxa"/>
            <w:tcBorders>
              <w:top w:val="nil"/>
              <w:left w:val="nil"/>
              <w:bottom w:val="single" w:sz="4" w:space="0" w:color="auto"/>
              <w:right w:val="single" w:sz="8" w:space="0" w:color="auto"/>
            </w:tcBorders>
            <w:shd w:val="clear" w:color="auto" w:fill="auto"/>
            <w:noWrap/>
            <w:vAlign w:val="bottom"/>
            <w:hideMark/>
          </w:tcPr>
          <w:p w14:paraId="549B5972"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72.2%</w:t>
            </w:r>
          </w:p>
        </w:tc>
      </w:tr>
      <w:tr w:rsidR="00A04B9E" w:rsidRPr="00A04B9E" w14:paraId="218656D1" w14:textId="77777777" w:rsidTr="00A04B9E">
        <w:trPr>
          <w:trHeight w:val="503"/>
        </w:trPr>
        <w:tc>
          <w:tcPr>
            <w:tcW w:w="4860" w:type="dxa"/>
            <w:tcBorders>
              <w:top w:val="nil"/>
              <w:left w:val="single" w:sz="8" w:space="0" w:color="auto"/>
              <w:bottom w:val="single" w:sz="4" w:space="0" w:color="auto"/>
              <w:right w:val="nil"/>
            </w:tcBorders>
            <w:shd w:val="clear" w:color="auto" w:fill="auto"/>
            <w:vAlign w:val="bottom"/>
            <w:hideMark/>
          </w:tcPr>
          <w:p w14:paraId="6C68FFEC"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understand what abuse, neglect and exploitation (ANE) mean.</w:t>
            </w:r>
          </w:p>
        </w:tc>
        <w:tc>
          <w:tcPr>
            <w:tcW w:w="1060" w:type="dxa"/>
            <w:tcBorders>
              <w:top w:val="nil"/>
              <w:left w:val="nil"/>
              <w:bottom w:val="single" w:sz="4" w:space="0" w:color="auto"/>
              <w:right w:val="nil"/>
            </w:tcBorders>
            <w:shd w:val="clear" w:color="auto" w:fill="auto"/>
            <w:noWrap/>
            <w:vAlign w:val="center"/>
            <w:hideMark/>
          </w:tcPr>
          <w:p w14:paraId="132EE212"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548</w:t>
            </w:r>
          </w:p>
        </w:tc>
        <w:tc>
          <w:tcPr>
            <w:tcW w:w="860" w:type="dxa"/>
            <w:tcBorders>
              <w:top w:val="nil"/>
              <w:left w:val="nil"/>
              <w:bottom w:val="single" w:sz="4" w:space="0" w:color="auto"/>
              <w:right w:val="nil"/>
            </w:tcBorders>
            <w:shd w:val="clear" w:color="auto" w:fill="auto"/>
            <w:noWrap/>
            <w:vAlign w:val="center"/>
            <w:hideMark/>
          </w:tcPr>
          <w:p w14:paraId="08A37E38"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68.1%</w:t>
            </w:r>
          </w:p>
        </w:tc>
        <w:tc>
          <w:tcPr>
            <w:tcW w:w="1100" w:type="dxa"/>
            <w:tcBorders>
              <w:top w:val="nil"/>
              <w:left w:val="nil"/>
              <w:bottom w:val="single" w:sz="4" w:space="0" w:color="auto"/>
              <w:right w:val="nil"/>
            </w:tcBorders>
            <w:shd w:val="clear" w:color="auto" w:fill="auto"/>
            <w:noWrap/>
            <w:vAlign w:val="center"/>
            <w:hideMark/>
          </w:tcPr>
          <w:p w14:paraId="032DEE3C"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65</w:t>
            </w:r>
          </w:p>
        </w:tc>
        <w:tc>
          <w:tcPr>
            <w:tcW w:w="960" w:type="dxa"/>
            <w:tcBorders>
              <w:top w:val="nil"/>
              <w:left w:val="nil"/>
              <w:bottom w:val="single" w:sz="4" w:space="0" w:color="auto"/>
              <w:right w:val="single" w:sz="8" w:space="0" w:color="auto"/>
            </w:tcBorders>
            <w:shd w:val="clear" w:color="auto" w:fill="auto"/>
            <w:noWrap/>
            <w:vAlign w:val="center"/>
            <w:hideMark/>
          </w:tcPr>
          <w:p w14:paraId="141916A4"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61.5%</w:t>
            </w:r>
          </w:p>
        </w:tc>
      </w:tr>
      <w:tr w:rsidR="00A04B9E" w:rsidRPr="00A04B9E" w14:paraId="5729477F" w14:textId="77777777" w:rsidTr="00EB29E8">
        <w:trPr>
          <w:trHeight w:val="233"/>
        </w:trPr>
        <w:tc>
          <w:tcPr>
            <w:tcW w:w="4860" w:type="dxa"/>
            <w:tcBorders>
              <w:top w:val="nil"/>
              <w:left w:val="single" w:sz="8" w:space="0" w:color="auto"/>
              <w:bottom w:val="single" w:sz="4" w:space="0" w:color="auto"/>
              <w:right w:val="nil"/>
            </w:tcBorders>
            <w:shd w:val="clear" w:color="auto" w:fill="auto"/>
            <w:vAlign w:val="bottom"/>
            <w:hideMark/>
          </w:tcPr>
          <w:p w14:paraId="39BD541C"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am part of and participate in my community.</w:t>
            </w:r>
          </w:p>
        </w:tc>
        <w:tc>
          <w:tcPr>
            <w:tcW w:w="1060" w:type="dxa"/>
            <w:tcBorders>
              <w:top w:val="nil"/>
              <w:left w:val="nil"/>
              <w:bottom w:val="single" w:sz="4" w:space="0" w:color="auto"/>
              <w:right w:val="nil"/>
            </w:tcBorders>
            <w:shd w:val="clear" w:color="auto" w:fill="auto"/>
            <w:noWrap/>
            <w:vAlign w:val="bottom"/>
            <w:hideMark/>
          </w:tcPr>
          <w:p w14:paraId="2F509B40"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576</w:t>
            </w:r>
          </w:p>
        </w:tc>
        <w:tc>
          <w:tcPr>
            <w:tcW w:w="860" w:type="dxa"/>
            <w:tcBorders>
              <w:top w:val="nil"/>
              <w:left w:val="nil"/>
              <w:bottom w:val="single" w:sz="4" w:space="0" w:color="auto"/>
              <w:right w:val="nil"/>
            </w:tcBorders>
            <w:shd w:val="clear" w:color="auto" w:fill="auto"/>
            <w:noWrap/>
            <w:vAlign w:val="bottom"/>
            <w:hideMark/>
          </w:tcPr>
          <w:p w14:paraId="4260C15D"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74.8%</w:t>
            </w:r>
          </w:p>
        </w:tc>
        <w:tc>
          <w:tcPr>
            <w:tcW w:w="1100" w:type="dxa"/>
            <w:tcBorders>
              <w:top w:val="nil"/>
              <w:left w:val="nil"/>
              <w:bottom w:val="single" w:sz="4" w:space="0" w:color="auto"/>
              <w:right w:val="nil"/>
            </w:tcBorders>
            <w:shd w:val="clear" w:color="auto" w:fill="auto"/>
            <w:noWrap/>
            <w:vAlign w:val="bottom"/>
            <w:hideMark/>
          </w:tcPr>
          <w:p w14:paraId="14E6E1D5"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70</w:t>
            </w:r>
          </w:p>
        </w:tc>
        <w:tc>
          <w:tcPr>
            <w:tcW w:w="960" w:type="dxa"/>
            <w:tcBorders>
              <w:top w:val="nil"/>
              <w:left w:val="nil"/>
              <w:bottom w:val="single" w:sz="4" w:space="0" w:color="auto"/>
              <w:right w:val="single" w:sz="8" w:space="0" w:color="auto"/>
            </w:tcBorders>
            <w:shd w:val="clear" w:color="auto" w:fill="auto"/>
            <w:noWrap/>
            <w:vAlign w:val="bottom"/>
            <w:hideMark/>
          </w:tcPr>
          <w:p w14:paraId="78726212"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85.7%</w:t>
            </w:r>
          </w:p>
        </w:tc>
      </w:tr>
      <w:tr w:rsidR="00A04B9E" w:rsidRPr="00A04B9E" w14:paraId="24AB5EA3" w14:textId="77777777" w:rsidTr="00A04B9E">
        <w:trPr>
          <w:trHeight w:val="260"/>
        </w:trPr>
        <w:tc>
          <w:tcPr>
            <w:tcW w:w="4860" w:type="dxa"/>
            <w:tcBorders>
              <w:top w:val="nil"/>
              <w:left w:val="single" w:sz="8" w:space="0" w:color="auto"/>
              <w:bottom w:val="single" w:sz="4" w:space="0" w:color="auto"/>
              <w:right w:val="nil"/>
            </w:tcBorders>
            <w:shd w:val="clear" w:color="auto" w:fill="auto"/>
            <w:vAlign w:val="bottom"/>
            <w:hideMark/>
          </w:tcPr>
          <w:p w14:paraId="65A8AFD2"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know what to do if ANE occurs.</w:t>
            </w:r>
          </w:p>
        </w:tc>
        <w:tc>
          <w:tcPr>
            <w:tcW w:w="1060" w:type="dxa"/>
            <w:tcBorders>
              <w:top w:val="nil"/>
              <w:left w:val="nil"/>
              <w:bottom w:val="single" w:sz="4" w:space="0" w:color="auto"/>
              <w:right w:val="nil"/>
            </w:tcBorders>
            <w:shd w:val="clear" w:color="auto" w:fill="auto"/>
            <w:noWrap/>
            <w:vAlign w:val="bottom"/>
            <w:hideMark/>
          </w:tcPr>
          <w:p w14:paraId="136DFF95"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552</w:t>
            </w:r>
          </w:p>
        </w:tc>
        <w:tc>
          <w:tcPr>
            <w:tcW w:w="860" w:type="dxa"/>
            <w:tcBorders>
              <w:top w:val="nil"/>
              <w:left w:val="nil"/>
              <w:bottom w:val="single" w:sz="4" w:space="0" w:color="auto"/>
              <w:right w:val="nil"/>
            </w:tcBorders>
            <w:shd w:val="clear" w:color="auto" w:fill="auto"/>
            <w:noWrap/>
            <w:vAlign w:val="bottom"/>
            <w:hideMark/>
          </w:tcPr>
          <w:p w14:paraId="7DF2A701"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76.1%</w:t>
            </w:r>
          </w:p>
        </w:tc>
        <w:tc>
          <w:tcPr>
            <w:tcW w:w="1100" w:type="dxa"/>
            <w:tcBorders>
              <w:top w:val="nil"/>
              <w:left w:val="nil"/>
              <w:bottom w:val="single" w:sz="4" w:space="0" w:color="auto"/>
              <w:right w:val="nil"/>
            </w:tcBorders>
            <w:shd w:val="clear" w:color="auto" w:fill="auto"/>
            <w:noWrap/>
            <w:vAlign w:val="bottom"/>
            <w:hideMark/>
          </w:tcPr>
          <w:p w14:paraId="60FDD430"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64</w:t>
            </w:r>
          </w:p>
        </w:tc>
        <w:tc>
          <w:tcPr>
            <w:tcW w:w="960" w:type="dxa"/>
            <w:tcBorders>
              <w:top w:val="nil"/>
              <w:left w:val="nil"/>
              <w:bottom w:val="single" w:sz="4" w:space="0" w:color="auto"/>
              <w:right w:val="single" w:sz="8" w:space="0" w:color="auto"/>
            </w:tcBorders>
            <w:shd w:val="clear" w:color="auto" w:fill="auto"/>
            <w:noWrap/>
            <w:vAlign w:val="bottom"/>
            <w:hideMark/>
          </w:tcPr>
          <w:p w14:paraId="04C214FA"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68.8%</w:t>
            </w:r>
          </w:p>
        </w:tc>
      </w:tr>
      <w:tr w:rsidR="00A04B9E" w:rsidRPr="00A04B9E" w14:paraId="5A001746" w14:textId="77777777" w:rsidTr="00A04B9E">
        <w:trPr>
          <w:trHeight w:val="521"/>
        </w:trPr>
        <w:tc>
          <w:tcPr>
            <w:tcW w:w="4860" w:type="dxa"/>
            <w:tcBorders>
              <w:top w:val="nil"/>
              <w:left w:val="single" w:sz="8" w:space="0" w:color="auto"/>
              <w:bottom w:val="single" w:sz="4" w:space="0" w:color="auto"/>
              <w:right w:val="nil"/>
            </w:tcBorders>
            <w:shd w:val="clear" w:color="auto" w:fill="auto"/>
            <w:vAlign w:val="bottom"/>
            <w:hideMark/>
          </w:tcPr>
          <w:p w14:paraId="5D5A664F"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am an active and contributing member of my community.</w:t>
            </w:r>
          </w:p>
        </w:tc>
        <w:tc>
          <w:tcPr>
            <w:tcW w:w="1060" w:type="dxa"/>
            <w:tcBorders>
              <w:top w:val="nil"/>
              <w:left w:val="nil"/>
              <w:bottom w:val="single" w:sz="4" w:space="0" w:color="auto"/>
              <w:right w:val="nil"/>
            </w:tcBorders>
            <w:shd w:val="clear" w:color="auto" w:fill="auto"/>
            <w:noWrap/>
            <w:vAlign w:val="center"/>
            <w:hideMark/>
          </w:tcPr>
          <w:p w14:paraId="7013CF65"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545</w:t>
            </w:r>
          </w:p>
        </w:tc>
        <w:tc>
          <w:tcPr>
            <w:tcW w:w="860" w:type="dxa"/>
            <w:tcBorders>
              <w:top w:val="nil"/>
              <w:left w:val="nil"/>
              <w:bottom w:val="single" w:sz="4" w:space="0" w:color="auto"/>
              <w:right w:val="nil"/>
            </w:tcBorders>
            <w:shd w:val="clear" w:color="auto" w:fill="auto"/>
            <w:noWrap/>
            <w:vAlign w:val="center"/>
            <w:hideMark/>
          </w:tcPr>
          <w:p w14:paraId="430848B5"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79.5%</w:t>
            </w:r>
          </w:p>
        </w:tc>
        <w:tc>
          <w:tcPr>
            <w:tcW w:w="1100" w:type="dxa"/>
            <w:tcBorders>
              <w:top w:val="nil"/>
              <w:left w:val="nil"/>
              <w:bottom w:val="single" w:sz="4" w:space="0" w:color="auto"/>
              <w:right w:val="nil"/>
            </w:tcBorders>
            <w:shd w:val="clear" w:color="auto" w:fill="auto"/>
            <w:noWrap/>
            <w:vAlign w:val="center"/>
            <w:hideMark/>
          </w:tcPr>
          <w:p w14:paraId="2FDA1AB3"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67</w:t>
            </w:r>
          </w:p>
        </w:tc>
        <w:tc>
          <w:tcPr>
            <w:tcW w:w="960" w:type="dxa"/>
            <w:tcBorders>
              <w:top w:val="nil"/>
              <w:left w:val="nil"/>
              <w:bottom w:val="single" w:sz="4" w:space="0" w:color="auto"/>
              <w:right w:val="single" w:sz="8" w:space="0" w:color="auto"/>
            </w:tcBorders>
            <w:shd w:val="clear" w:color="auto" w:fill="auto"/>
            <w:noWrap/>
            <w:vAlign w:val="center"/>
            <w:hideMark/>
          </w:tcPr>
          <w:p w14:paraId="5D3F21CA"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89.6%</w:t>
            </w:r>
          </w:p>
        </w:tc>
      </w:tr>
      <w:tr w:rsidR="00A04B9E" w:rsidRPr="00A04B9E" w14:paraId="67078F9E" w14:textId="77777777" w:rsidTr="00A04B9E">
        <w:trPr>
          <w:trHeight w:val="242"/>
        </w:trPr>
        <w:tc>
          <w:tcPr>
            <w:tcW w:w="4860" w:type="dxa"/>
            <w:tcBorders>
              <w:top w:val="nil"/>
              <w:left w:val="single" w:sz="8" w:space="0" w:color="auto"/>
              <w:bottom w:val="single" w:sz="4" w:space="0" w:color="auto"/>
              <w:right w:val="nil"/>
            </w:tcBorders>
            <w:shd w:val="clear" w:color="auto" w:fill="auto"/>
            <w:vAlign w:val="bottom"/>
            <w:hideMark/>
          </w:tcPr>
          <w:p w14:paraId="5089D0EA"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I have meaningful friendships and relationships.</w:t>
            </w:r>
          </w:p>
        </w:tc>
        <w:tc>
          <w:tcPr>
            <w:tcW w:w="1060" w:type="dxa"/>
            <w:tcBorders>
              <w:top w:val="nil"/>
              <w:left w:val="nil"/>
              <w:bottom w:val="single" w:sz="4" w:space="0" w:color="auto"/>
              <w:right w:val="nil"/>
            </w:tcBorders>
            <w:shd w:val="clear" w:color="auto" w:fill="auto"/>
            <w:noWrap/>
            <w:vAlign w:val="bottom"/>
            <w:hideMark/>
          </w:tcPr>
          <w:p w14:paraId="52207DD8"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588</w:t>
            </w:r>
          </w:p>
        </w:tc>
        <w:tc>
          <w:tcPr>
            <w:tcW w:w="860" w:type="dxa"/>
            <w:tcBorders>
              <w:top w:val="nil"/>
              <w:left w:val="nil"/>
              <w:bottom w:val="single" w:sz="4" w:space="0" w:color="auto"/>
              <w:right w:val="nil"/>
            </w:tcBorders>
            <w:shd w:val="clear" w:color="auto" w:fill="auto"/>
            <w:noWrap/>
            <w:vAlign w:val="bottom"/>
            <w:hideMark/>
          </w:tcPr>
          <w:p w14:paraId="4388A355"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84.4%</w:t>
            </w:r>
          </w:p>
        </w:tc>
        <w:tc>
          <w:tcPr>
            <w:tcW w:w="1100" w:type="dxa"/>
            <w:tcBorders>
              <w:top w:val="nil"/>
              <w:left w:val="nil"/>
              <w:bottom w:val="single" w:sz="4" w:space="0" w:color="auto"/>
              <w:right w:val="nil"/>
            </w:tcBorders>
            <w:shd w:val="clear" w:color="auto" w:fill="auto"/>
            <w:noWrap/>
            <w:vAlign w:val="bottom"/>
            <w:hideMark/>
          </w:tcPr>
          <w:p w14:paraId="6BEEC1E0"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 </w:t>
            </w:r>
          </w:p>
        </w:tc>
        <w:tc>
          <w:tcPr>
            <w:tcW w:w="960" w:type="dxa"/>
            <w:tcBorders>
              <w:top w:val="nil"/>
              <w:left w:val="nil"/>
              <w:bottom w:val="single" w:sz="4" w:space="0" w:color="auto"/>
              <w:right w:val="single" w:sz="8" w:space="0" w:color="auto"/>
            </w:tcBorders>
            <w:shd w:val="clear" w:color="auto" w:fill="auto"/>
            <w:noWrap/>
            <w:vAlign w:val="bottom"/>
            <w:hideMark/>
          </w:tcPr>
          <w:p w14:paraId="4190B1F3"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 </w:t>
            </w:r>
          </w:p>
        </w:tc>
      </w:tr>
      <w:tr w:rsidR="00A04B9E" w:rsidRPr="00A04B9E" w14:paraId="106F9117" w14:textId="77777777" w:rsidTr="00A04B9E">
        <w:trPr>
          <w:trHeight w:val="143"/>
        </w:trPr>
        <w:tc>
          <w:tcPr>
            <w:tcW w:w="4860" w:type="dxa"/>
            <w:tcBorders>
              <w:top w:val="nil"/>
              <w:left w:val="single" w:sz="8" w:space="0" w:color="auto"/>
              <w:bottom w:val="single" w:sz="4" w:space="0" w:color="auto"/>
              <w:right w:val="nil"/>
            </w:tcBorders>
            <w:shd w:val="clear" w:color="auto" w:fill="auto"/>
            <w:vAlign w:val="bottom"/>
            <w:hideMark/>
          </w:tcPr>
          <w:p w14:paraId="281D8029" w14:textId="77777777" w:rsidR="00A04B9E" w:rsidRPr="00EB29E8" w:rsidRDefault="00A04B9E" w:rsidP="00A04B9E">
            <w:pPr>
              <w:spacing w:line="240" w:lineRule="auto"/>
              <w:rPr>
                <w:rFonts w:ascii="Calibri" w:eastAsia="Times New Roman" w:hAnsi="Calibri" w:cs="Calibri"/>
                <w:sz w:val="20"/>
              </w:rPr>
            </w:pPr>
            <w:r w:rsidRPr="00EB29E8">
              <w:rPr>
                <w:rFonts w:ascii="Calibri" w:eastAsia="Times New Roman" w:hAnsi="Calibri" w:cs="Calibri"/>
                <w:sz w:val="20"/>
              </w:rPr>
              <w:t>My safety needs are addressed.</w:t>
            </w:r>
          </w:p>
        </w:tc>
        <w:tc>
          <w:tcPr>
            <w:tcW w:w="1060" w:type="dxa"/>
            <w:tcBorders>
              <w:top w:val="nil"/>
              <w:left w:val="nil"/>
              <w:bottom w:val="single" w:sz="4" w:space="0" w:color="auto"/>
              <w:right w:val="nil"/>
            </w:tcBorders>
            <w:shd w:val="clear" w:color="auto" w:fill="auto"/>
            <w:noWrap/>
            <w:vAlign w:val="bottom"/>
            <w:hideMark/>
          </w:tcPr>
          <w:p w14:paraId="0ECA5D9E"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585</w:t>
            </w:r>
          </w:p>
        </w:tc>
        <w:tc>
          <w:tcPr>
            <w:tcW w:w="860" w:type="dxa"/>
            <w:tcBorders>
              <w:top w:val="nil"/>
              <w:left w:val="nil"/>
              <w:bottom w:val="single" w:sz="4" w:space="0" w:color="auto"/>
              <w:right w:val="nil"/>
            </w:tcBorders>
            <w:shd w:val="clear" w:color="auto" w:fill="auto"/>
            <w:noWrap/>
            <w:vAlign w:val="bottom"/>
            <w:hideMark/>
          </w:tcPr>
          <w:p w14:paraId="04763D22"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85.1%</w:t>
            </w:r>
          </w:p>
        </w:tc>
        <w:tc>
          <w:tcPr>
            <w:tcW w:w="1100" w:type="dxa"/>
            <w:tcBorders>
              <w:top w:val="nil"/>
              <w:left w:val="nil"/>
              <w:bottom w:val="single" w:sz="4" w:space="0" w:color="auto"/>
              <w:right w:val="nil"/>
            </w:tcBorders>
            <w:shd w:val="clear" w:color="auto" w:fill="auto"/>
            <w:noWrap/>
            <w:vAlign w:val="bottom"/>
            <w:hideMark/>
          </w:tcPr>
          <w:p w14:paraId="471406CF"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69</w:t>
            </w:r>
          </w:p>
        </w:tc>
        <w:tc>
          <w:tcPr>
            <w:tcW w:w="960" w:type="dxa"/>
            <w:tcBorders>
              <w:top w:val="nil"/>
              <w:left w:val="nil"/>
              <w:bottom w:val="single" w:sz="4" w:space="0" w:color="auto"/>
              <w:right w:val="single" w:sz="8" w:space="0" w:color="auto"/>
            </w:tcBorders>
            <w:shd w:val="clear" w:color="auto" w:fill="auto"/>
            <w:noWrap/>
            <w:vAlign w:val="bottom"/>
            <w:hideMark/>
          </w:tcPr>
          <w:p w14:paraId="66561BA6"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73.9%</w:t>
            </w:r>
          </w:p>
        </w:tc>
      </w:tr>
      <w:tr w:rsidR="00A04B9E" w:rsidRPr="00A04B9E" w14:paraId="18F8ED1B" w14:textId="77777777" w:rsidTr="00EB29E8">
        <w:trPr>
          <w:trHeight w:val="269"/>
        </w:trPr>
        <w:tc>
          <w:tcPr>
            <w:tcW w:w="4860" w:type="dxa"/>
            <w:tcBorders>
              <w:top w:val="single" w:sz="4" w:space="0" w:color="auto"/>
              <w:left w:val="single" w:sz="8" w:space="0" w:color="auto"/>
              <w:bottom w:val="single" w:sz="8" w:space="0" w:color="auto"/>
              <w:right w:val="nil"/>
            </w:tcBorders>
            <w:shd w:val="clear" w:color="auto" w:fill="auto"/>
            <w:vAlign w:val="bottom"/>
            <w:hideMark/>
          </w:tcPr>
          <w:p w14:paraId="231DD468" w14:textId="77777777" w:rsidR="00A04B9E" w:rsidRPr="00EB29E8" w:rsidRDefault="00A04B9E" w:rsidP="00A04B9E">
            <w:pPr>
              <w:spacing w:line="240" w:lineRule="auto"/>
              <w:rPr>
                <w:rFonts w:ascii="Calibri" w:eastAsia="Times New Roman" w:hAnsi="Calibri" w:cs="Calibri"/>
                <w:color w:val="000000"/>
                <w:sz w:val="20"/>
              </w:rPr>
            </w:pPr>
            <w:r w:rsidRPr="00EB29E8">
              <w:rPr>
                <w:rFonts w:ascii="Calibri" w:eastAsia="Times New Roman" w:hAnsi="Calibri" w:cs="Calibri"/>
                <w:color w:val="000000"/>
                <w:sz w:val="20"/>
              </w:rPr>
              <w:t>I know and exercise my rights</w:t>
            </w:r>
          </w:p>
        </w:tc>
        <w:tc>
          <w:tcPr>
            <w:tcW w:w="1060" w:type="dxa"/>
            <w:tcBorders>
              <w:top w:val="single" w:sz="4" w:space="0" w:color="auto"/>
              <w:left w:val="nil"/>
              <w:bottom w:val="single" w:sz="8" w:space="0" w:color="auto"/>
              <w:right w:val="nil"/>
            </w:tcBorders>
            <w:shd w:val="clear" w:color="auto" w:fill="auto"/>
            <w:noWrap/>
            <w:vAlign w:val="bottom"/>
            <w:hideMark/>
          </w:tcPr>
          <w:p w14:paraId="4A6A6456" w14:textId="77777777" w:rsidR="00A04B9E" w:rsidRPr="00EB29E8" w:rsidRDefault="00A04B9E" w:rsidP="00A04B9E">
            <w:pPr>
              <w:spacing w:line="240" w:lineRule="auto"/>
              <w:jc w:val="center"/>
              <w:rPr>
                <w:rFonts w:ascii="Calibri" w:eastAsia="Times New Roman" w:hAnsi="Calibri" w:cs="Calibri"/>
                <w:color w:val="000000"/>
                <w:sz w:val="20"/>
              </w:rPr>
            </w:pPr>
            <w:r w:rsidRPr="00EB29E8">
              <w:rPr>
                <w:rFonts w:ascii="Calibri" w:eastAsia="Times New Roman" w:hAnsi="Calibri" w:cs="Calibri"/>
                <w:color w:val="000000"/>
                <w:sz w:val="20"/>
              </w:rPr>
              <w:t>569</w:t>
            </w:r>
          </w:p>
        </w:tc>
        <w:tc>
          <w:tcPr>
            <w:tcW w:w="860" w:type="dxa"/>
            <w:tcBorders>
              <w:top w:val="single" w:sz="4" w:space="0" w:color="auto"/>
              <w:left w:val="nil"/>
              <w:bottom w:val="single" w:sz="8" w:space="0" w:color="auto"/>
              <w:right w:val="nil"/>
            </w:tcBorders>
            <w:shd w:val="clear" w:color="auto" w:fill="auto"/>
            <w:noWrap/>
            <w:vAlign w:val="bottom"/>
            <w:hideMark/>
          </w:tcPr>
          <w:p w14:paraId="6E9806D0" w14:textId="77777777" w:rsidR="00A04B9E" w:rsidRPr="00EB29E8" w:rsidRDefault="00A04B9E" w:rsidP="00A04B9E">
            <w:pPr>
              <w:spacing w:line="240" w:lineRule="auto"/>
              <w:jc w:val="center"/>
              <w:rPr>
                <w:rFonts w:ascii="Calibri" w:eastAsia="Times New Roman" w:hAnsi="Calibri" w:cs="Calibri"/>
                <w:color w:val="000000"/>
                <w:sz w:val="20"/>
              </w:rPr>
            </w:pPr>
            <w:r w:rsidRPr="00EB29E8">
              <w:rPr>
                <w:rFonts w:ascii="Calibri" w:eastAsia="Times New Roman" w:hAnsi="Calibri" w:cs="Calibri"/>
                <w:color w:val="000000"/>
                <w:sz w:val="20"/>
              </w:rPr>
              <w:t>88.2%</w:t>
            </w:r>
          </w:p>
        </w:tc>
        <w:tc>
          <w:tcPr>
            <w:tcW w:w="1100" w:type="dxa"/>
            <w:tcBorders>
              <w:top w:val="single" w:sz="4" w:space="0" w:color="auto"/>
              <w:left w:val="nil"/>
              <w:bottom w:val="single" w:sz="8" w:space="0" w:color="auto"/>
              <w:right w:val="nil"/>
            </w:tcBorders>
            <w:shd w:val="clear" w:color="auto" w:fill="auto"/>
            <w:noWrap/>
            <w:vAlign w:val="bottom"/>
            <w:hideMark/>
          </w:tcPr>
          <w:p w14:paraId="594A5604"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69</w:t>
            </w:r>
          </w:p>
        </w:tc>
        <w:tc>
          <w:tcPr>
            <w:tcW w:w="960" w:type="dxa"/>
            <w:tcBorders>
              <w:top w:val="single" w:sz="4" w:space="0" w:color="auto"/>
              <w:left w:val="nil"/>
              <w:bottom w:val="single" w:sz="8" w:space="0" w:color="auto"/>
              <w:right w:val="single" w:sz="8" w:space="0" w:color="auto"/>
            </w:tcBorders>
            <w:shd w:val="clear" w:color="auto" w:fill="auto"/>
            <w:noWrap/>
            <w:vAlign w:val="bottom"/>
            <w:hideMark/>
          </w:tcPr>
          <w:p w14:paraId="13D2CC6B" w14:textId="77777777" w:rsidR="00A04B9E" w:rsidRPr="00EB29E8" w:rsidRDefault="00A04B9E" w:rsidP="00A04B9E">
            <w:pPr>
              <w:spacing w:line="240" w:lineRule="auto"/>
              <w:jc w:val="center"/>
              <w:rPr>
                <w:rFonts w:ascii="Calibri" w:eastAsia="Times New Roman" w:hAnsi="Calibri" w:cs="Calibri"/>
                <w:sz w:val="20"/>
              </w:rPr>
            </w:pPr>
            <w:r w:rsidRPr="00EB29E8">
              <w:rPr>
                <w:rFonts w:ascii="Calibri" w:eastAsia="Times New Roman" w:hAnsi="Calibri" w:cs="Calibri"/>
                <w:sz w:val="20"/>
              </w:rPr>
              <w:t>87.0%</w:t>
            </w:r>
          </w:p>
        </w:tc>
      </w:tr>
    </w:tbl>
    <w:p w14:paraId="4508D826" w14:textId="77777777" w:rsidR="00A04B9E" w:rsidRDefault="00A04B9E" w:rsidP="008547DF"/>
    <w:p w14:paraId="428A0A8F" w14:textId="1F91A63A" w:rsidR="00DC21A3" w:rsidRDefault="00DC21A3" w:rsidP="008547DF">
      <w:r>
        <w:t>Approximately 39 percent of people interviewed did not understand the medications they were taking</w:t>
      </w:r>
      <w:r w:rsidR="003B1023">
        <w:t xml:space="preserve"> (Waiver n=194; CDC+ n=15)</w:t>
      </w:r>
      <w:r>
        <w:t>.  This was primarily because they did not know the side effects of the medications (</w:t>
      </w:r>
      <w:r w:rsidR="003B1023">
        <w:t>79.4</w:t>
      </w:r>
      <w:r>
        <w:t>%), or did not know what they were taking (6</w:t>
      </w:r>
      <w:r w:rsidR="003B1023">
        <w:t>7.</w:t>
      </w:r>
      <w:r>
        <w:t>5%) or prescribed (5</w:t>
      </w:r>
      <w:r w:rsidR="003B1023">
        <w:t>5.0</w:t>
      </w:r>
      <w:r>
        <w:t>%).</w:t>
      </w:r>
      <w:r w:rsidR="00D1692E">
        <w:t xml:space="preserve"> </w:t>
      </w:r>
      <w:r w:rsidR="0006569D">
        <w:t>Among the</w:t>
      </w:r>
      <w:r>
        <w:t xml:space="preserve"> people </w:t>
      </w:r>
      <w:r w:rsidR="0006569D">
        <w:t xml:space="preserve">who </w:t>
      </w:r>
      <w:r>
        <w:t xml:space="preserve">did not understand ANE </w:t>
      </w:r>
      <w:r w:rsidR="00BD53AE">
        <w:t xml:space="preserve">(Waiver n=175; CDC+ n=25), most did not understand exploitation (75.5%) or neglect (66.0%), and about half of the 200 people did not understand the different types of abuse (52.0%), such as differences among </w:t>
      </w:r>
      <w:r w:rsidR="00BD53AE">
        <w:lastRenderedPageBreak/>
        <w:t>physical, emotional, verbal or sexual abuse. Most people who did not know what to do if ANE occurs indicated they do not know what the Abuse Hotline is (63.2%) or how to find it (61.2%).</w:t>
      </w:r>
    </w:p>
    <w:p w14:paraId="3C24EE99" w14:textId="77777777" w:rsidR="00DC21A3" w:rsidRDefault="00DC21A3" w:rsidP="008547DF"/>
    <w:p w14:paraId="4CC59E04" w14:textId="18CCEAEF" w:rsidR="00B4678E" w:rsidRDefault="00E10B01" w:rsidP="008547DF">
      <w:r>
        <w:t>In addition, i</w:t>
      </w:r>
      <w:r w:rsidR="0061019F">
        <w:t>ndividuals who were interviewed often indicated they do not participate in their communities (</w:t>
      </w:r>
      <w:r w:rsidR="003B5067">
        <w:t>74.9</w:t>
      </w:r>
      <w:r w:rsidR="0061019F">
        <w:t xml:space="preserve">%) and do not feel they are active and contributing members of their </w:t>
      </w:r>
      <w:r w:rsidR="0061019F" w:rsidRPr="003B5067">
        <w:t>communities (79.</w:t>
      </w:r>
      <w:r w:rsidR="003B5067" w:rsidRPr="003B5067">
        <w:t>5</w:t>
      </w:r>
      <w:r w:rsidR="0061019F" w:rsidRPr="003B5067">
        <w:t xml:space="preserve">%).  </w:t>
      </w:r>
      <w:r w:rsidR="00E32A9A">
        <w:t>Most people (70.0%) indicated they participated in community activities but would like to do more</w:t>
      </w:r>
      <w:r w:rsidR="00785B8C">
        <w:t xml:space="preserve"> and close to 40 percent of individuals who were not active in their communities did not understand what social roles are.</w:t>
      </w:r>
      <w:r w:rsidR="0061019F">
        <w:t xml:space="preserve">     </w:t>
      </w:r>
      <w:r w:rsidR="00BA47F8">
        <w:t xml:space="preserve"> </w:t>
      </w:r>
      <w:r w:rsidR="001A2743">
        <w:t xml:space="preserve">   </w:t>
      </w:r>
    </w:p>
    <w:p w14:paraId="7C6044AD" w14:textId="77777777" w:rsidR="00956AE3" w:rsidRDefault="00956AE3" w:rsidP="00956AE3"/>
    <w:p w14:paraId="205924AA" w14:textId="204B2510" w:rsidR="00956AE3" w:rsidRPr="00EA50C0" w:rsidRDefault="00956AE3" w:rsidP="00956AE3">
      <w:pPr>
        <w:pStyle w:val="Heading4"/>
      </w:pPr>
      <w:r w:rsidRPr="00EA50C0">
        <w:t>PCR MLI Results by Residential Status, Disability and Age</w:t>
      </w:r>
    </w:p>
    <w:p w14:paraId="16E04E59" w14:textId="69391E58" w:rsidR="00956AE3" w:rsidRDefault="00956AE3" w:rsidP="00956AE3">
      <w:r w:rsidRPr="007C025B">
        <w:t>PCR MLI results are shown by residential setting, primary disability, and age group in Figures 6</w:t>
      </w:r>
      <w:r w:rsidR="00785B8C">
        <w:t>a</w:t>
      </w:r>
      <w:r w:rsidR="005F55BD" w:rsidRPr="007C025B">
        <w:t xml:space="preserve"> – </w:t>
      </w:r>
      <w:r w:rsidR="00DB0434" w:rsidRPr="007C025B">
        <w:t>8</w:t>
      </w:r>
      <w:r w:rsidR="00785B8C">
        <w:t>b</w:t>
      </w:r>
      <w:r w:rsidR="005F55BD" w:rsidRPr="007C025B">
        <w:t xml:space="preserve">. </w:t>
      </w:r>
      <w:r w:rsidR="00E10B01" w:rsidRPr="00C264B1">
        <w:t>Results f</w:t>
      </w:r>
      <w:r w:rsidR="00D326A8" w:rsidRPr="00C264B1">
        <w:t>or CDC+ are shown</w:t>
      </w:r>
      <w:r w:rsidR="00D138B4" w:rsidRPr="00C264B1">
        <w:t>; however, it is important to note the</w:t>
      </w:r>
      <w:r w:rsidR="00D138B4">
        <w:t xml:space="preserve"> l</w:t>
      </w:r>
      <w:r w:rsidR="00DB0434">
        <w:t xml:space="preserve">ow number of responses within </w:t>
      </w:r>
      <w:r w:rsidR="00E10B01">
        <w:t xml:space="preserve">all the </w:t>
      </w:r>
      <w:r w:rsidR="00DB0434">
        <w:t>categor</w:t>
      </w:r>
      <w:r w:rsidR="006E763E">
        <w:t>ies</w:t>
      </w:r>
      <w:r w:rsidR="00D1692E">
        <w:t>.</w:t>
      </w:r>
      <w:r w:rsidR="00456C25">
        <w:t xml:space="preserve"> </w:t>
      </w:r>
      <w:r w:rsidR="00EE17E4">
        <w:t xml:space="preserve">All demographic graphics show data collected between July and December 2020. </w:t>
      </w:r>
      <w:r w:rsidRPr="00A25652">
        <w:t>There is little variation across supports</w:t>
      </w:r>
      <w:r w:rsidR="00A62EE5" w:rsidRPr="00A25652">
        <w:t>;</w:t>
      </w:r>
      <w:r w:rsidRPr="00A25652">
        <w:t xml:space="preserve"> however, the following disparities are present for outcomes</w:t>
      </w:r>
      <w:r w:rsidR="00D326A8">
        <w:t xml:space="preserve"> measured to date</w:t>
      </w:r>
      <w:r w:rsidRPr="00A25652">
        <w:t xml:space="preserve">: </w:t>
      </w:r>
    </w:p>
    <w:p w14:paraId="2F80E2EE" w14:textId="77777777" w:rsidR="00054F10" w:rsidRPr="006E763E" w:rsidRDefault="00054F10" w:rsidP="00956AE3">
      <w:pPr>
        <w:rPr>
          <w:highlight w:val="yellow"/>
        </w:rPr>
      </w:pPr>
    </w:p>
    <w:p w14:paraId="362A75D6" w14:textId="04C6C170" w:rsidR="00956AE3" w:rsidRPr="00560F85" w:rsidRDefault="0095001A" w:rsidP="00956AE3">
      <w:pPr>
        <w:pStyle w:val="ListParagraph"/>
        <w:numPr>
          <w:ilvl w:val="0"/>
          <w:numId w:val="25"/>
        </w:numPr>
      </w:pPr>
      <w:r>
        <w:t>Residents of</w:t>
      </w:r>
      <w:r w:rsidR="00560F85" w:rsidRPr="00560F85">
        <w:t xml:space="preserve"> group homes were least likely to have outcomes present</w:t>
      </w:r>
      <w:r w:rsidR="00EE17E4">
        <w:t xml:space="preserve"> and for both Waiver and CDC+, residents of independent/supported living were more likely to have outcomes present than residents of family homes; however, only four individuals receiving services through CDC+ lived outside a family home</w:t>
      </w:r>
      <w:r w:rsidR="00560F85" w:rsidRPr="00560F85">
        <w:t>.</w:t>
      </w:r>
    </w:p>
    <w:p w14:paraId="15F773DA" w14:textId="0AEAEE0A" w:rsidR="00956AE3" w:rsidRDefault="00956AE3" w:rsidP="00956AE3">
      <w:pPr>
        <w:pStyle w:val="ListParagraph"/>
        <w:numPr>
          <w:ilvl w:val="0"/>
          <w:numId w:val="25"/>
        </w:numPr>
      </w:pPr>
      <w:r w:rsidRPr="00A25652">
        <w:t xml:space="preserve">Individuals receiving </w:t>
      </w:r>
      <w:r w:rsidR="00D66277">
        <w:t>W</w:t>
      </w:r>
      <w:r w:rsidRPr="00A25652">
        <w:t xml:space="preserve">aiver services who have Autism Spectrum Disorder were </w:t>
      </w:r>
      <w:r w:rsidR="00560F85" w:rsidRPr="00A25652">
        <w:t xml:space="preserve">somewhat </w:t>
      </w:r>
      <w:r w:rsidRPr="00A25652">
        <w:t xml:space="preserve">less likely to have outcomes </w:t>
      </w:r>
      <w:r w:rsidR="00DB0434" w:rsidRPr="00A25652">
        <w:t>p</w:t>
      </w:r>
      <w:r w:rsidR="00B70559" w:rsidRPr="00A25652">
        <w:t>resent</w:t>
      </w:r>
      <w:r w:rsidRPr="00A25652">
        <w:t xml:space="preserve"> than individuals with other types of disabilities. </w:t>
      </w:r>
    </w:p>
    <w:p w14:paraId="192C2246" w14:textId="14909820" w:rsidR="00A25652" w:rsidRPr="00A25652" w:rsidRDefault="00A25652" w:rsidP="00956AE3">
      <w:pPr>
        <w:pStyle w:val="ListParagraph"/>
        <w:numPr>
          <w:ilvl w:val="0"/>
          <w:numId w:val="25"/>
        </w:numPr>
      </w:pPr>
      <w:r>
        <w:t xml:space="preserve">Outcomes for </w:t>
      </w:r>
      <w:r w:rsidR="0095001A">
        <w:t>people</w:t>
      </w:r>
      <w:r>
        <w:t xml:space="preserve"> receiving </w:t>
      </w:r>
      <w:r w:rsidR="00D66277">
        <w:t>W</w:t>
      </w:r>
      <w:r>
        <w:t>aiver services appear to trend up with age.</w:t>
      </w:r>
    </w:p>
    <w:p w14:paraId="31248B18" w14:textId="20D1ABBE" w:rsidR="007A7D4C" w:rsidRDefault="00D66277" w:rsidP="00FB30A6">
      <w:pPr>
        <w:tabs>
          <w:tab w:val="left" w:pos="2382"/>
        </w:tabs>
        <w:spacing w:line="240" w:lineRule="auto"/>
      </w:pPr>
      <w:r>
        <w:rPr>
          <w:noProof/>
        </w:rPr>
        <w:drawing>
          <wp:anchor distT="0" distB="0" distL="114300" distR="114300" simplePos="0" relativeHeight="251678775" behindDoc="0" locked="0" layoutInCell="1" allowOverlap="1" wp14:anchorId="4923F824" wp14:editId="68102043">
            <wp:simplePos x="0" y="0"/>
            <wp:positionH relativeFrom="page">
              <wp:posOffset>4583430</wp:posOffset>
            </wp:positionH>
            <wp:positionV relativeFrom="paragraph">
              <wp:posOffset>4989830</wp:posOffset>
            </wp:positionV>
            <wp:extent cx="3068320" cy="2265045"/>
            <wp:effectExtent l="0" t="0" r="0" b="1905"/>
            <wp:wrapSquare wrapText="bothSides"/>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703" behindDoc="0" locked="0" layoutInCell="1" allowOverlap="1" wp14:anchorId="0833FF9A" wp14:editId="41EB3632">
            <wp:simplePos x="0" y="0"/>
            <wp:positionH relativeFrom="column">
              <wp:posOffset>3574473</wp:posOffset>
            </wp:positionH>
            <wp:positionV relativeFrom="paragraph">
              <wp:posOffset>2585464</wp:posOffset>
            </wp:positionV>
            <wp:extent cx="3072130" cy="2440305"/>
            <wp:effectExtent l="0" t="0" r="0" b="0"/>
            <wp:wrapSquare wrapText="bothSides"/>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751" behindDoc="0" locked="0" layoutInCell="1" allowOverlap="1" wp14:anchorId="1B368CC0" wp14:editId="1DECD19F">
            <wp:simplePos x="0" y="0"/>
            <wp:positionH relativeFrom="column">
              <wp:posOffset>-327025</wp:posOffset>
            </wp:positionH>
            <wp:positionV relativeFrom="paragraph">
              <wp:posOffset>4989830</wp:posOffset>
            </wp:positionV>
            <wp:extent cx="3642360" cy="2261235"/>
            <wp:effectExtent l="0" t="0" r="0" b="5715"/>
            <wp:wrapSquare wrapText="bothSides"/>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D138B4">
        <w:rPr>
          <w:noProof/>
        </w:rPr>
        <w:drawing>
          <wp:anchor distT="0" distB="0" distL="114300" distR="114300" simplePos="0" relativeHeight="251676727" behindDoc="0" locked="0" layoutInCell="1" allowOverlap="1" wp14:anchorId="4D8AAAF5" wp14:editId="34EA3C4B">
            <wp:simplePos x="0" y="0"/>
            <wp:positionH relativeFrom="column">
              <wp:posOffset>-216921</wp:posOffset>
            </wp:positionH>
            <wp:positionV relativeFrom="paragraph">
              <wp:posOffset>2514213</wp:posOffset>
            </wp:positionV>
            <wp:extent cx="3452495" cy="2567940"/>
            <wp:effectExtent l="0" t="0" r="0" b="3810"/>
            <wp:wrapSquare wrapText="bothSides"/>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EE17E4">
        <w:rPr>
          <w:noProof/>
        </w:rPr>
        <w:drawing>
          <wp:anchor distT="0" distB="0" distL="114300" distR="114300" simplePos="0" relativeHeight="251673655" behindDoc="0" locked="0" layoutInCell="1" allowOverlap="1" wp14:anchorId="6CEEF0A4" wp14:editId="28E0A719">
            <wp:simplePos x="0" y="0"/>
            <wp:positionH relativeFrom="column">
              <wp:posOffset>3232785</wp:posOffset>
            </wp:positionH>
            <wp:positionV relativeFrom="paragraph">
              <wp:posOffset>635</wp:posOffset>
            </wp:positionV>
            <wp:extent cx="3035300" cy="2399030"/>
            <wp:effectExtent l="0" t="0" r="0" b="1270"/>
            <wp:wrapSquare wrapText="bothSides"/>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EE17E4">
        <w:rPr>
          <w:noProof/>
        </w:rPr>
        <w:drawing>
          <wp:anchor distT="0" distB="0" distL="114300" distR="114300" simplePos="0" relativeHeight="251674679" behindDoc="0" locked="0" layoutInCell="1" allowOverlap="1" wp14:anchorId="5D0043A9" wp14:editId="59C6DD11">
            <wp:simplePos x="0" y="0"/>
            <wp:positionH relativeFrom="column">
              <wp:posOffset>-256032</wp:posOffset>
            </wp:positionH>
            <wp:positionV relativeFrom="paragraph">
              <wp:posOffset>280</wp:posOffset>
            </wp:positionV>
            <wp:extent cx="3218688" cy="2326005"/>
            <wp:effectExtent l="0" t="0" r="1270" b="0"/>
            <wp:wrapSquare wrapText="bothSides"/>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751BEE41" w14:textId="64AFED6E" w:rsidR="00956AE3" w:rsidRDefault="00956AE3" w:rsidP="007C025B">
      <w:pPr>
        <w:spacing w:line="240" w:lineRule="auto"/>
      </w:pPr>
    </w:p>
    <w:p w14:paraId="0FC1EBAC" w14:textId="24D9DF76" w:rsidR="00956AE3" w:rsidRDefault="00DB0434" w:rsidP="00C8586B">
      <w:pPr>
        <w:pStyle w:val="Heading4"/>
      </w:pPr>
      <w:r>
        <w:t>P</w:t>
      </w:r>
      <w:r w:rsidR="00956AE3">
        <w:t>CR My Life Interview: Satisfaction</w:t>
      </w:r>
    </w:p>
    <w:p w14:paraId="3A7DF8A4" w14:textId="08202CB6" w:rsidR="00DC40BA" w:rsidRDefault="00956AE3" w:rsidP="00956AE3">
      <w:r w:rsidRPr="008A0F5E">
        <w:t xml:space="preserve">During the PCR, individuals are asked if they strongly agree, agree, disagree, or strongly disagree with a series of statements expressing satisfaction with </w:t>
      </w:r>
      <w:r w:rsidR="009707DC" w:rsidRPr="008A0F5E">
        <w:t>various</w:t>
      </w:r>
      <w:r w:rsidRPr="008A0F5E">
        <w:t xml:space="preserve"> aspects of their lives, including services, service providers</w:t>
      </w:r>
      <w:r>
        <w:t xml:space="preserve">, </w:t>
      </w:r>
      <w:r w:rsidR="00A93243">
        <w:t>S</w:t>
      </w:r>
      <w:r>
        <w:t xml:space="preserve">upport </w:t>
      </w:r>
      <w:r w:rsidR="00A93243">
        <w:t>C</w:t>
      </w:r>
      <w:r>
        <w:t>oordinators, residence, and</w:t>
      </w:r>
      <w:r w:rsidR="00A93243">
        <w:t xml:space="preserve"> involvement in the community. </w:t>
      </w:r>
      <w:r w:rsidR="00201EA2">
        <w:t xml:space="preserve">Interviews completed between July </w:t>
      </w:r>
      <w:r w:rsidR="00434A33">
        <w:t xml:space="preserve">and </w:t>
      </w:r>
      <w:r w:rsidR="008A0F5E">
        <w:t>December</w:t>
      </w:r>
      <w:r w:rsidR="00201EA2">
        <w:t xml:space="preserve"> </w:t>
      </w:r>
      <w:r w:rsidR="00BF720A">
        <w:t xml:space="preserve">2020 </w:t>
      </w:r>
      <w:r w:rsidR="00201EA2">
        <w:t>(Figure 9) show th</w:t>
      </w:r>
      <w:r>
        <w:t xml:space="preserve">e majority </w:t>
      </w:r>
      <w:r>
        <w:lastRenderedPageBreak/>
        <w:t xml:space="preserve">of individuals </w:t>
      </w:r>
      <w:r w:rsidR="00DA3B33">
        <w:t xml:space="preserve">receiving services </w:t>
      </w:r>
      <w:r>
        <w:t xml:space="preserve">reported agreement </w:t>
      </w:r>
      <w:r w:rsidR="00201EA2">
        <w:t>(strongly agree or agree)</w:t>
      </w:r>
      <w:r w:rsidR="00434A33">
        <w:t xml:space="preserve"> in each area. The lowest scoring area was satisfaction with how much involvement there is in the community</w:t>
      </w:r>
      <w:r w:rsidR="00B550C8">
        <w:t>.</w:t>
      </w:r>
      <w:r w:rsidR="00434A33">
        <w:t xml:space="preserve"> Scores of 86.</w:t>
      </w:r>
      <w:r w:rsidR="008A0F5E">
        <w:t>2</w:t>
      </w:r>
      <w:r w:rsidR="00434A33">
        <w:t xml:space="preserve"> percent (Waiver) and </w:t>
      </w:r>
      <w:r w:rsidR="008A0F5E">
        <w:t>88.1</w:t>
      </w:r>
      <w:r w:rsidR="00434A33">
        <w:t xml:space="preserve"> percent (CDC+) are down from 98.9 percent (Waiver) and 100 percent (CDC+) shown during the pre-pandemic time period (July 2019 – March 2020).</w:t>
      </w:r>
      <w:r w:rsidR="00DA3B33">
        <w:t xml:space="preserve"> </w:t>
      </w:r>
    </w:p>
    <w:p w14:paraId="23DEDF0C" w14:textId="63AB8DBF" w:rsidR="00434A33" w:rsidRDefault="00434A33" w:rsidP="00956AE3"/>
    <w:p w14:paraId="4769C5B5" w14:textId="0CC16BE9" w:rsidR="00434A33" w:rsidRDefault="008A0F5E" w:rsidP="00434A33">
      <w:pPr>
        <w:spacing w:line="240" w:lineRule="auto"/>
      </w:pPr>
      <w:r>
        <w:rPr>
          <w:noProof/>
        </w:rPr>
        <w:drawing>
          <wp:inline distT="0" distB="0" distL="0" distR="0" wp14:anchorId="73558EE0" wp14:editId="2E73FFF4">
            <wp:extent cx="5924550" cy="4540195"/>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C44D061" w14:textId="4497C388" w:rsidR="006303E2" w:rsidRDefault="006303E2" w:rsidP="00956AE3"/>
    <w:p w14:paraId="71C1D7F3" w14:textId="52CAC7B2" w:rsidR="00956AE3" w:rsidRPr="00DC081F" w:rsidRDefault="00956AE3" w:rsidP="00C8586B">
      <w:pPr>
        <w:pStyle w:val="Heading4"/>
        <w:rPr>
          <w:color w:val="FFFFFF" w:themeColor="background1"/>
        </w:rPr>
      </w:pPr>
      <w:r>
        <w:t>PCR My Life Interview: Stability</w:t>
      </w:r>
    </w:p>
    <w:p w14:paraId="7BA914AF" w14:textId="35BD3412" w:rsidR="001F30D9" w:rsidRPr="00540880" w:rsidRDefault="00956AE3" w:rsidP="00956AE3">
      <w:r w:rsidRPr="001B55C6">
        <w:t xml:space="preserve">During the PCR </w:t>
      </w:r>
      <w:r w:rsidR="00F32645">
        <w:t>MLI</w:t>
      </w:r>
      <w:r w:rsidR="008A0F5E">
        <w:t xml:space="preserve"> questions are used to measure stability in the person’s life.</w:t>
      </w:r>
      <w:r w:rsidRPr="001B55C6">
        <w:t xml:space="preserve"> </w:t>
      </w:r>
      <w:r w:rsidR="008A0F5E">
        <w:t>I</w:t>
      </w:r>
      <w:r w:rsidRPr="001B55C6">
        <w:t>ndividuals are asked how often, over the course of a year, they experienced changes</w:t>
      </w:r>
      <w:r>
        <w:t xml:space="preserve"> in their WSC or WSC agency, place of employment, work/day activity, residence, services, or service providers in their home. </w:t>
      </w:r>
      <w:r w:rsidRPr="00483351">
        <w:t xml:space="preserve">Table </w:t>
      </w:r>
      <w:r w:rsidR="00BC7FE3">
        <w:t>5</w:t>
      </w:r>
      <w:r w:rsidRPr="00483351">
        <w:t xml:space="preserve"> shows the percent of individuals who experienced </w:t>
      </w:r>
      <w:r w:rsidRPr="00483351">
        <w:rPr>
          <w:u w:val="single"/>
        </w:rPr>
        <w:t>one or more</w:t>
      </w:r>
      <w:r w:rsidRPr="00483351">
        <w:t xml:space="preserve"> of these changes </w:t>
      </w:r>
      <w:r w:rsidR="00E92656">
        <w:t xml:space="preserve">during the </w:t>
      </w:r>
      <w:r w:rsidR="001401A7">
        <w:t>first two quarters of the current year (July – December 2020</w:t>
      </w:r>
      <w:r w:rsidR="00EF75D4">
        <w:t xml:space="preserve"> (Y4Q1-2)</w:t>
      </w:r>
      <w:r w:rsidR="001401A7">
        <w:t>)</w:t>
      </w:r>
      <w:r w:rsidR="00685D37">
        <w:t xml:space="preserve">. The same data are shown for the first </w:t>
      </w:r>
      <w:r w:rsidR="00685D37" w:rsidRPr="00B239C7">
        <w:t>three quarters in the previous year, pre-pandemic (July 2019 – March 2020</w:t>
      </w:r>
      <w:r w:rsidR="00EF75D4">
        <w:t xml:space="preserve"> (Y3Q1-3)</w:t>
      </w:r>
      <w:r w:rsidR="00685D37" w:rsidRPr="00B239C7">
        <w:t>). For the Waiver, c</w:t>
      </w:r>
      <w:r w:rsidR="00CC50C0" w:rsidRPr="00B239C7">
        <w:t xml:space="preserve">ompared to the </w:t>
      </w:r>
      <w:r w:rsidR="00685D37" w:rsidRPr="00B239C7">
        <w:t>pre-pandemic data</w:t>
      </w:r>
      <w:r w:rsidR="00CC50C0" w:rsidRPr="00B239C7">
        <w:t xml:space="preserve">, </w:t>
      </w:r>
      <w:r w:rsidR="00685D37" w:rsidRPr="00B239C7">
        <w:t xml:space="preserve">people were less likely to have experienced a change in service providers in the home, but somewhat more likely to have experienced a change in employment and Support Coordinator.  </w:t>
      </w:r>
      <w:r w:rsidR="00C84A03" w:rsidRPr="00B239C7">
        <w:t>For people receiving services through CDC+, the most likely change was in their Support Coordinator/Consultant</w:t>
      </w:r>
      <w:r w:rsidR="00685D37" w:rsidRPr="00B239C7">
        <w:t xml:space="preserve">, showing an increase of about three percentage points over </w:t>
      </w:r>
      <w:r w:rsidR="00685D37" w:rsidRPr="00B239C7">
        <w:lastRenderedPageBreak/>
        <w:t xml:space="preserve">the pre-pandemic time period. </w:t>
      </w:r>
      <w:r w:rsidR="00B239C7" w:rsidRPr="00B239C7">
        <w:t>Comparing</w:t>
      </w:r>
      <w:r w:rsidR="00B239C7">
        <w:t xml:space="preserve"> the two time periods, they were much less likely to have experienced a change in the services they received</w:t>
      </w:r>
    </w:p>
    <w:p w14:paraId="7ED012A9" w14:textId="37115046" w:rsidR="00D60F05" w:rsidRDefault="00D404A9" w:rsidP="00956AE3">
      <w:pPr>
        <w:rPr>
          <w:rFonts w:asciiTheme="minorHAnsi" w:hAnsiTheme="minorHAnsi"/>
          <w:sz w:val="22"/>
        </w:rPr>
      </w:pPr>
      <w:r>
        <w:fldChar w:fldCharType="begin"/>
      </w:r>
      <w:r>
        <w:instrText xml:space="preserve"> LINK </w:instrText>
      </w:r>
      <w:r w:rsidR="00B053B9">
        <w:instrText xml:space="preserve">Excel.Sheet.12 "C:\\Users\\kellys\\Desktop\\1 kelly folders\\1 FSQAP new jul 2017\\reports\\Yr3 Annual\\Y3Q3_PCR_Results_new smk.xlsx" "Individual Interview!R392C16:R402C24" </w:instrText>
      </w:r>
      <w:r>
        <w:instrText xml:space="preserve">\a \f 4 \h  \* MERGEFORMAT </w:instrText>
      </w:r>
      <w:r>
        <w:fldChar w:fldCharType="separate"/>
      </w:r>
    </w:p>
    <w:tbl>
      <w:tblPr>
        <w:tblW w:w="10070" w:type="dxa"/>
        <w:tblLook w:val="04A0" w:firstRow="1" w:lastRow="0" w:firstColumn="1" w:lastColumn="0" w:noHBand="0" w:noVBand="1"/>
      </w:tblPr>
      <w:tblGrid>
        <w:gridCol w:w="2510"/>
        <w:gridCol w:w="1004"/>
        <w:gridCol w:w="886"/>
        <w:gridCol w:w="1004"/>
        <w:gridCol w:w="886"/>
        <w:gridCol w:w="1004"/>
        <w:gridCol w:w="886"/>
        <w:gridCol w:w="1004"/>
        <w:gridCol w:w="886"/>
      </w:tblGrid>
      <w:tr w:rsidR="00D60F05" w:rsidRPr="00D60F05" w14:paraId="64FA1169" w14:textId="77777777" w:rsidTr="00D60F05">
        <w:trPr>
          <w:divId w:val="184366675"/>
          <w:trHeight w:val="330"/>
        </w:trPr>
        <w:tc>
          <w:tcPr>
            <w:tcW w:w="10070" w:type="dxa"/>
            <w:gridSpan w:val="9"/>
            <w:tcBorders>
              <w:top w:val="single" w:sz="8" w:space="0" w:color="auto"/>
              <w:left w:val="single" w:sz="8" w:space="0" w:color="auto"/>
              <w:bottom w:val="single" w:sz="4" w:space="0" w:color="auto"/>
              <w:right w:val="single" w:sz="8" w:space="0" w:color="000000"/>
            </w:tcBorders>
            <w:shd w:val="clear" w:color="000000" w:fill="1F4E79"/>
            <w:noWrap/>
            <w:vAlign w:val="center"/>
            <w:hideMark/>
          </w:tcPr>
          <w:p w14:paraId="296363D8" w14:textId="3EF602A4" w:rsidR="00D60F05" w:rsidRPr="00D60F05" w:rsidRDefault="00D60F05" w:rsidP="00D60F05">
            <w:pPr>
              <w:spacing w:line="240" w:lineRule="auto"/>
              <w:jc w:val="center"/>
              <w:rPr>
                <w:rFonts w:ascii="Franklin Gothic Medium" w:eastAsia="Times New Roman" w:hAnsi="Franklin Gothic Medium" w:cs="Calibri"/>
                <w:color w:val="FFFFFF"/>
                <w:sz w:val="22"/>
              </w:rPr>
            </w:pPr>
            <w:r w:rsidRPr="00D60F05">
              <w:rPr>
                <w:rFonts w:ascii="Franklin Gothic Medium" w:eastAsia="Times New Roman" w:hAnsi="Franklin Gothic Medium" w:cs="Calibri"/>
                <w:color w:val="FFFFFF"/>
                <w:sz w:val="22"/>
              </w:rPr>
              <w:t>Table 6. PCR My Life Interview: Stability (Percent with 1 or more changes)</w:t>
            </w:r>
          </w:p>
        </w:tc>
      </w:tr>
      <w:tr w:rsidR="00D60F05" w:rsidRPr="00D60F05" w14:paraId="5E4E0AF7" w14:textId="77777777" w:rsidTr="00D60F05">
        <w:trPr>
          <w:divId w:val="184366675"/>
          <w:trHeight w:val="330"/>
        </w:trPr>
        <w:tc>
          <w:tcPr>
            <w:tcW w:w="2510" w:type="dxa"/>
            <w:tcBorders>
              <w:top w:val="nil"/>
              <w:left w:val="single" w:sz="8" w:space="0" w:color="auto"/>
              <w:bottom w:val="single" w:sz="4" w:space="0" w:color="auto"/>
              <w:right w:val="nil"/>
            </w:tcBorders>
            <w:shd w:val="clear" w:color="000000" w:fill="FCD5B4"/>
            <w:noWrap/>
            <w:vAlign w:val="bottom"/>
            <w:hideMark/>
          </w:tcPr>
          <w:p w14:paraId="687ACEF8" w14:textId="77777777" w:rsidR="00D60F05" w:rsidRPr="00D60F05" w:rsidRDefault="00D60F05" w:rsidP="00D60F05">
            <w:pPr>
              <w:spacing w:line="240" w:lineRule="auto"/>
              <w:jc w:val="center"/>
              <w:rPr>
                <w:rFonts w:ascii="Calibri" w:eastAsia="Times New Roman" w:hAnsi="Calibri" w:cs="Calibri"/>
                <w:color w:val="000000"/>
                <w:sz w:val="22"/>
              </w:rPr>
            </w:pPr>
            <w:r w:rsidRPr="00D60F05">
              <w:rPr>
                <w:rFonts w:ascii="Calibri" w:eastAsia="Times New Roman" w:hAnsi="Calibri" w:cs="Calibri"/>
                <w:color w:val="000000"/>
                <w:sz w:val="22"/>
              </w:rPr>
              <w:t> </w:t>
            </w:r>
          </w:p>
        </w:tc>
        <w:tc>
          <w:tcPr>
            <w:tcW w:w="3780" w:type="dxa"/>
            <w:gridSpan w:val="4"/>
            <w:tcBorders>
              <w:top w:val="single" w:sz="4" w:space="0" w:color="auto"/>
              <w:left w:val="double" w:sz="6" w:space="0" w:color="auto"/>
              <w:bottom w:val="single" w:sz="4" w:space="0" w:color="auto"/>
              <w:right w:val="double" w:sz="6" w:space="0" w:color="000000"/>
            </w:tcBorders>
            <w:shd w:val="clear" w:color="000000" w:fill="FCD5B4"/>
            <w:noWrap/>
            <w:vAlign w:val="center"/>
            <w:hideMark/>
          </w:tcPr>
          <w:p w14:paraId="4A62FA87" w14:textId="77777777" w:rsidR="00D60F05" w:rsidRPr="00D60F05" w:rsidRDefault="00D60F05" w:rsidP="00D60F05">
            <w:pPr>
              <w:spacing w:line="240" w:lineRule="auto"/>
              <w:jc w:val="center"/>
              <w:rPr>
                <w:rFonts w:ascii="Franklin Gothic Medium" w:eastAsia="Times New Roman" w:hAnsi="Franklin Gothic Medium" w:cs="Calibri"/>
                <w:b/>
                <w:bCs/>
                <w:sz w:val="22"/>
              </w:rPr>
            </w:pPr>
            <w:r w:rsidRPr="00D60F05">
              <w:rPr>
                <w:rFonts w:ascii="Franklin Gothic Medium" w:eastAsia="Times New Roman" w:hAnsi="Franklin Gothic Medium" w:cs="Calibri"/>
                <w:b/>
                <w:bCs/>
                <w:sz w:val="22"/>
              </w:rPr>
              <w:t xml:space="preserve">Waiver </w:t>
            </w:r>
          </w:p>
        </w:tc>
        <w:tc>
          <w:tcPr>
            <w:tcW w:w="3780" w:type="dxa"/>
            <w:gridSpan w:val="4"/>
            <w:tcBorders>
              <w:top w:val="single" w:sz="4" w:space="0" w:color="auto"/>
              <w:left w:val="nil"/>
              <w:bottom w:val="single" w:sz="4" w:space="0" w:color="auto"/>
              <w:right w:val="single" w:sz="8" w:space="0" w:color="000000"/>
            </w:tcBorders>
            <w:shd w:val="clear" w:color="000000" w:fill="FCD5B4"/>
            <w:noWrap/>
            <w:vAlign w:val="center"/>
            <w:hideMark/>
          </w:tcPr>
          <w:p w14:paraId="5231DF3D" w14:textId="77777777" w:rsidR="00D60F05" w:rsidRPr="00D60F05" w:rsidRDefault="00D60F05" w:rsidP="00D60F05">
            <w:pPr>
              <w:spacing w:line="240" w:lineRule="auto"/>
              <w:jc w:val="center"/>
              <w:rPr>
                <w:rFonts w:ascii="Franklin Gothic Medium" w:eastAsia="Times New Roman" w:hAnsi="Franklin Gothic Medium" w:cs="Calibri"/>
                <w:b/>
                <w:bCs/>
                <w:sz w:val="22"/>
              </w:rPr>
            </w:pPr>
            <w:r w:rsidRPr="00D60F05">
              <w:rPr>
                <w:rFonts w:ascii="Franklin Gothic Medium" w:eastAsia="Times New Roman" w:hAnsi="Franklin Gothic Medium" w:cs="Calibri"/>
                <w:b/>
                <w:bCs/>
                <w:sz w:val="22"/>
              </w:rPr>
              <w:t xml:space="preserve">CDC+ </w:t>
            </w:r>
          </w:p>
        </w:tc>
      </w:tr>
      <w:tr w:rsidR="00B268BF" w:rsidRPr="00D60F05" w14:paraId="415AD258" w14:textId="77777777" w:rsidTr="00D60F05">
        <w:trPr>
          <w:divId w:val="184366675"/>
          <w:trHeight w:val="315"/>
        </w:trPr>
        <w:tc>
          <w:tcPr>
            <w:tcW w:w="2510" w:type="dxa"/>
            <w:tcBorders>
              <w:top w:val="nil"/>
              <w:left w:val="single" w:sz="8" w:space="0" w:color="auto"/>
              <w:bottom w:val="single" w:sz="4" w:space="0" w:color="auto"/>
              <w:right w:val="nil"/>
            </w:tcBorders>
            <w:shd w:val="clear" w:color="000000" w:fill="FCD5B4"/>
            <w:noWrap/>
            <w:vAlign w:val="bottom"/>
            <w:hideMark/>
          </w:tcPr>
          <w:p w14:paraId="73077D78" w14:textId="77777777" w:rsidR="00B268BF" w:rsidRPr="00D60F05" w:rsidRDefault="00B268BF" w:rsidP="00B268BF">
            <w:pPr>
              <w:spacing w:line="240" w:lineRule="auto"/>
              <w:jc w:val="center"/>
              <w:rPr>
                <w:rFonts w:ascii="Calibri" w:eastAsia="Times New Roman" w:hAnsi="Calibri" w:cs="Calibri"/>
                <w:color w:val="000000"/>
                <w:sz w:val="22"/>
              </w:rPr>
            </w:pPr>
            <w:r w:rsidRPr="00D60F05">
              <w:rPr>
                <w:rFonts w:ascii="Calibri" w:eastAsia="Times New Roman" w:hAnsi="Calibri" w:cs="Calibri"/>
                <w:color w:val="000000"/>
                <w:sz w:val="22"/>
              </w:rPr>
              <w:t> </w:t>
            </w:r>
          </w:p>
        </w:tc>
        <w:tc>
          <w:tcPr>
            <w:tcW w:w="1890" w:type="dxa"/>
            <w:gridSpan w:val="2"/>
            <w:tcBorders>
              <w:top w:val="single" w:sz="4" w:space="0" w:color="auto"/>
              <w:left w:val="double" w:sz="6" w:space="0" w:color="auto"/>
              <w:bottom w:val="single" w:sz="4" w:space="0" w:color="auto"/>
              <w:right w:val="nil"/>
            </w:tcBorders>
            <w:shd w:val="clear" w:color="000000" w:fill="FCD5B4"/>
            <w:noWrap/>
            <w:vAlign w:val="bottom"/>
            <w:hideMark/>
          </w:tcPr>
          <w:p w14:paraId="01655956" w14:textId="4E50F78A" w:rsidR="00B268BF" w:rsidRPr="00D60F05" w:rsidRDefault="00B268BF" w:rsidP="00B268BF">
            <w:pPr>
              <w:spacing w:line="240" w:lineRule="auto"/>
              <w:jc w:val="center"/>
              <w:rPr>
                <w:rFonts w:ascii="Calibri" w:eastAsia="Times New Roman" w:hAnsi="Calibri" w:cs="Calibri"/>
                <w:b/>
                <w:bCs/>
                <w:sz w:val="22"/>
              </w:rPr>
            </w:pPr>
            <w:r>
              <w:rPr>
                <w:rFonts w:ascii="Calibri" w:hAnsi="Calibri" w:cs="Calibri"/>
                <w:b/>
                <w:bCs/>
                <w:color w:val="000000"/>
                <w:sz w:val="22"/>
              </w:rPr>
              <w:t>Y3</w:t>
            </w:r>
            <w:r w:rsidRPr="00D60F05">
              <w:rPr>
                <w:rFonts w:ascii="Calibri" w:hAnsi="Calibri" w:cs="Calibri"/>
                <w:b/>
                <w:bCs/>
                <w:color w:val="000000"/>
                <w:sz w:val="22"/>
              </w:rPr>
              <w:t>Q1-3 (969)</w:t>
            </w:r>
          </w:p>
        </w:tc>
        <w:tc>
          <w:tcPr>
            <w:tcW w:w="1890" w:type="dxa"/>
            <w:gridSpan w:val="2"/>
            <w:tcBorders>
              <w:top w:val="single" w:sz="4" w:space="0" w:color="auto"/>
              <w:left w:val="single" w:sz="8" w:space="0" w:color="auto"/>
              <w:bottom w:val="single" w:sz="4" w:space="0" w:color="auto"/>
              <w:right w:val="double" w:sz="6" w:space="0" w:color="000000"/>
            </w:tcBorders>
            <w:shd w:val="clear" w:color="000000" w:fill="FCD5B4"/>
            <w:noWrap/>
            <w:vAlign w:val="bottom"/>
            <w:hideMark/>
          </w:tcPr>
          <w:p w14:paraId="2820EBB8" w14:textId="3875CFA9" w:rsidR="00B268BF" w:rsidRPr="00D60F05" w:rsidRDefault="00B268BF" w:rsidP="00B268BF">
            <w:pPr>
              <w:spacing w:line="240" w:lineRule="auto"/>
              <w:jc w:val="center"/>
              <w:rPr>
                <w:rFonts w:ascii="Calibri" w:eastAsia="Times New Roman" w:hAnsi="Calibri" w:cs="Calibri"/>
                <w:b/>
                <w:bCs/>
                <w:sz w:val="22"/>
              </w:rPr>
            </w:pPr>
            <w:r>
              <w:rPr>
                <w:rFonts w:ascii="Calibri" w:hAnsi="Calibri" w:cs="Calibri"/>
                <w:b/>
                <w:bCs/>
                <w:color w:val="000000"/>
                <w:sz w:val="22"/>
              </w:rPr>
              <w:t>Y4</w:t>
            </w:r>
            <w:r w:rsidRPr="00D60F05">
              <w:rPr>
                <w:rFonts w:ascii="Calibri" w:hAnsi="Calibri" w:cs="Calibri"/>
                <w:b/>
                <w:bCs/>
                <w:color w:val="000000"/>
                <w:sz w:val="22"/>
              </w:rPr>
              <w:t>Q</w:t>
            </w:r>
            <w:r>
              <w:rPr>
                <w:rFonts w:ascii="Calibri" w:hAnsi="Calibri" w:cs="Calibri"/>
                <w:b/>
                <w:bCs/>
                <w:color w:val="000000"/>
                <w:sz w:val="22"/>
              </w:rPr>
              <w:t>1-2</w:t>
            </w:r>
            <w:r w:rsidRPr="00D60F05">
              <w:rPr>
                <w:rFonts w:ascii="Calibri" w:hAnsi="Calibri" w:cs="Calibri"/>
                <w:b/>
                <w:bCs/>
                <w:color w:val="000000"/>
                <w:sz w:val="22"/>
              </w:rPr>
              <w:t xml:space="preserve"> (</w:t>
            </w:r>
            <w:r>
              <w:rPr>
                <w:rFonts w:ascii="Calibri" w:hAnsi="Calibri" w:cs="Calibri"/>
                <w:b/>
                <w:bCs/>
                <w:color w:val="000000"/>
                <w:sz w:val="22"/>
              </w:rPr>
              <w:t>602</w:t>
            </w:r>
            <w:r w:rsidRPr="00D60F05">
              <w:rPr>
                <w:rFonts w:ascii="Calibri" w:hAnsi="Calibri" w:cs="Calibri"/>
                <w:b/>
                <w:bCs/>
                <w:color w:val="000000"/>
                <w:sz w:val="22"/>
              </w:rPr>
              <w:t>)</w:t>
            </w:r>
          </w:p>
        </w:tc>
        <w:tc>
          <w:tcPr>
            <w:tcW w:w="1890" w:type="dxa"/>
            <w:gridSpan w:val="2"/>
            <w:tcBorders>
              <w:top w:val="single" w:sz="4" w:space="0" w:color="auto"/>
              <w:left w:val="nil"/>
              <w:bottom w:val="single" w:sz="4" w:space="0" w:color="auto"/>
              <w:right w:val="nil"/>
            </w:tcBorders>
            <w:shd w:val="clear" w:color="000000" w:fill="FCD5B4"/>
            <w:noWrap/>
            <w:vAlign w:val="bottom"/>
            <w:hideMark/>
          </w:tcPr>
          <w:p w14:paraId="11FFC385" w14:textId="77777777" w:rsidR="00B268BF" w:rsidRPr="00D60F05" w:rsidRDefault="00B268BF" w:rsidP="00B268BF">
            <w:pPr>
              <w:spacing w:line="240" w:lineRule="auto"/>
              <w:jc w:val="center"/>
              <w:rPr>
                <w:rFonts w:ascii="Calibri" w:eastAsia="Times New Roman" w:hAnsi="Calibri" w:cs="Calibri"/>
                <w:b/>
                <w:bCs/>
                <w:sz w:val="22"/>
              </w:rPr>
            </w:pPr>
            <w:r w:rsidRPr="00D60F05">
              <w:rPr>
                <w:rFonts w:ascii="Calibri" w:hAnsi="Calibri" w:cs="Calibri"/>
                <w:b/>
                <w:bCs/>
                <w:color w:val="000000"/>
                <w:sz w:val="22"/>
              </w:rPr>
              <w:t>Q1-3 (110)</w:t>
            </w:r>
          </w:p>
        </w:tc>
        <w:tc>
          <w:tcPr>
            <w:tcW w:w="1890" w:type="dxa"/>
            <w:gridSpan w:val="2"/>
            <w:tcBorders>
              <w:top w:val="single" w:sz="4" w:space="0" w:color="auto"/>
              <w:left w:val="single" w:sz="8" w:space="0" w:color="auto"/>
              <w:bottom w:val="single" w:sz="4" w:space="0" w:color="auto"/>
              <w:right w:val="single" w:sz="8" w:space="0" w:color="000000"/>
            </w:tcBorders>
            <w:shd w:val="clear" w:color="000000" w:fill="FCD5B4"/>
            <w:noWrap/>
            <w:vAlign w:val="bottom"/>
            <w:hideMark/>
          </w:tcPr>
          <w:p w14:paraId="1BFC83D9" w14:textId="49D2B165" w:rsidR="00B268BF" w:rsidRPr="00D60F05" w:rsidRDefault="00B268BF" w:rsidP="00B268BF">
            <w:pPr>
              <w:spacing w:line="240" w:lineRule="auto"/>
              <w:jc w:val="center"/>
              <w:rPr>
                <w:rFonts w:ascii="Calibri" w:eastAsia="Times New Roman" w:hAnsi="Calibri" w:cs="Calibri"/>
                <w:b/>
                <w:bCs/>
                <w:sz w:val="22"/>
              </w:rPr>
            </w:pPr>
            <w:r>
              <w:rPr>
                <w:rFonts w:ascii="Calibri" w:hAnsi="Calibri" w:cs="Calibri"/>
                <w:b/>
                <w:bCs/>
                <w:color w:val="000000"/>
                <w:sz w:val="22"/>
              </w:rPr>
              <w:t>Y4</w:t>
            </w:r>
            <w:r w:rsidRPr="00D60F05">
              <w:rPr>
                <w:rFonts w:ascii="Calibri" w:hAnsi="Calibri" w:cs="Calibri"/>
                <w:b/>
                <w:bCs/>
                <w:color w:val="000000"/>
                <w:sz w:val="22"/>
              </w:rPr>
              <w:t>Q</w:t>
            </w:r>
            <w:r>
              <w:rPr>
                <w:rFonts w:ascii="Calibri" w:hAnsi="Calibri" w:cs="Calibri"/>
                <w:b/>
                <w:bCs/>
                <w:color w:val="000000"/>
                <w:sz w:val="22"/>
              </w:rPr>
              <w:t>1-2</w:t>
            </w:r>
            <w:r w:rsidRPr="00D60F05">
              <w:rPr>
                <w:rFonts w:ascii="Calibri" w:hAnsi="Calibri" w:cs="Calibri"/>
                <w:b/>
                <w:bCs/>
                <w:color w:val="000000"/>
                <w:sz w:val="22"/>
              </w:rPr>
              <w:t xml:space="preserve"> (</w:t>
            </w:r>
            <w:r>
              <w:rPr>
                <w:rFonts w:ascii="Calibri" w:hAnsi="Calibri" w:cs="Calibri"/>
                <w:b/>
                <w:bCs/>
                <w:color w:val="000000"/>
                <w:sz w:val="22"/>
              </w:rPr>
              <w:t>72</w:t>
            </w:r>
            <w:r w:rsidRPr="00D60F05">
              <w:rPr>
                <w:rFonts w:ascii="Calibri" w:hAnsi="Calibri" w:cs="Calibri"/>
                <w:b/>
                <w:bCs/>
                <w:color w:val="000000"/>
                <w:sz w:val="22"/>
              </w:rPr>
              <w:t>)</w:t>
            </w:r>
          </w:p>
        </w:tc>
      </w:tr>
      <w:tr w:rsidR="00B268BF" w:rsidRPr="00D60F05" w14:paraId="1BA6C0C8" w14:textId="77777777" w:rsidTr="00D60F05">
        <w:trPr>
          <w:divId w:val="184366675"/>
          <w:trHeight w:val="480"/>
        </w:trPr>
        <w:tc>
          <w:tcPr>
            <w:tcW w:w="2510" w:type="dxa"/>
            <w:tcBorders>
              <w:top w:val="nil"/>
              <w:left w:val="single" w:sz="8" w:space="0" w:color="auto"/>
              <w:bottom w:val="single" w:sz="4" w:space="0" w:color="auto"/>
              <w:right w:val="nil"/>
            </w:tcBorders>
            <w:shd w:val="clear" w:color="000000" w:fill="1F4E79"/>
            <w:noWrap/>
            <w:vAlign w:val="center"/>
            <w:hideMark/>
          </w:tcPr>
          <w:p w14:paraId="54444622" w14:textId="77777777" w:rsidR="00B268BF" w:rsidRPr="00D60F05" w:rsidRDefault="00B268BF" w:rsidP="00B268BF">
            <w:pPr>
              <w:spacing w:line="240" w:lineRule="auto"/>
              <w:rPr>
                <w:rFonts w:ascii="Franklin Gothic Medium" w:eastAsia="Times New Roman" w:hAnsi="Franklin Gothic Medium" w:cs="Calibri"/>
                <w:color w:val="FFFFFF"/>
                <w:sz w:val="22"/>
              </w:rPr>
            </w:pPr>
            <w:r w:rsidRPr="00D60F05">
              <w:rPr>
                <w:rFonts w:ascii="Franklin Gothic Medium" w:eastAsia="Times New Roman" w:hAnsi="Franklin Gothic Medium" w:cs="Calibri"/>
                <w:color w:val="FFFFFF"/>
                <w:sz w:val="22"/>
              </w:rPr>
              <w:t>Within the past 12 months,</w:t>
            </w:r>
          </w:p>
        </w:tc>
        <w:tc>
          <w:tcPr>
            <w:tcW w:w="1004" w:type="dxa"/>
            <w:tcBorders>
              <w:top w:val="nil"/>
              <w:left w:val="double" w:sz="6" w:space="0" w:color="auto"/>
              <w:bottom w:val="single" w:sz="4" w:space="0" w:color="auto"/>
              <w:right w:val="nil"/>
            </w:tcBorders>
            <w:shd w:val="clear" w:color="000000" w:fill="1F4E79"/>
            <w:vAlign w:val="center"/>
            <w:hideMark/>
          </w:tcPr>
          <w:p w14:paraId="5A436582"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nil"/>
            </w:tcBorders>
            <w:shd w:val="clear" w:color="000000" w:fill="1F4E79"/>
            <w:vAlign w:val="center"/>
            <w:hideMark/>
          </w:tcPr>
          <w:p w14:paraId="669A204A"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single" w:sz="8" w:space="0" w:color="auto"/>
              <w:bottom w:val="single" w:sz="4" w:space="0" w:color="auto"/>
              <w:right w:val="nil"/>
            </w:tcBorders>
            <w:shd w:val="clear" w:color="000000" w:fill="1F4E79"/>
            <w:vAlign w:val="center"/>
            <w:hideMark/>
          </w:tcPr>
          <w:p w14:paraId="41D59E95"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double" w:sz="6" w:space="0" w:color="auto"/>
            </w:tcBorders>
            <w:shd w:val="clear" w:color="000000" w:fill="1F4E79"/>
            <w:vAlign w:val="center"/>
            <w:hideMark/>
          </w:tcPr>
          <w:p w14:paraId="3B31A2F4"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nil"/>
              <w:bottom w:val="single" w:sz="4" w:space="0" w:color="auto"/>
              <w:right w:val="nil"/>
            </w:tcBorders>
            <w:shd w:val="clear" w:color="000000" w:fill="1F4E79"/>
            <w:noWrap/>
            <w:vAlign w:val="center"/>
            <w:hideMark/>
          </w:tcPr>
          <w:p w14:paraId="7A4548E6"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nil"/>
            </w:tcBorders>
            <w:shd w:val="clear" w:color="000000" w:fill="1F4E79"/>
            <w:vAlign w:val="center"/>
            <w:hideMark/>
          </w:tcPr>
          <w:p w14:paraId="4F0A8CBA"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single" w:sz="8" w:space="0" w:color="auto"/>
              <w:bottom w:val="single" w:sz="4" w:space="0" w:color="auto"/>
              <w:right w:val="nil"/>
            </w:tcBorders>
            <w:shd w:val="clear" w:color="000000" w:fill="1F4E79"/>
            <w:noWrap/>
            <w:vAlign w:val="center"/>
            <w:hideMark/>
          </w:tcPr>
          <w:p w14:paraId="62C58812"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single" w:sz="8" w:space="0" w:color="auto"/>
            </w:tcBorders>
            <w:shd w:val="clear" w:color="000000" w:fill="1F4E79"/>
            <w:noWrap/>
            <w:vAlign w:val="center"/>
            <w:hideMark/>
          </w:tcPr>
          <w:p w14:paraId="4F0205D6"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r>
      <w:tr w:rsidR="00B268BF" w:rsidRPr="00D60F05" w14:paraId="07BB8B73" w14:textId="77777777" w:rsidTr="00B268BF">
        <w:trPr>
          <w:divId w:val="184366675"/>
          <w:trHeight w:val="300"/>
        </w:trPr>
        <w:tc>
          <w:tcPr>
            <w:tcW w:w="2510" w:type="dxa"/>
            <w:tcBorders>
              <w:top w:val="nil"/>
              <w:left w:val="single" w:sz="8" w:space="0" w:color="auto"/>
              <w:bottom w:val="single" w:sz="4" w:space="0" w:color="auto"/>
              <w:right w:val="nil"/>
            </w:tcBorders>
            <w:shd w:val="clear" w:color="auto" w:fill="auto"/>
            <w:vAlign w:val="center"/>
            <w:hideMark/>
          </w:tcPr>
          <w:p w14:paraId="673E6A8E"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experienced changes in my WSC agency.</w:t>
            </w:r>
          </w:p>
        </w:tc>
        <w:tc>
          <w:tcPr>
            <w:tcW w:w="1004" w:type="dxa"/>
            <w:tcBorders>
              <w:top w:val="nil"/>
              <w:left w:val="double" w:sz="6" w:space="0" w:color="auto"/>
              <w:bottom w:val="single" w:sz="4" w:space="0" w:color="auto"/>
              <w:right w:val="nil"/>
            </w:tcBorders>
            <w:shd w:val="clear" w:color="auto" w:fill="auto"/>
            <w:noWrap/>
            <w:vAlign w:val="center"/>
            <w:hideMark/>
          </w:tcPr>
          <w:p w14:paraId="608AC8B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758</w:t>
            </w:r>
          </w:p>
        </w:tc>
        <w:tc>
          <w:tcPr>
            <w:tcW w:w="886" w:type="dxa"/>
            <w:tcBorders>
              <w:top w:val="nil"/>
              <w:left w:val="nil"/>
              <w:bottom w:val="single" w:sz="4" w:space="0" w:color="auto"/>
              <w:right w:val="nil"/>
            </w:tcBorders>
            <w:shd w:val="clear" w:color="auto" w:fill="auto"/>
            <w:noWrap/>
            <w:vAlign w:val="center"/>
            <w:hideMark/>
          </w:tcPr>
          <w:p w14:paraId="4743DDD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2.5%</w:t>
            </w:r>
          </w:p>
        </w:tc>
        <w:tc>
          <w:tcPr>
            <w:tcW w:w="1004" w:type="dxa"/>
            <w:tcBorders>
              <w:top w:val="nil"/>
              <w:left w:val="single" w:sz="8" w:space="0" w:color="auto"/>
              <w:bottom w:val="single" w:sz="4" w:space="0" w:color="auto"/>
              <w:right w:val="nil"/>
            </w:tcBorders>
            <w:shd w:val="clear" w:color="auto" w:fill="auto"/>
            <w:noWrap/>
            <w:vAlign w:val="center"/>
          </w:tcPr>
          <w:p w14:paraId="11A35402" w14:textId="1DD35E59" w:rsidR="00B268BF" w:rsidRPr="00D60F05" w:rsidRDefault="00B268BF"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473</w:t>
            </w:r>
          </w:p>
        </w:tc>
        <w:tc>
          <w:tcPr>
            <w:tcW w:w="886" w:type="dxa"/>
            <w:tcBorders>
              <w:top w:val="nil"/>
              <w:left w:val="nil"/>
              <w:bottom w:val="single" w:sz="4" w:space="0" w:color="auto"/>
              <w:right w:val="double" w:sz="6" w:space="0" w:color="auto"/>
            </w:tcBorders>
            <w:shd w:val="clear" w:color="auto" w:fill="auto"/>
            <w:noWrap/>
            <w:vAlign w:val="center"/>
          </w:tcPr>
          <w:p w14:paraId="41DA99B5" w14:textId="68AF782E" w:rsidR="00B268BF" w:rsidRPr="00D60F05" w:rsidRDefault="00B268BF"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3.0%</w:t>
            </w:r>
          </w:p>
        </w:tc>
        <w:tc>
          <w:tcPr>
            <w:tcW w:w="1004" w:type="dxa"/>
            <w:tcBorders>
              <w:top w:val="nil"/>
              <w:left w:val="nil"/>
              <w:bottom w:val="single" w:sz="4" w:space="0" w:color="auto"/>
              <w:right w:val="nil"/>
            </w:tcBorders>
            <w:shd w:val="clear" w:color="auto" w:fill="auto"/>
            <w:noWrap/>
            <w:vAlign w:val="center"/>
            <w:hideMark/>
          </w:tcPr>
          <w:p w14:paraId="7A478B71"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w:t>
            </w:r>
          </w:p>
        </w:tc>
        <w:tc>
          <w:tcPr>
            <w:tcW w:w="886" w:type="dxa"/>
            <w:tcBorders>
              <w:top w:val="nil"/>
              <w:left w:val="nil"/>
              <w:bottom w:val="single" w:sz="4" w:space="0" w:color="auto"/>
              <w:right w:val="nil"/>
            </w:tcBorders>
            <w:shd w:val="clear" w:color="auto" w:fill="auto"/>
            <w:noWrap/>
            <w:vAlign w:val="center"/>
            <w:hideMark/>
          </w:tcPr>
          <w:p w14:paraId="25BD7453"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w:t>
            </w:r>
          </w:p>
        </w:tc>
        <w:tc>
          <w:tcPr>
            <w:tcW w:w="1004" w:type="dxa"/>
            <w:tcBorders>
              <w:top w:val="nil"/>
              <w:left w:val="single" w:sz="8" w:space="0" w:color="auto"/>
              <w:bottom w:val="single" w:sz="4" w:space="0" w:color="auto"/>
              <w:right w:val="nil"/>
            </w:tcBorders>
            <w:shd w:val="clear" w:color="auto" w:fill="auto"/>
            <w:noWrap/>
            <w:vAlign w:val="center"/>
          </w:tcPr>
          <w:p w14:paraId="70245ACF" w14:textId="236C06FC" w:rsidR="00B268BF" w:rsidRPr="00D60F05" w:rsidRDefault="00B268BF"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59</w:t>
            </w:r>
          </w:p>
        </w:tc>
        <w:tc>
          <w:tcPr>
            <w:tcW w:w="886" w:type="dxa"/>
            <w:tcBorders>
              <w:top w:val="nil"/>
              <w:left w:val="nil"/>
              <w:bottom w:val="single" w:sz="4" w:space="0" w:color="auto"/>
              <w:right w:val="single" w:sz="8" w:space="0" w:color="auto"/>
            </w:tcBorders>
            <w:shd w:val="clear" w:color="auto" w:fill="auto"/>
            <w:noWrap/>
            <w:vAlign w:val="center"/>
          </w:tcPr>
          <w:p w14:paraId="3DBC9C0E" w14:textId="5A907DCB" w:rsidR="00B268BF" w:rsidRPr="00D60F05" w:rsidRDefault="00B268BF"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bl>
    <w:tbl>
      <w:tblPr>
        <w:tblW w:w="10070" w:type="dxa"/>
        <w:tblLook w:val="04A0" w:firstRow="1" w:lastRow="0" w:firstColumn="1" w:lastColumn="0" w:noHBand="0" w:noVBand="1"/>
      </w:tblPr>
      <w:tblGrid>
        <w:gridCol w:w="2510"/>
        <w:gridCol w:w="1004"/>
        <w:gridCol w:w="886"/>
        <w:gridCol w:w="1004"/>
        <w:gridCol w:w="886"/>
        <w:gridCol w:w="1004"/>
        <w:gridCol w:w="886"/>
        <w:gridCol w:w="1004"/>
        <w:gridCol w:w="886"/>
      </w:tblGrid>
      <w:tr w:rsidR="00B268BF" w:rsidRPr="00D60F05" w14:paraId="1B505BA7"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40E15D65"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experienced changes in my WSC.</w:t>
            </w:r>
          </w:p>
        </w:tc>
        <w:tc>
          <w:tcPr>
            <w:tcW w:w="1004" w:type="dxa"/>
            <w:tcBorders>
              <w:top w:val="nil"/>
              <w:left w:val="double" w:sz="6" w:space="0" w:color="auto"/>
              <w:bottom w:val="single" w:sz="4" w:space="0" w:color="auto"/>
              <w:right w:val="nil"/>
            </w:tcBorders>
            <w:shd w:val="clear" w:color="auto" w:fill="auto"/>
            <w:noWrap/>
            <w:vAlign w:val="center"/>
            <w:hideMark/>
          </w:tcPr>
          <w:p w14:paraId="20C8C263"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975</w:t>
            </w:r>
          </w:p>
        </w:tc>
        <w:tc>
          <w:tcPr>
            <w:tcW w:w="886" w:type="dxa"/>
            <w:tcBorders>
              <w:top w:val="nil"/>
              <w:left w:val="nil"/>
              <w:bottom w:val="single" w:sz="4" w:space="0" w:color="auto"/>
              <w:right w:val="nil"/>
            </w:tcBorders>
            <w:shd w:val="clear" w:color="auto" w:fill="auto"/>
            <w:noWrap/>
            <w:vAlign w:val="center"/>
            <w:hideMark/>
          </w:tcPr>
          <w:p w14:paraId="50D60982"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10.4%</w:t>
            </w:r>
          </w:p>
        </w:tc>
        <w:tc>
          <w:tcPr>
            <w:tcW w:w="1004" w:type="dxa"/>
            <w:tcBorders>
              <w:top w:val="nil"/>
              <w:left w:val="single" w:sz="8" w:space="0" w:color="auto"/>
              <w:bottom w:val="single" w:sz="4" w:space="0" w:color="auto"/>
              <w:right w:val="nil"/>
            </w:tcBorders>
            <w:shd w:val="clear" w:color="auto" w:fill="auto"/>
            <w:noWrap/>
            <w:vAlign w:val="center"/>
          </w:tcPr>
          <w:p w14:paraId="3E37AD3F" w14:textId="054B98CF"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599</w:t>
            </w:r>
          </w:p>
        </w:tc>
        <w:tc>
          <w:tcPr>
            <w:tcW w:w="886" w:type="dxa"/>
            <w:tcBorders>
              <w:top w:val="nil"/>
              <w:left w:val="nil"/>
              <w:bottom w:val="single" w:sz="4" w:space="0" w:color="auto"/>
              <w:right w:val="double" w:sz="6" w:space="0" w:color="auto"/>
            </w:tcBorders>
            <w:shd w:val="clear" w:color="auto" w:fill="auto"/>
            <w:noWrap/>
            <w:vAlign w:val="center"/>
          </w:tcPr>
          <w:p w14:paraId="78FE2EBD" w14:textId="4031E30A"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12.4%</w:t>
            </w:r>
          </w:p>
        </w:tc>
        <w:tc>
          <w:tcPr>
            <w:tcW w:w="1004" w:type="dxa"/>
            <w:tcBorders>
              <w:top w:val="nil"/>
              <w:left w:val="nil"/>
              <w:bottom w:val="single" w:sz="4" w:space="0" w:color="auto"/>
              <w:right w:val="nil"/>
            </w:tcBorders>
            <w:shd w:val="clear" w:color="auto" w:fill="auto"/>
            <w:noWrap/>
            <w:vAlign w:val="center"/>
            <w:hideMark/>
          </w:tcPr>
          <w:p w14:paraId="4A53F53B"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110</w:t>
            </w:r>
          </w:p>
        </w:tc>
        <w:tc>
          <w:tcPr>
            <w:tcW w:w="886" w:type="dxa"/>
            <w:tcBorders>
              <w:top w:val="nil"/>
              <w:left w:val="nil"/>
              <w:bottom w:val="single" w:sz="4" w:space="0" w:color="auto"/>
              <w:right w:val="nil"/>
            </w:tcBorders>
            <w:shd w:val="clear" w:color="auto" w:fill="auto"/>
            <w:noWrap/>
            <w:vAlign w:val="center"/>
            <w:hideMark/>
          </w:tcPr>
          <w:p w14:paraId="11F3B9EB"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8.2%</w:t>
            </w:r>
          </w:p>
        </w:tc>
        <w:tc>
          <w:tcPr>
            <w:tcW w:w="1004" w:type="dxa"/>
            <w:tcBorders>
              <w:top w:val="nil"/>
              <w:left w:val="single" w:sz="8" w:space="0" w:color="auto"/>
              <w:bottom w:val="single" w:sz="4" w:space="0" w:color="auto"/>
              <w:right w:val="nil"/>
            </w:tcBorders>
            <w:shd w:val="clear" w:color="auto" w:fill="auto"/>
            <w:noWrap/>
            <w:vAlign w:val="center"/>
          </w:tcPr>
          <w:p w14:paraId="4E302BE9" w14:textId="0F2E444C"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71</w:t>
            </w:r>
          </w:p>
        </w:tc>
        <w:tc>
          <w:tcPr>
            <w:tcW w:w="886" w:type="dxa"/>
            <w:tcBorders>
              <w:top w:val="nil"/>
              <w:left w:val="nil"/>
              <w:bottom w:val="single" w:sz="4" w:space="0" w:color="auto"/>
              <w:right w:val="single" w:sz="8" w:space="0" w:color="auto"/>
            </w:tcBorders>
            <w:shd w:val="clear" w:color="auto" w:fill="auto"/>
            <w:noWrap/>
            <w:vAlign w:val="center"/>
          </w:tcPr>
          <w:p w14:paraId="291164AF" w14:textId="7CFEDB7E"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11.3%</w:t>
            </w:r>
          </w:p>
        </w:tc>
      </w:tr>
      <w:tr w:rsidR="00B268BF" w:rsidRPr="00D60F05" w14:paraId="6B490572"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74D8D37B"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changed employment.</w:t>
            </w:r>
          </w:p>
        </w:tc>
        <w:tc>
          <w:tcPr>
            <w:tcW w:w="1004" w:type="dxa"/>
            <w:tcBorders>
              <w:top w:val="nil"/>
              <w:left w:val="double" w:sz="6" w:space="0" w:color="auto"/>
              <w:bottom w:val="single" w:sz="4" w:space="0" w:color="auto"/>
              <w:right w:val="nil"/>
            </w:tcBorders>
            <w:shd w:val="clear" w:color="auto" w:fill="auto"/>
            <w:noWrap/>
            <w:vAlign w:val="center"/>
            <w:hideMark/>
          </w:tcPr>
          <w:p w14:paraId="3D361044"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390</w:t>
            </w:r>
          </w:p>
        </w:tc>
        <w:tc>
          <w:tcPr>
            <w:tcW w:w="886" w:type="dxa"/>
            <w:tcBorders>
              <w:top w:val="nil"/>
              <w:left w:val="nil"/>
              <w:bottom w:val="single" w:sz="4" w:space="0" w:color="auto"/>
              <w:right w:val="nil"/>
            </w:tcBorders>
            <w:shd w:val="clear" w:color="auto" w:fill="auto"/>
            <w:noWrap/>
            <w:vAlign w:val="center"/>
            <w:hideMark/>
          </w:tcPr>
          <w:p w14:paraId="5E1AE0D6"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4.9%</w:t>
            </w:r>
          </w:p>
        </w:tc>
        <w:tc>
          <w:tcPr>
            <w:tcW w:w="1004" w:type="dxa"/>
            <w:tcBorders>
              <w:top w:val="nil"/>
              <w:left w:val="single" w:sz="8" w:space="0" w:color="auto"/>
              <w:bottom w:val="single" w:sz="4" w:space="0" w:color="auto"/>
              <w:right w:val="nil"/>
            </w:tcBorders>
            <w:shd w:val="clear" w:color="auto" w:fill="auto"/>
            <w:noWrap/>
            <w:vAlign w:val="center"/>
          </w:tcPr>
          <w:p w14:paraId="48304D4E" w14:textId="54DFC60E"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259</w:t>
            </w:r>
          </w:p>
        </w:tc>
        <w:tc>
          <w:tcPr>
            <w:tcW w:w="886" w:type="dxa"/>
            <w:tcBorders>
              <w:top w:val="nil"/>
              <w:left w:val="nil"/>
              <w:bottom w:val="single" w:sz="4" w:space="0" w:color="auto"/>
              <w:right w:val="double" w:sz="6" w:space="0" w:color="auto"/>
            </w:tcBorders>
            <w:shd w:val="clear" w:color="auto" w:fill="auto"/>
            <w:noWrap/>
            <w:vAlign w:val="center"/>
          </w:tcPr>
          <w:p w14:paraId="001281D5" w14:textId="27BDF59B"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8.9%</w:t>
            </w:r>
          </w:p>
        </w:tc>
        <w:tc>
          <w:tcPr>
            <w:tcW w:w="1004" w:type="dxa"/>
            <w:tcBorders>
              <w:top w:val="nil"/>
              <w:left w:val="nil"/>
              <w:bottom w:val="single" w:sz="4" w:space="0" w:color="auto"/>
              <w:right w:val="nil"/>
            </w:tcBorders>
            <w:shd w:val="clear" w:color="auto" w:fill="auto"/>
            <w:noWrap/>
            <w:vAlign w:val="center"/>
            <w:hideMark/>
          </w:tcPr>
          <w:p w14:paraId="610B695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50</w:t>
            </w:r>
          </w:p>
        </w:tc>
        <w:tc>
          <w:tcPr>
            <w:tcW w:w="886" w:type="dxa"/>
            <w:tcBorders>
              <w:top w:val="nil"/>
              <w:left w:val="nil"/>
              <w:bottom w:val="single" w:sz="4" w:space="0" w:color="auto"/>
              <w:right w:val="nil"/>
            </w:tcBorders>
            <w:shd w:val="clear" w:color="auto" w:fill="auto"/>
            <w:noWrap/>
            <w:vAlign w:val="center"/>
            <w:hideMark/>
          </w:tcPr>
          <w:p w14:paraId="0DD5522E"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2.0%</w:t>
            </w:r>
          </w:p>
        </w:tc>
        <w:tc>
          <w:tcPr>
            <w:tcW w:w="1004" w:type="dxa"/>
            <w:tcBorders>
              <w:top w:val="nil"/>
              <w:left w:val="single" w:sz="8" w:space="0" w:color="auto"/>
              <w:bottom w:val="single" w:sz="4" w:space="0" w:color="auto"/>
              <w:right w:val="nil"/>
            </w:tcBorders>
            <w:shd w:val="clear" w:color="auto" w:fill="auto"/>
            <w:noWrap/>
            <w:vAlign w:val="center"/>
          </w:tcPr>
          <w:p w14:paraId="4BBE5D77" w14:textId="58376057"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26</w:t>
            </w:r>
          </w:p>
        </w:tc>
        <w:tc>
          <w:tcPr>
            <w:tcW w:w="886" w:type="dxa"/>
            <w:tcBorders>
              <w:top w:val="nil"/>
              <w:left w:val="nil"/>
              <w:bottom w:val="single" w:sz="4" w:space="0" w:color="auto"/>
              <w:right w:val="single" w:sz="8" w:space="0" w:color="auto"/>
            </w:tcBorders>
            <w:shd w:val="clear" w:color="auto" w:fill="auto"/>
            <w:noWrap/>
            <w:vAlign w:val="center"/>
          </w:tcPr>
          <w:p w14:paraId="61148541" w14:textId="5F77D547"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0.0%</w:t>
            </w:r>
          </w:p>
        </w:tc>
      </w:tr>
      <w:tr w:rsidR="00B268BF" w:rsidRPr="00D60F05" w14:paraId="291CDE84" w14:textId="77777777" w:rsidTr="00B268BF">
        <w:trPr>
          <w:trHeight w:val="510"/>
        </w:trPr>
        <w:tc>
          <w:tcPr>
            <w:tcW w:w="2510" w:type="dxa"/>
            <w:tcBorders>
              <w:top w:val="nil"/>
              <w:left w:val="single" w:sz="8" w:space="0" w:color="auto"/>
              <w:bottom w:val="single" w:sz="4" w:space="0" w:color="auto"/>
              <w:right w:val="nil"/>
            </w:tcBorders>
            <w:shd w:val="clear" w:color="auto" w:fill="auto"/>
            <w:vAlign w:val="center"/>
            <w:hideMark/>
          </w:tcPr>
          <w:p w14:paraId="6B62E9C3"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experienced changes to my work/day activity service providers.</w:t>
            </w:r>
          </w:p>
        </w:tc>
        <w:tc>
          <w:tcPr>
            <w:tcW w:w="1004" w:type="dxa"/>
            <w:tcBorders>
              <w:top w:val="nil"/>
              <w:left w:val="double" w:sz="6" w:space="0" w:color="auto"/>
              <w:bottom w:val="single" w:sz="4" w:space="0" w:color="auto"/>
              <w:right w:val="nil"/>
            </w:tcBorders>
            <w:shd w:val="clear" w:color="auto" w:fill="auto"/>
            <w:noWrap/>
            <w:vAlign w:val="center"/>
            <w:hideMark/>
          </w:tcPr>
          <w:p w14:paraId="4CAEC7B7"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834</w:t>
            </w:r>
          </w:p>
        </w:tc>
        <w:tc>
          <w:tcPr>
            <w:tcW w:w="886" w:type="dxa"/>
            <w:tcBorders>
              <w:top w:val="nil"/>
              <w:left w:val="nil"/>
              <w:bottom w:val="single" w:sz="4" w:space="0" w:color="auto"/>
              <w:right w:val="nil"/>
            </w:tcBorders>
            <w:shd w:val="clear" w:color="auto" w:fill="auto"/>
            <w:noWrap/>
            <w:vAlign w:val="center"/>
            <w:hideMark/>
          </w:tcPr>
          <w:p w14:paraId="6830844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16.3%</w:t>
            </w:r>
          </w:p>
        </w:tc>
        <w:tc>
          <w:tcPr>
            <w:tcW w:w="1004" w:type="dxa"/>
            <w:tcBorders>
              <w:top w:val="nil"/>
              <w:left w:val="single" w:sz="8" w:space="0" w:color="auto"/>
              <w:bottom w:val="single" w:sz="4" w:space="0" w:color="auto"/>
              <w:right w:val="nil"/>
            </w:tcBorders>
            <w:shd w:val="clear" w:color="auto" w:fill="auto"/>
            <w:noWrap/>
            <w:vAlign w:val="center"/>
          </w:tcPr>
          <w:p w14:paraId="284F9EF7" w14:textId="3D841213"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488</w:t>
            </w:r>
          </w:p>
        </w:tc>
        <w:tc>
          <w:tcPr>
            <w:tcW w:w="886" w:type="dxa"/>
            <w:tcBorders>
              <w:top w:val="nil"/>
              <w:left w:val="nil"/>
              <w:bottom w:val="single" w:sz="4" w:space="0" w:color="auto"/>
              <w:right w:val="double" w:sz="6" w:space="0" w:color="auto"/>
            </w:tcBorders>
            <w:shd w:val="clear" w:color="auto" w:fill="auto"/>
            <w:noWrap/>
            <w:vAlign w:val="center"/>
          </w:tcPr>
          <w:p w14:paraId="11923749" w14:textId="0EB649C8"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15.0%</w:t>
            </w:r>
          </w:p>
        </w:tc>
        <w:tc>
          <w:tcPr>
            <w:tcW w:w="1004" w:type="dxa"/>
            <w:tcBorders>
              <w:top w:val="nil"/>
              <w:left w:val="nil"/>
              <w:bottom w:val="single" w:sz="4" w:space="0" w:color="auto"/>
              <w:right w:val="nil"/>
            </w:tcBorders>
            <w:shd w:val="clear" w:color="auto" w:fill="auto"/>
            <w:noWrap/>
            <w:vAlign w:val="center"/>
            <w:hideMark/>
          </w:tcPr>
          <w:p w14:paraId="315F9EEC"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82</w:t>
            </w:r>
          </w:p>
        </w:tc>
        <w:tc>
          <w:tcPr>
            <w:tcW w:w="886" w:type="dxa"/>
            <w:tcBorders>
              <w:top w:val="nil"/>
              <w:left w:val="nil"/>
              <w:bottom w:val="single" w:sz="4" w:space="0" w:color="auto"/>
              <w:right w:val="nil"/>
            </w:tcBorders>
            <w:shd w:val="clear" w:color="auto" w:fill="auto"/>
            <w:noWrap/>
            <w:vAlign w:val="center"/>
            <w:hideMark/>
          </w:tcPr>
          <w:p w14:paraId="3C608E70"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6.1%</w:t>
            </w:r>
          </w:p>
        </w:tc>
        <w:tc>
          <w:tcPr>
            <w:tcW w:w="1004" w:type="dxa"/>
            <w:tcBorders>
              <w:top w:val="nil"/>
              <w:left w:val="single" w:sz="8" w:space="0" w:color="auto"/>
              <w:bottom w:val="single" w:sz="4" w:space="0" w:color="auto"/>
              <w:right w:val="nil"/>
            </w:tcBorders>
            <w:shd w:val="clear" w:color="auto" w:fill="auto"/>
            <w:noWrap/>
            <w:vAlign w:val="center"/>
          </w:tcPr>
          <w:p w14:paraId="5F453C32" w14:textId="133DDF4F"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53</w:t>
            </w:r>
          </w:p>
        </w:tc>
        <w:tc>
          <w:tcPr>
            <w:tcW w:w="886" w:type="dxa"/>
            <w:tcBorders>
              <w:top w:val="nil"/>
              <w:left w:val="nil"/>
              <w:bottom w:val="single" w:sz="4" w:space="0" w:color="auto"/>
              <w:right w:val="single" w:sz="8" w:space="0" w:color="auto"/>
            </w:tcBorders>
            <w:shd w:val="clear" w:color="auto" w:fill="auto"/>
            <w:noWrap/>
            <w:vAlign w:val="center"/>
          </w:tcPr>
          <w:p w14:paraId="7E233E60" w14:textId="47AC9D5C"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5.7%</w:t>
            </w:r>
          </w:p>
        </w:tc>
      </w:tr>
      <w:tr w:rsidR="00B268BF" w:rsidRPr="00D60F05" w14:paraId="5DAEAF66"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53912852"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moved.</w:t>
            </w:r>
          </w:p>
        </w:tc>
        <w:tc>
          <w:tcPr>
            <w:tcW w:w="1004" w:type="dxa"/>
            <w:tcBorders>
              <w:top w:val="nil"/>
              <w:left w:val="double" w:sz="6" w:space="0" w:color="auto"/>
              <w:bottom w:val="single" w:sz="4" w:space="0" w:color="auto"/>
              <w:right w:val="nil"/>
            </w:tcBorders>
            <w:shd w:val="clear" w:color="auto" w:fill="auto"/>
            <w:noWrap/>
            <w:vAlign w:val="center"/>
            <w:hideMark/>
          </w:tcPr>
          <w:p w14:paraId="02C4BEB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969</w:t>
            </w:r>
          </w:p>
        </w:tc>
        <w:tc>
          <w:tcPr>
            <w:tcW w:w="886" w:type="dxa"/>
            <w:tcBorders>
              <w:top w:val="nil"/>
              <w:left w:val="nil"/>
              <w:bottom w:val="single" w:sz="4" w:space="0" w:color="auto"/>
              <w:right w:val="nil"/>
            </w:tcBorders>
            <w:shd w:val="clear" w:color="auto" w:fill="auto"/>
            <w:noWrap/>
            <w:vAlign w:val="center"/>
            <w:hideMark/>
          </w:tcPr>
          <w:p w14:paraId="50D6102E"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11.1%</w:t>
            </w:r>
          </w:p>
        </w:tc>
        <w:tc>
          <w:tcPr>
            <w:tcW w:w="1004" w:type="dxa"/>
            <w:tcBorders>
              <w:top w:val="nil"/>
              <w:left w:val="single" w:sz="8" w:space="0" w:color="auto"/>
              <w:bottom w:val="single" w:sz="4" w:space="0" w:color="auto"/>
              <w:right w:val="nil"/>
            </w:tcBorders>
            <w:shd w:val="clear" w:color="auto" w:fill="auto"/>
            <w:noWrap/>
            <w:vAlign w:val="center"/>
          </w:tcPr>
          <w:p w14:paraId="3F37A568" w14:textId="02394032"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572</w:t>
            </w:r>
          </w:p>
        </w:tc>
        <w:tc>
          <w:tcPr>
            <w:tcW w:w="886" w:type="dxa"/>
            <w:tcBorders>
              <w:top w:val="nil"/>
              <w:left w:val="nil"/>
              <w:bottom w:val="single" w:sz="4" w:space="0" w:color="auto"/>
              <w:right w:val="double" w:sz="6" w:space="0" w:color="auto"/>
            </w:tcBorders>
            <w:shd w:val="clear" w:color="auto" w:fill="auto"/>
            <w:noWrap/>
            <w:vAlign w:val="center"/>
          </w:tcPr>
          <w:p w14:paraId="54D15874" w14:textId="69607D07"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9.8%</w:t>
            </w:r>
          </w:p>
        </w:tc>
        <w:tc>
          <w:tcPr>
            <w:tcW w:w="1004" w:type="dxa"/>
            <w:tcBorders>
              <w:top w:val="nil"/>
              <w:left w:val="nil"/>
              <w:bottom w:val="single" w:sz="4" w:space="0" w:color="auto"/>
              <w:right w:val="nil"/>
            </w:tcBorders>
            <w:shd w:val="clear" w:color="auto" w:fill="auto"/>
            <w:noWrap/>
            <w:vAlign w:val="center"/>
            <w:hideMark/>
          </w:tcPr>
          <w:p w14:paraId="7E3B3387"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108</w:t>
            </w:r>
          </w:p>
        </w:tc>
        <w:tc>
          <w:tcPr>
            <w:tcW w:w="886" w:type="dxa"/>
            <w:tcBorders>
              <w:top w:val="nil"/>
              <w:left w:val="nil"/>
              <w:bottom w:val="single" w:sz="4" w:space="0" w:color="auto"/>
              <w:right w:val="nil"/>
            </w:tcBorders>
            <w:shd w:val="clear" w:color="auto" w:fill="auto"/>
            <w:noWrap/>
            <w:vAlign w:val="center"/>
            <w:hideMark/>
          </w:tcPr>
          <w:p w14:paraId="4034B6A2"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3.7%</w:t>
            </w:r>
          </w:p>
        </w:tc>
        <w:tc>
          <w:tcPr>
            <w:tcW w:w="1004" w:type="dxa"/>
            <w:tcBorders>
              <w:top w:val="nil"/>
              <w:left w:val="single" w:sz="8" w:space="0" w:color="auto"/>
              <w:bottom w:val="single" w:sz="4" w:space="0" w:color="auto"/>
              <w:right w:val="nil"/>
            </w:tcBorders>
            <w:shd w:val="clear" w:color="auto" w:fill="auto"/>
            <w:noWrap/>
            <w:vAlign w:val="center"/>
          </w:tcPr>
          <w:p w14:paraId="414F309B" w14:textId="441DAD16"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68</w:t>
            </w:r>
          </w:p>
        </w:tc>
        <w:tc>
          <w:tcPr>
            <w:tcW w:w="886" w:type="dxa"/>
            <w:tcBorders>
              <w:top w:val="nil"/>
              <w:left w:val="nil"/>
              <w:bottom w:val="single" w:sz="4" w:space="0" w:color="auto"/>
              <w:right w:val="single" w:sz="8" w:space="0" w:color="auto"/>
            </w:tcBorders>
            <w:shd w:val="clear" w:color="auto" w:fill="auto"/>
            <w:noWrap/>
            <w:vAlign w:val="center"/>
          </w:tcPr>
          <w:p w14:paraId="1608764A" w14:textId="4185F697"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5.9%</w:t>
            </w:r>
          </w:p>
        </w:tc>
      </w:tr>
      <w:tr w:rsidR="00B268BF" w:rsidRPr="00D60F05" w14:paraId="32905B26" w14:textId="77777777" w:rsidTr="00B268BF">
        <w:trPr>
          <w:trHeight w:val="510"/>
        </w:trPr>
        <w:tc>
          <w:tcPr>
            <w:tcW w:w="2510" w:type="dxa"/>
            <w:tcBorders>
              <w:top w:val="nil"/>
              <w:left w:val="single" w:sz="8" w:space="0" w:color="auto"/>
              <w:bottom w:val="single" w:sz="4" w:space="0" w:color="auto"/>
              <w:right w:val="nil"/>
            </w:tcBorders>
            <w:shd w:val="clear" w:color="auto" w:fill="auto"/>
            <w:vAlign w:val="center"/>
            <w:hideMark/>
          </w:tcPr>
          <w:p w14:paraId="118BD6F1"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Service providers in my home have changed.</w:t>
            </w:r>
          </w:p>
        </w:tc>
        <w:tc>
          <w:tcPr>
            <w:tcW w:w="1004" w:type="dxa"/>
            <w:tcBorders>
              <w:top w:val="nil"/>
              <w:left w:val="double" w:sz="6" w:space="0" w:color="auto"/>
              <w:bottom w:val="single" w:sz="4" w:space="0" w:color="auto"/>
              <w:right w:val="nil"/>
            </w:tcBorders>
            <w:shd w:val="clear" w:color="auto" w:fill="auto"/>
            <w:noWrap/>
            <w:vAlign w:val="center"/>
            <w:hideMark/>
          </w:tcPr>
          <w:p w14:paraId="3CC18AD5"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866</w:t>
            </w:r>
          </w:p>
        </w:tc>
        <w:tc>
          <w:tcPr>
            <w:tcW w:w="886" w:type="dxa"/>
            <w:tcBorders>
              <w:top w:val="nil"/>
              <w:left w:val="nil"/>
              <w:bottom w:val="single" w:sz="4" w:space="0" w:color="auto"/>
              <w:right w:val="nil"/>
            </w:tcBorders>
            <w:shd w:val="clear" w:color="auto" w:fill="auto"/>
            <w:noWrap/>
            <w:vAlign w:val="center"/>
            <w:hideMark/>
          </w:tcPr>
          <w:p w14:paraId="67F7D874"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19.1%</w:t>
            </w:r>
          </w:p>
        </w:tc>
        <w:tc>
          <w:tcPr>
            <w:tcW w:w="1004" w:type="dxa"/>
            <w:tcBorders>
              <w:top w:val="nil"/>
              <w:left w:val="single" w:sz="8" w:space="0" w:color="auto"/>
              <w:bottom w:val="single" w:sz="4" w:space="0" w:color="auto"/>
              <w:right w:val="nil"/>
            </w:tcBorders>
            <w:shd w:val="clear" w:color="auto" w:fill="auto"/>
            <w:noWrap/>
            <w:vAlign w:val="center"/>
          </w:tcPr>
          <w:p w14:paraId="2A37DA7F" w14:textId="35A95E99"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539</w:t>
            </w:r>
          </w:p>
        </w:tc>
        <w:tc>
          <w:tcPr>
            <w:tcW w:w="886" w:type="dxa"/>
            <w:tcBorders>
              <w:top w:val="nil"/>
              <w:left w:val="nil"/>
              <w:bottom w:val="single" w:sz="4" w:space="0" w:color="auto"/>
              <w:right w:val="double" w:sz="6" w:space="0" w:color="auto"/>
            </w:tcBorders>
            <w:shd w:val="clear" w:color="auto" w:fill="auto"/>
            <w:noWrap/>
            <w:vAlign w:val="center"/>
          </w:tcPr>
          <w:p w14:paraId="3BC5F362" w14:textId="3D9ED106"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15.8%</w:t>
            </w:r>
          </w:p>
        </w:tc>
        <w:tc>
          <w:tcPr>
            <w:tcW w:w="1004" w:type="dxa"/>
            <w:tcBorders>
              <w:top w:val="nil"/>
              <w:left w:val="nil"/>
              <w:bottom w:val="single" w:sz="4" w:space="0" w:color="auto"/>
              <w:right w:val="nil"/>
            </w:tcBorders>
            <w:shd w:val="clear" w:color="auto" w:fill="auto"/>
            <w:noWrap/>
            <w:vAlign w:val="center"/>
            <w:hideMark/>
          </w:tcPr>
          <w:p w14:paraId="3416C7C0"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107</w:t>
            </w:r>
          </w:p>
        </w:tc>
        <w:tc>
          <w:tcPr>
            <w:tcW w:w="886" w:type="dxa"/>
            <w:tcBorders>
              <w:top w:val="nil"/>
              <w:left w:val="nil"/>
              <w:bottom w:val="single" w:sz="4" w:space="0" w:color="auto"/>
              <w:right w:val="nil"/>
            </w:tcBorders>
            <w:shd w:val="clear" w:color="auto" w:fill="auto"/>
            <w:noWrap/>
            <w:vAlign w:val="center"/>
            <w:hideMark/>
          </w:tcPr>
          <w:p w14:paraId="68F9DFB9"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15.9%</w:t>
            </w:r>
          </w:p>
        </w:tc>
        <w:tc>
          <w:tcPr>
            <w:tcW w:w="1004" w:type="dxa"/>
            <w:tcBorders>
              <w:top w:val="nil"/>
              <w:left w:val="single" w:sz="8" w:space="0" w:color="auto"/>
              <w:bottom w:val="single" w:sz="4" w:space="0" w:color="auto"/>
              <w:right w:val="nil"/>
            </w:tcBorders>
            <w:shd w:val="clear" w:color="auto" w:fill="auto"/>
            <w:noWrap/>
            <w:vAlign w:val="center"/>
          </w:tcPr>
          <w:p w14:paraId="5508A747" w14:textId="4B51D147"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70</w:t>
            </w:r>
          </w:p>
        </w:tc>
        <w:tc>
          <w:tcPr>
            <w:tcW w:w="886" w:type="dxa"/>
            <w:tcBorders>
              <w:top w:val="nil"/>
              <w:left w:val="nil"/>
              <w:bottom w:val="single" w:sz="4" w:space="0" w:color="auto"/>
              <w:right w:val="single" w:sz="8" w:space="0" w:color="auto"/>
            </w:tcBorders>
            <w:shd w:val="clear" w:color="auto" w:fill="auto"/>
            <w:noWrap/>
            <w:vAlign w:val="center"/>
          </w:tcPr>
          <w:p w14:paraId="48063E49" w14:textId="1CD66324"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1.4%</w:t>
            </w:r>
          </w:p>
        </w:tc>
      </w:tr>
      <w:tr w:rsidR="00B268BF" w:rsidRPr="00D60F05" w14:paraId="6603E85C" w14:textId="77777777" w:rsidTr="00B268BF">
        <w:trPr>
          <w:trHeight w:val="315"/>
        </w:trPr>
        <w:tc>
          <w:tcPr>
            <w:tcW w:w="2510" w:type="dxa"/>
            <w:tcBorders>
              <w:top w:val="nil"/>
              <w:left w:val="single" w:sz="8" w:space="0" w:color="auto"/>
              <w:bottom w:val="single" w:sz="8" w:space="0" w:color="auto"/>
              <w:right w:val="nil"/>
            </w:tcBorders>
            <w:shd w:val="clear" w:color="auto" w:fill="auto"/>
            <w:vAlign w:val="center"/>
            <w:hideMark/>
          </w:tcPr>
          <w:p w14:paraId="67059878"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The services I receive have changed.</w:t>
            </w:r>
          </w:p>
        </w:tc>
        <w:tc>
          <w:tcPr>
            <w:tcW w:w="1004" w:type="dxa"/>
            <w:tcBorders>
              <w:top w:val="nil"/>
              <w:left w:val="double" w:sz="6" w:space="0" w:color="auto"/>
              <w:bottom w:val="single" w:sz="8" w:space="0" w:color="auto"/>
              <w:right w:val="nil"/>
            </w:tcBorders>
            <w:shd w:val="clear" w:color="auto" w:fill="auto"/>
            <w:noWrap/>
            <w:vAlign w:val="center"/>
            <w:hideMark/>
          </w:tcPr>
          <w:p w14:paraId="5CB7215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964</w:t>
            </w:r>
          </w:p>
        </w:tc>
        <w:tc>
          <w:tcPr>
            <w:tcW w:w="886" w:type="dxa"/>
            <w:tcBorders>
              <w:top w:val="nil"/>
              <w:left w:val="nil"/>
              <w:bottom w:val="single" w:sz="8" w:space="0" w:color="auto"/>
              <w:right w:val="nil"/>
            </w:tcBorders>
            <w:shd w:val="clear" w:color="auto" w:fill="auto"/>
            <w:noWrap/>
            <w:vAlign w:val="center"/>
            <w:hideMark/>
          </w:tcPr>
          <w:p w14:paraId="7887CA9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10.5%</w:t>
            </w:r>
          </w:p>
        </w:tc>
        <w:tc>
          <w:tcPr>
            <w:tcW w:w="1004" w:type="dxa"/>
            <w:tcBorders>
              <w:top w:val="nil"/>
              <w:left w:val="single" w:sz="8" w:space="0" w:color="auto"/>
              <w:bottom w:val="single" w:sz="8" w:space="0" w:color="auto"/>
              <w:right w:val="nil"/>
            </w:tcBorders>
            <w:shd w:val="clear" w:color="auto" w:fill="auto"/>
            <w:noWrap/>
            <w:vAlign w:val="center"/>
          </w:tcPr>
          <w:p w14:paraId="0C7412F2" w14:textId="10C5AAED"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585</w:t>
            </w:r>
          </w:p>
        </w:tc>
        <w:tc>
          <w:tcPr>
            <w:tcW w:w="886" w:type="dxa"/>
            <w:tcBorders>
              <w:top w:val="nil"/>
              <w:left w:val="nil"/>
              <w:bottom w:val="single" w:sz="8" w:space="0" w:color="auto"/>
              <w:right w:val="double" w:sz="6" w:space="0" w:color="auto"/>
            </w:tcBorders>
            <w:shd w:val="clear" w:color="auto" w:fill="auto"/>
            <w:noWrap/>
            <w:vAlign w:val="center"/>
          </w:tcPr>
          <w:p w14:paraId="5C078CC7" w14:textId="0A3AEE1D" w:rsidR="00B268BF" w:rsidRPr="00DD402E" w:rsidRDefault="00B268BF" w:rsidP="00B268BF">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10.1%</w:t>
            </w:r>
          </w:p>
        </w:tc>
        <w:tc>
          <w:tcPr>
            <w:tcW w:w="1004" w:type="dxa"/>
            <w:tcBorders>
              <w:top w:val="nil"/>
              <w:left w:val="nil"/>
              <w:bottom w:val="single" w:sz="8" w:space="0" w:color="auto"/>
              <w:right w:val="nil"/>
            </w:tcBorders>
            <w:shd w:val="clear" w:color="auto" w:fill="auto"/>
            <w:noWrap/>
            <w:vAlign w:val="center"/>
            <w:hideMark/>
          </w:tcPr>
          <w:p w14:paraId="28B0975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110</w:t>
            </w:r>
          </w:p>
        </w:tc>
        <w:tc>
          <w:tcPr>
            <w:tcW w:w="886" w:type="dxa"/>
            <w:tcBorders>
              <w:top w:val="nil"/>
              <w:left w:val="nil"/>
              <w:bottom w:val="single" w:sz="8" w:space="0" w:color="auto"/>
              <w:right w:val="nil"/>
            </w:tcBorders>
            <w:shd w:val="clear" w:color="auto" w:fill="auto"/>
            <w:noWrap/>
            <w:vAlign w:val="center"/>
            <w:hideMark/>
          </w:tcPr>
          <w:p w14:paraId="19AAD7C6"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10.0%</w:t>
            </w:r>
          </w:p>
        </w:tc>
        <w:tc>
          <w:tcPr>
            <w:tcW w:w="1004" w:type="dxa"/>
            <w:tcBorders>
              <w:top w:val="nil"/>
              <w:left w:val="single" w:sz="8" w:space="0" w:color="auto"/>
              <w:bottom w:val="single" w:sz="8" w:space="0" w:color="auto"/>
              <w:right w:val="nil"/>
            </w:tcBorders>
            <w:shd w:val="clear" w:color="auto" w:fill="auto"/>
            <w:noWrap/>
            <w:vAlign w:val="center"/>
            <w:hideMark/>
          </w:tcPr>
          <w:p w14:paraId="4A248160" w14:textId="6C448300"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70</w:t>
            </w:r>
          </w:p>
        </w:tc>
        <w:tc>
          <w:tcPr>
            <w:tcW w:w="886" w:type="dxa"/>
            <w:tcBorders>
              <w:top w:val="nil"/>
              <w:left w:val="nil"/>
              <w:bottom w:val="single" w:sz="8" w:space="0" w:color="auto"/>
              <w:right w:val="single" w:sz="8" w:space="0" w:color="auto"/>
            </w:tcBorders>
            <w:shd w:val="clear" w:color="auto" w:fill="auto"/>
            <w:noWrap/>
            <w:vAlign w:val="center"/>
            <w:hideMark/>
          </w:tcPr>
          <w:p w14:paraId="75840D6C" w14:textId="2EB46A0F" w:rsidR="00B268BF" w:rsidRPr="00B268BF" w:rsidRDefault="00B268BF" w:rsidP="00B268BF">
            <w:pPr>
              <w:spacing w:line="240" w:lineRule="auto"/>
              <w:jc w:val="center"/>
              <w:rPr>
                <w:rFonts w:asciiTheme="minorHAnsi" w:eastAsia="Times New Roman" w:hAnsiTheme="minorHAnsi" w:cstheme="minorHAnsi"/>
                <w:color w:val="000000"/>
                <w:sz w:val="20"/>
                <w:szCs w:val="20"/>
              </w:rPr>
            </w:pPr>
            <w:r w:rsidRPr="00B268BF">
              <w:rPr>
                <w:rFonts w:asciiTheme="minorHAnsi" w:hAnsiTheme="minorHAnsi" w:cstheme="minorHAnsi"/>
                <w:sz w:val="20"/>
                <w:szCs w:val="20"/>
              </w:rPr>
              <w:t>1.4%</w:t>
            </w:r>
          </w:p>
        </w:tc>
      </w:tr>
    </w:tbl>
    <w:p w14:paraId="29C92737" w14:textId="5A2916CF" w:rsidR="00D404A9" w:rsidRDefault="00D404A9" w:rsidP="00956AE3">
      <w:r>
        <w:fldChar w:fldCharType="end"/>
      </w:r>
    </w:p>
    <w:p w14:paraId="2C67A52C" w14:textId="7A631DAE" w:rsidR="00766022" w:rsidRPr="00540880" w:rsidRDefault="008015F2" w:rsidP="00766022">
      <w:r>
        <w:t xml:space="preserve">The change in services and where the person lived were the only two changes for which over half of the people involved indicated the change was their own choice, </w:t>
      </w:r>
      <w:r w:rsidR="00C264B1">
        <w:t>50.8</w:t>
      </w:r>
      <w:r>
        <w:t xml:space="preserve"> percent and 53.</w:t>
      </w:r>
      <w:r w:rsidR="00C264B1">
        <w:t>6</w:t>
      </w:r>
      <w:r>
        <w:t xml:space="preserve"> percent respectively. All </w:t>
      </w:r>
      <w:r w:rsidR="006D7B53">
        <w:t>other</w:t>
      </w:r>
      <w:r>
        <w:t xml:space="preserve"> change decisions were</w:t>
      </w:r>
      <w:r w:rsidR="00C264B1">
        <w:t xml:space="preserve"> most</w:t>
      </w:r>
      <w:r>
        <w:t xml:space="preserve"> often made by natural and paid supports, or also driven </w:t>
      </w:r>
      <w:r w:rsidR="006D7B53">
        <w:t>by</w:t>
      </w:r>
      <w:r>
        <w:t xml:space="preserve"> providers or Support Coordinators </w:t>
      </w:r>
      <w:r w:rsidR="006D7B53">
        <w:t xml:space="preserve">who </w:t>
      </w:r>
      <w:r>
        <w:t xml:space="preserve">were no longer rendering services.  </w:t>
      </w:r>
    </w:p>
    <w:p w14:paraId="755CEEB8" w14:textId="6F62CD9F" w:rsidR="00E92656" w:rsidRDefault="00E92656" w:rsidP="00956AE3"/>
    <w:p w14:paraId="01ABE115" w14:textId="22555E51" w:rsidR="00956AE3" w:rsidRPr="000A0807" w:rsidRDefault="00956AE3" w:rsidP="008A1A53">
      <w:pPr>
        <w:pStyle w:val="Heading3"/>
      </w:pPr>
      <w:bookmarkStart w:id="36" w:name="_Toc64285531"/>
      <w:r w:rsidRPr="008A1A53">
        <w:t>PCR Waiver Support Coordinator and CDC+ Consultant Record Reviews</w:t>
      </w:r>
      <w:r w:rsidR="004D7C61">
        <w:rPr>
          <w:rStyle w:val="FootnoteReference"/>
          <w:b w:val="0"/>
        </w:rPr>
        <w:footnoteReference w:id="7"/>
      </w:r>
      <w:bookmarkEnd w:id="36"/>
      <w:r w:rsidRPr="000A0807">
        <w:t xml:space="preserve"> </w:t>
      </w:r>
    </w:p>
    <w:p w14:paraId="39E6A3D1" w14:textId="523DED86" w:rsidR="00956AE3" w:rsidRDefault="00956AE3" w:rsidP="00956AE3">
      <w:r w:rsidRPr="00315E05">
        <w:rPr>
          <w:noProof/>
        </w:rPr>
        <w:drawing>
          <wp:anchor distT="0" distB="0" distL="114300" distR="114300" simplePos="0" relativeHeight="251658255" behindDoc="0" locked="0" layoutInCell="1" allowOverlap="1" wp14:anchorId="714FB718" wp14:editId="1A2FF98D">
            <wp:simplePos x="0" y="0"/>
            <wp:positionH relativeFrom="margin">
              <wp:align>left</wp:align>
            </wp:positionH>
            <wp:positionV relativeFrom="paragraph">
              <wp:posOffset>60325</wp:posOffset>
            </wp:positionV>
            <wp:extent cx="767715" cy="796925"/>
            <wp:effectExtent l="0" t="0" r="0" b="31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peles-burocracia[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7715" cy="796925"/>
                    </a:xfrm>
                    <a:prstGeom prst="rect">
                      <a:avLst/>
                    </a:prstGeom>
                  </pic:spPr>
                </pic:pic>
              </a:graphicData>
            </a:graphic>
            <wp14:sizeRelH relativeFrom="margin">
              <wp14:pctWidth>0</wp14:pctWidth>
            </wp14:sizeRelH>
            <wp14:sizeRelV relativeFrom="margin">
              <wp14:pctHeight>0</wp14:pctHeight>
            </wp14:sizeRelV>
          </wp:anchor>
        </w:drawing>
      </w:r>
      <w:r w:rsidR="00C264B1">
        <w:t>R</w:t>
      </w:r>
      <w:r w:rsidRPr="00315E05">
        <w:t>ecords maintained by the WSC and CDC+ Consultant are reviewed specific to the person who was interviewed</w:t>
      </w:r>
      <w:r w:rsidR="00C264B1">
        <w:t xml:space="preserve"> during the PCR</w:t>
      </w:r>
      <w:r w:rsidRPr="00315E05">
        <w:t xml:space="preserve">. </w:t>
      </w:r>
      <w:r w:rsidR="00CB2B4C" w:rsidRPr="00315E05">
        <w:t>Results</w:t>
      </w:r>
      <w:r w:rsidRPr="00315E05">
        <w:t xml:space="preserve"> are </w:t>
      </w:r>
      <w:r w:rsidR="008A1A53" w:rsidRPr="00315E05">
        <w:t>shown</w:t>
      </w:r>
      <w:r w:rsidRPr="00315E05">
        <w:t xml:space="preserve"> by </w:t>
      </w:r>
      <w:r w:rsidR="00315E05">
        <w:t>r</w:t>
      </w:r>
      <w:r w:rsidRPr="00315E05">
        <w:t>egion in Table</w:t>
      </w:r>
      <w:r w:rsidRPr="000344EB">
        <w:t xml:space="preserve"> </w:t>
      </w:r>
      <w:r w:rsidR="00C264B1">
        <w:t>7</w:t>
      </w:r>
      <w:r w:rsidR="001D3240">
        <w:t>,</w:t>
      </w:r>
      <w:r w:rsidRPr="000344EB">
        <w:t xml:space="preserve"> by </w:t>
      </w:r>
      <w:r>
        <w:t>s</w:t>
      </w:r>
      <w:r w:rsidRPr="000344EB">
        <w:t xml:space="preserve">tandard for WSCs in Table </w:t>
      </w:r>
      <w:r w:rsidR="00C264B1">
        <w:t>8</w:t>
      </w:r>
      <w:r w:rsidRPr="000344EB">
        <w:t xml:space="preserve"> and CDC+ Consultants in Table </w:t>
      </w:r>
      <w:r w:rsidR="00C264B1" w:rsidRPr="00A35544">
        <w:t>9</w:t>
      </w:r>
      <w:r w:rsidRPr="00A35544">
        <w:t xml:space="preserve">. </w:t>
      </w:r>
      <w:r w:rsidR="003A3006" w:rsidRPr="00A35544">
        <w:t>Results</w:t>
      </w:r>
      <w:r w:rsidR="00315E05" w:rsidRPr="00A35544">
        <w:t xml:space="preserve"> by standard are shown for </w:t>
      </w:r>
      <w:r w:rsidR="00A35544" w:rsidRPr="00A35544">
        <w:t xml:space="preserve">Y4Q1-2 </w:t>
      </w:r>
      <w:r w:rsidR="00315E05" w:rsidRPr="00A35544">
        <w:t xml:space="preserve">(July – </w:t>
      </w:r>
      <w:r w:rsidR="00A77B6A">
        <w:t>December</w:t>
      </w:r>
      <w:r w:rsidR="00315E05" w:rsidRPr="00A35544">
        <w:t xml:space="preserve"> 2020) and for the 4</w:t>
      </w:r>
      <w:r w:rsidR="00315E05" w:rsidRPr="00A35544">
        <w:rPr>
          <w:vertAlign w:val="superscript"/>
        </w:rPr>
        <w:t>th</w:t>
      </w:r>
      <w:r w:rsidR="00315E05" w:rsidRPr="00A35544">
        <w:t xml:space="preserve"> quarter of last year (April – July 2020)</w:t>
      </w:r>
      <w:r w:rsidR="00A77B6A">
        <w:t>, showing data collected during the pandemic last year</w:t>
      </w:r>
      <w:r w:rsidR="00315E05" w:rsidRPr="00A35544">
        <w:t xml:space="preserve">.  </w:t>
      </w:r>
      <w:r w:rsidRPr="00A35544">
        <w:t>Findings indicate the following:</w:t>
      </w:r>
      <w:r w:rsidRPr="00650817">
        <w:t xml:space="preserve"> </w:t>
      </w:r>
    </w:p>
    <w:p w14:paraId="602763D1" w14:textId="77777777" w:rsidR="00956AE3" w:rsidRPr="002A4518" w:rsidRDefault="00956AE3" w:rsidP="00956AE3">
      <w:pPr>
        <w:spacing w:line="240" w:lineRule="auto"/>
      </w:pPr>
    </w:p>
    <w:p w14:paraId="622D2011" w14:textId="3218EB6B" w:rsidR="00956AE3" w:rsidRPr="00AE44BB" w:rsidRDefault="00315E05" w:rsidP="00956AE3">
      <w:pPr>
        <w:pStyle w:val="ListParagraph"/>
        <w:numPr>
          <w:ilvl w:val="0"/>
          <w:numId w:val="7"/>
        </w:numPr>
      </w:pPr>
      <w:r w:rsidRPr="00AE44BB">
        <w:lastRenderedPageBreak/>
        <w:t>B</w:t>
      </w:r>
      <w:r w:rsidR="00956AE3" w:rsidRPr="00AE44BB">
        <w:t>oth WSCs and Consultants scored relatively high on the record reviews</w:t>
      </w:r>
      <w:r w:rsidRPr="00AE44BB">
        <w:t xml:space="preserve"> to date</w:t>
      </w:r>
      <w:r w:rsidR="00372F43" w:rsidRPr="00AE44BB">
        <w:t xml:space="preserve">, </w:t>
      </w:r>
      <w:r w:rsidRPr="00AE44BB">
        <w:t>with</w:t>
      </w:r>
      <w:r w:rsidR="00372F43" w:rsidRPr="00AE44BB">
        <w:t xml:space="preserve"> little variation across regions</w:t>
      </w:r>
      <w:r w:rsidR="00956AE3" w:rsidRPr="00AE44BB">
        <w:t>.</w:t>
      </w:r>
    </w:p>
    <w:p w14:paraId="0044A8B4" w14:textId="3FE6B1E0" w:rsidR="00956AE3" w:rsidRPr="006C0BF0" w:rsidRDefault="009B4C73" w:rsidP="00956AE3">
      <w:pPr>
        <w:pStyle w:val="ListParagraph"/>
        <w:numPr>
          <w:ilvl w:val="0"/>
          <w:numId w:val="7"/>
        </w:numPr>
      </w:pPr>
      <w:r w:rsidRPr="006C0BF0">
        <w:t>Support Coordinators scored approximately 8</w:t>
      </w:r>
      <w:r w:rsidR="00CF1AAA" w:rsidRPr="006C0BF0">
        <w:t>2</w:t>
      </w:r>
      <w:r w:rsidRPr="006C0BF0">
        <w:t xml:space="preserve"> percent or higher on each indicator. Comparing the two </w:t>
      </w:r>
      <w:r w:rsidR="006C0BF0" w:rsidRPr="006C0BF0">
        <w:t>time periods</w:t>
      </w:r>
      <w:r w:rsidRPr="006C0BF0">
        <w:t xml:space="preserve"> (April – June</w:t>
      </w:r>
      <w:r w:rsidR="005D5F56" w:rsidRPr="006C0BF0">
        <w:t xml:space="preserve"> 2020</w:t>
      </w:r>
      <w:r w:rsidRPr="006C0BF0">
        <w:t xml:space="preserve"> and July – </w:t>
      </w:r>
      <w:r w:rsidR="006C0BF0" w:rsidRPr="006C0BF0">
        <w:t>December</w:t>
      </w:r>
      <w:r w:rsidRPr="006C0BF0">
        <w:t xml:space="preserve"> 2020), </w:t>
      </w:r>
      <w:r w:rsidR="00015D9C" w:rsidRPr="006C0BF0">
        <w:t>the following two indicators showed the greatest decrease (highlighted in the table):</w:t>
      </w:r>
    </w:p>
    <w:p w14:paraId="37C2E17C" w14:textId="212940D6" w:rsidR="009B4C73" w:rsidRPr="006C0BF0" w:rsidRDefault="00015D9C" w:rsidP="00015D9C">
      <w:pPr>
        <w:pStyle w:val="ListParagraph"/>
        <w:numPr>
          <w:ilvl w:val="1"/>
          <w:numId w:val="7"/>
        </w:numPr>
      </w:pPr>
      <w:r w:rsidRPr="006C0BF0">
        <w:t xml:space="preserve">Support Coordination Progress Notes demonstrate pre-Support Plan planning activities were conducted, a drop from 88.6 percent to </w:t>
      </w:r>
      <w:r w:rsidR="006C0BF0" w:rsidRPr="006C0BF0">
        <w:t>81.5</w:t>
      </w:r>
      <w:r w:rsidRPr="006C0BF0">
        <w:t xml:space="preserve"> percent.</w:t>
      </w:r>
    </w:p>
    <w:p w14:paraId="315B20FA" w14:textId="75462569" w:rsidR="00015D9C" w:rsidRPr="006C0BF0" w:rsidRDefault="00015D9C" w:rsidP="00015D9C">
      <w:pPr>
        <w:pStyle w:val="ListParagraph"/>
        <w:numPr>
          <w:ilvl w:val="1"/>
          <w:numId w:val="7"/>
        </w:numPr>
      </w:pPr>
      <w:r w:rsidRPr="006C0BF0">
        <w:t xml:space="preserve">For individuals in supported living arrangements, Progress Notes demonstrate required activities are covered during each quarterly home visit, a decrease from 96.2 percent to </w:t>
      </w:r>
      <w:r w:rsidR="006C0BF0" w:rsidRPr="006C0BF0">
        <w:t>87.3</w:t>
      </w:r>
      <w:r w:rsidRPr="006C0BF0">
        <w:t xml:space="preserve"> percent; however, this was based on a small </w:t>
      </w:r>
      <w:r w:rsidR="00D401E4" w:rsidRPr="006C0BF0">
        <w:t>sample</w:t>
      </w:r>
      <w:r w:rsidRPr="006C0BF0">
        <w:t xml:space="preserve"> size.</w:t>
      </w:r>
    </w:p>
    <w:p w14:paraId="31A8E084" w14:textId="350787AF" w:rsidR="005130B6" w:rsidRPr="006C0BF0" w:rsidRDefault="00015D9C" w:rsidP="006C0BF0">
      <w:pPr>
        <w:pStyle w:val="ListParagraph"/>
        <w:numPr>
          <w:ilvl w:val="0"/>
          <w:numId w:val="7"/>
        </w:numPr>
      </w:pPr>
      <w:r w:rsidRPr="006C0BF0">
        <w:t>To date, all CDC+ indicator scores were bas</w:t>
      </w:r>
      <w:r w:rsidR="00D401E4" w:rsidRPr="006C0BF0">
        <w:t>ed on a small sample</w:t>
      </w:r>
      <w:r w:rsidRPr="006C0BF0">
        <w:t xml:space="preserve"> size</w:t>
      </w:r>
      <w:r w:rsidR="00D401E4" w:rsidRPr="006C0BF0">
        <w:t>s</w:t>
      </w:r>
      <w:r w:rsidRPr="006C0BF0">
        <w:t xml:space="preserve"> a</w:t>
      </w:r>
      <w:r w:rsidR="006C0BF0" w:rsidRPr="006C0BF0">
        <w:t>nd were relatively high, 90 percent or greater.</w:t>
      </w:r>
      <w:r w:rsidRPr="006C0BF0">
        <w:t xml:space="preserve"> </w:t>
      </w:r>
    </w:p>
    <w:p w14:paraId="7CED2634" w14:textId="77777777" w:rsidR="006C0BF0" w:rsidRPr="00831494" w:rsidRDefault="006C0BF0" w:rsidP="006C0BF0">
      <w:pPr>
        <w:pStyle w:val="ListParagraph"/>
      </w:pPr>
    </w:p>
    <w:tbl>
      <w:tblPr>
        <w:tblStyle w:val="TableGrid"/>
        <w:tblW w:w="8545" w:type="dxa"/>
        <w:jc w:val="center"/>
        <w:tblLayout w:type="fixed"/>
        <w:tblLook w:val="04A0" w:firstRow="1" w:lastRow="0" w:firstColumn="1" w:lastColumn="0" w:noHBand="0" w:noVBand="1"/>
      </w:tblPr>
      <w:tblGrid>
        <w:gridCol w:w="1563"/>
        <w:gridCol w:w="1190"/>
        <w:gridCol w:w="1190"/>
        <w:gridCol w:w="1182"/>
        <w:gridCol w:w="8"/>
        <w:gridCol w:w="1190"/>
        <w:gridCol w:w="1190"/>
        <w:gridCol w:w="1032"/>
      </w:tblGrid>
      <w:tr w:rsidR="005470D1" w:rsidRPr="000B6022" w14:paraId="5F8E561E" w14:textId="77777777" w:rsidTr="00751D66">
        <w:trPr>
          <w:trHeight w:val="365"/>
          <w:tblHeader/>
          <w:jc w:val="center"/>
        </w:trPr>
        <w:tc>
          <w:tcPr>
            <w:tcW w:w="8545" w:type="dxa"/>
            <w:gridSpan w:val="8"/>
            <w:shd w:val="clear" w:color="auto" w:fill="1F4E79" w:themeFill="accent1" w:themeFillShade="80"/>
            <w:noWrap/>
            <w:vAlign w:val="center"/>
            <w:hideMark/>
          </w:tcPr>
          <w:p w14:paraId="73FD82C3" w14:textId="38D37AED" w:rsidR="005470D1" w:rsidRPr="00F84742" w:rsidRDefault="005470D1" w:rsidP="00C264B1">
            <w:pPr>
              <w:spacing w:line="240" w:lineRule="auto"/>
              <w:jc w:val="center"/>
              <w:rPr>
                <w:rFonts w:ascii="Franklin Gothic Medium" w:eastAsia="Times New Roman" w:hAnsi="Franklin Gothic Medium" w:cs="Calibri"/>
                <w:color w:val="FFFFFF"/>
                <w:sz w:val="22"/>
              </w:rPr>
            </w:pPr>
            <w:r w:rsidRPr="00F84742">
              <w:rPr>
                <w:rFonts w:ascii="Franklin Gothic Medium" w:eastAsia="Times New Roman" w:hAnsi="Franklin Gothic Medium" w:cs="Calibri"/>
                <w:color w:val="FFFFFF"/>
                <w:sz w:val="22"/>
              </w:rPr>
              <w:t xml:space="preserve">Table </w:t>
            </w:r>
            <w:r w:rsidR="00C264B1">
              <w:rPr>
                <w:rFonts w:ascii="Franklin Gothic Medium" w:eastAsia="Times New Roman" w:hAnsi="Franklin Gothic Medium" w:cs="Calibri"/>
                <w:color w:val="FFFFFF"/>
                <w:sz w:val="22"/>
              </w:rPr>
              <w:t>7.</w:t>
            </w:r>
            <w:r w:rsidRPr="00F84742">
              <w:rPr>
                <w:rFonts w:ascii="Franklin Gothic Medium" w:eastAsia="Times New Roman" w:hAnsi="Franklin Gothic Medium" w:cs="Calibri"/>
                <w:color w:val="FFFFFF"/>
                <w:sz w:val="22"/>
              </w:rPr>
              <w:t xml:space="preserve">  WSC and CDC+ C</w:t>
            </w:r>
            <w:r>
              <w:rPr>
                <w:rFonts w:ascii="Franklin Gothic Medium" w:eastAsia="Times New Roman" w:hAnsi="Franklin Gothic Medium" w:cs="Calibri"/>
                <w:color w:val="FFFFFF"/>
                <w:sz w:val="22"/>
              </w:rPr>
              <w:t>onsultant</w:t>
            </w:r>
            <w:r w:rsidRPr="00F84742">
              <w:rPr>
                <w:rFonts w:ascii="Franklin Gothic Medium" w:eastAsia="Times New Roman" w:hAnsi="Franklin Gothic Medium" w:cs="Calibri"/>
                <w:color w:val="FFFFFF"/>
                <w:sz w:val="22"/>
              </w:rPr>
              <w:t xml:space="preserve"> Record Review Results by </w:t>
            </w:r>
            <w:r>
              <w:rPr>
                <w:rFonts w:ascii="Franklin Gothic Medium" w:eastAsia="Times New Roman" w:hAnsi="Franklin Gothic Medium" w:cs="Calibri"/>
                <w:color w:val="FFFFFF"/>
                <w:sz w:val="22"/>
              </w:rPr>
              <w:t xml:space="preserve">APD </w:t>
            </w:r>
            <w:r w:rsidRPr="00F84742">
              <w:rPr>
                <w:rFonts w:ascii="Franklin Gothic Medium" w:eastAsia="Times New Roman" w:hAnsi="Franklin Gothic Medium" w:cs="Calibri"/>
                <w:color w:val="FFFFFF"/>
                <w:sz w:val="22"/>
              </w:rPr>
              <w:t>Region</w:t>
            </w:r>
          </w:p>
        </w:tc>
      </w:tr>
      <w:tr w:rsidR="005470D1" w:rsidRPr="000B6022" w14:paraId="4DA83596" w14:textId="77777777" w:rsidTr="00751D66">
        <w:trPr>
          <w:trHeight w:val="365"/>
          <w:tblHeader/>
          <w:jc w:val="center"/>
        </w:trPr>
        <w:tc>
          <w:tcPr>
            <w:tcW w:w="8545" w:type="dxa"/>
            <w:gridSpan w:val="8"/>
            <w:shd w:val="clear" w:color="auto" w:fill="1F4E79" w:themeFill="accent1" w:themeFillShade="80"/>
            <w:noWrap/>
            <w:vAlign w:val="center"/>
            <w:hideMark/>
          </w:tcPr>
          <w:p w14:paraId="728AB0A9" w14:textId="3C1C6A24" w:rsidR="005470D1" w:rsidRPr="00F84742" w:rsidRDefault="007B6EDC" w:rsidP="00C264B1">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 xml:space="preserve">July – </w:t>
            </w:r>
            <w:r w:rsidR="00C264B1">
              <w:rPr>
                <w:rFonts w:ascii="Franklin Gothic Medium" w:eastAsia="Times New Roman" w:hAnsi="Franklin Gothic Medium" w:cs="Calibri"/>
                <w:color w:val="FFFFFF"/>
                <w:sz w:val="22"/>
              </w:rPr>
              <w:t>December</w:t>
            </w:r>
            <w:r>
              <w:rPr>
                <w:rFonts w:ascii="Franklin Gothic Medium" w:eastAsia="Times New Roman" w:hAnsi="Franklin Gothic Medium" w:cs="Calibri"/>
                <w:color w:val="FFFFFF"/>
                <w:sz w:val="22"/>
              </w:rPr>
              <w:t xml:space="preserve"> </w:t>
            </w:r>
            <w:r w:rsidR="005470D1">
              <w:rPr>
                <w:rFonts w:ascii="Franklin Gothic Medium" w:eastAsia="Times New Roman" w:hAnsi="Franklin Gothic Medium" w:cs="Calibri"/>
                <w:color w:val="FFFFFF"/>
                <w:sz w:val="22"/>
              </w:rPr>
              <w:t>2020</w:t>
            </w:r>
          </w:p>
        </w:tc>
      </w:tr>
      <w:tr w:rsidR="005470D1" w:rsidRPr="000B6022" w14:paraId="7A08BB9A" w14:textId="77777777" w:rsidTr="00751D66">
        <w:trPr>
          <w:trHeight w:val="365"/>
          <w:tblHeader/>
          <w:jc w:val="center"/>
        </w:trPr>
        <w:tc>
          <w:tcPr>
            <w:tcW w:w="1563" w:type="dxa"/>
            <w:tcBorders>
              <w:right w:val="double" w:sz="4" w:space="0" w:color="auto"/>
            </w:tcBorders>
            <w:shd w:val="clear" w:color="auto" w:fill="1F4E79" w:themeFill="accent1" w:themeFillShade="80"/>
            <w:noWrap/>
            <w:vAlign w:val="center"/>
            <w:hideMark/>
          </w:tcPr>
          <w:p w14:paraId="491C8E70"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p>
        </w:tc>
        <w:tc>
          <w:tcPr>
            <w:tcW w:w="3562" w:type="dxa"/>
            <w:gridSpan w:val="3"/>
            <w:tcBorders>
              <w:left w:val="double" w:sz="4" w:space="0" w:color="auto"/>
              <w:right w:val="double" w:sz="4" w:space="0" w:color="auto"/>
            </w:tcBorders>
            <w:shd w:val="clear" w:color="auto" w:fill="1F4E79" w:themeFill="accent1" w:themeFillShade="80"/>
            <w:noWrap/>
            <w:vAlign w:val="center"/>
            <w:hideMark/>
          </w:tcPr>
          <w:p w14:paraId="67913B72"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FFFFFF" w:themeColor="background1"/>
                <w:sz w:val="22"/>
              </w:rPr>
              <w:t>WSC</w:t>
            </w:r>
          </w:p>
        </w:tc>
        <w:tc>
          <w:tcPr>
            <w:tcW w:w="3420" w:type="dxa"/>
            <w:gridSpan w:val="4"/>
            <w:tcBorders>
              <w:left w:val="double" w:sz="4" w:space="0" w:color="auto"/>
            </w:tcBorders>
            <w:shd w:val="clear" w:color="auto" w:fill="1F4E79" w:themeFill="accent1" w:themeFillShade="80"/>
            <w:noWrap/>
            <w:vAlign w:val="center"/>
            <w:hideMark/>
          </w:tcPr>
          <w:p w14:paraId="49A27FAC"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FFFFFF" w:themeColor="background1"/>
                <w:sz w:val="22"/>
              </w:rPr>
              <w:t>CDC+ C</w:t>
            </w:r>
          </w:p>
        </w:tc>
      </w:tr>
      <w:tr w:rsidR="005470D1" w:rsidRPr="000B6022" w14:paraId="177499F3" w14:textId="77777777" w:rsidTr="00A77B6A">
        <w:trPr>
          <w:trHeight w:val="365"/>
          <w:tblHeader/>
          <w:jc w:val="center"/>
        </w:trPr>
        <w:tc>
          <w:tcPr>
            <w:tcW w:w="1563" w:type="dxa"/>
            <w:tcBorders>
              <w:right w:val="double" w:sz="4" w:space="0" w:color="auto"/>
            </w:tcBorders>
            <w:shd w:val="clear" w:color="auto" w:fill="FFE599" w:themeFill="accent4" w:themeFillTint="66"/>
            <w:noWrap/>
            <w:vAlign w:val="bottom"/>
            <w:hideMark/>
          </w:tcPr>
          <w:p w14:paraId="3C120625"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000000"/>
                <w:sz w:val="22"/>
              </w:rPr>
              <w:t>Region</w:t>
            </w:r>
          </w:p>
        </w:tc>
        <w:tc>
          <w:tcPr>
            <w:tcW w:w="1190" w:type="dxa"/>
            <w:tcBorders>
              <w:left w:val="double" w:sz="4" w:space="0" w:color="auto"/>
            </w:tcBorders>
            <w:shd w:val="clear" w:color="auto" w:fill="FFE599" w:themeFill="accent4" w:themeFillTint="66"/>
            <w:vAlign w:val="bottom"/>
            <w:hideMark/>
          </w:tcPr>
          <w:p w14:paraId="1A829562"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1EA97F36"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Records</w:t>
            </w:r>
          </w:p>
        </w:tc>
        <w:tc>
          <w:tcPr>
            <w:tcW w:w="1190" w:type="dxa"/>
            <w:shd w:val="clear" w:color="auto" w:fill="FFE599" w:themeFill="accent4" w:themeFillTint="66"/>
            <w:vAlign w:val="bottom"/>
            <w:hideMark/>
          </w:tcPr>
          <w:p w14:paraId="6781ED57"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 xml:space="preserve"># </w:t>
            </w:r>
            <w:r w:rsidRPr="00F84742">
              <w:rPr>
                <w:rFonts w:ascii="Franklin Gothic Medium" w:eastAsia="Times New Roman" w:hAnsi="Franklin Gothic Medium" w:cs="Calibri"/>
                <w:bCs/>
                <w:color w:val="000000"/>
                <w:sz w:val="22"/>
              </w:rPr>
              <w:t>Indicators</w:t>
            </w:r>
          </w:p>
        </w:tc>
        <w:tc>
          <w:tcPr>
            <w:tcW w:w="1190" w:type="dxa"/>
            <w:gridSpan w:val="2"/>
            <w:tcBorders>
              <w:right w:val="double" w:sz="4" w:space="0" w:color="auto"/>
            </w:tcBorders>
            <w:shd w:val="clear" w:color="auto" w:fill="FFE599" w:themeFill="accent4" w:themeFillTint="66"/>
            <w:vAlign w:val="bottom"/>
            <w:hideMark/>
          </w:tcPr>
          <w:p w14:paraId="7E7B21AE"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54C812CF"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Pr>
                <w:rFonts w:ascii="Franklin Gothic Medium" w:eastAsia="Times New Roman" w:hAnsi="Franklin Gothic Medium" w:cs="Calibri"/>
                <w:color w:val="000000"/>
                <w:sz w:val="22"/>
              </w:rPr>
              <w:t>Met</w:t>
            </w:r>
          </w:p>
        </w:tc>
        <w:tc>
          <w:tcPr>
            <w:tcW w:w="1190" w:type="dxa"/>
            <w:tcBorders>
              <w:left w:val="double" w:sz="4" w:space="0" w:color="auto"/>
            </w:tcBorders>
            <w:shd w:val="clear" w:color="auto" w:fill="FFE599" w:themeFill="accent4" w:themeFillTint="66"/>
            <w:vAlign w:val="bottom"/>
            <w:hideMark/>
          </w:tcPr>
          <w:p w14:paraId="1A86801E"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34EDCE79"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Records</w:t>
            </w:r>
          </w:p>
        </w:tc>
        <w:tc>
          <w:tcPr>
            <w:tcW w:w="1190" w:type="dxa"/>
            <w:shd w:val="clear" w:color="auto" w:fill="FFE599" w:themeFill="accent4" w:themeFillTint="66"/>
            <w:vAlign w:val="bottom"/>
            <w:hideMark/>
          </w:tcPr>
          <w:p w14:paraId="2216CE0D"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5FEB973F"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Indicators</w:t>
            </w:r>
          </w:p>
        </w:tc>
        <w:tc>
          <w:tcPr>
            <w:tcW w:w="1032" w:type="dxa"/>
            <w:shd w:val="clear" w:color="auto" w:fill="FFE599" w:themeFill="accent4" w:themeFillTint="66"/>
            <w:vAlign w:val="bottom"/>
            <w:hideMark/>
          </w:tcPr>
          <w:p w14:paraId="6C163383"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2AC30A73"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Pr>
                <w:rFonts w:ascii="Franklin Gothic Medium" w:eastAsia="Times New Roman" w:hAnsi="Franklin Gothic Medium" w:cs="Calibri"/>
                <w:color w:val="000000"/>
                <w:sz w:val="22"/>
              </w:rPr>
              <w:t>Met</w:t>
            </w:r>
          </w:p>
        </w:tc>
      </w:tr>
      <w:tr w:rsidR="00AE44BB" w:rsidRPr="000B6022" w14:paraId="40A13121" w14:textId="77777777" w:rsidTr="00AE44BB">
        <w:trPr>
          <w:trHeight w:val="288"/>
          <w:jc w:val="center"/>
        </w:trPr>
        <w:tc>
          <w:tcPr>
            <w:tcW w:w="1563" w:type="dxa"/>
            <w:tcBorders>
              <w:right w:val="double" w:sz="4" w:space="0" w:color="auto"/>
            </w:tcBorders>
            <w:noWrap/>
            <w:vAlign w:val="bottom"/>
            <w:hideMark/>
          </w:tcPr>
          <w:p w14:paraId="6F42AD48"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Northwest</w:t>
            </w:r>
          </w:p>
        </w:tc>
        <w:tc>
          <w:tcPr>
            <w:tcW w:w="1190" w:type="dxa"/>
            <w:tcBorders>
              <w:left w:val="double" w:sz="4" w:space="0" w:color="auto"/>
            </w:tcBorders>
            <w:noWrap/>
            <w:vAlign w:val="bottom"/>
          </w:tcPr>
          <w:p w14:paraId="6BFE9139" w14:textId="436EBEB5"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32</w:t>
            </w:r>
          </w:p>
        </w:tc>
        <w:tc>
          <w:tcPr>
            <w:tcW w:w="1190" w:type="dxa"/>
            <w:noWrap/>
            <w:vAlign w:val="bottom"/>
          </w:tcPr>
          <w:p w14:paraId="20163178" w14:textId="10D3F491"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841</w:t>
            </w:r>
          </w:p>
        </w:tc>
        <w:tc>
          <w:tcPr>
            <w:tcW w:w="1190" w:type="dxa"/>
            <w:gridSpan w:val="2"/>
            <w:tcBorders>
              <w:right w:val="double" w:sz="4" w:space="0" w:color="auto"/>
            </w:tcBorders>
            <w:noWrap/>
            <w:vAlign w:val="bottom"/>
          </w:tcPr>
          <w:p w14:paraId="0E748284" w14:textId="0020992B"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98.6%</w:t>
            </w:r>
          </w:p>
        </w:tc>
        <w:tc>
          <w:tcPr>
            <w:tcW w:w="1190" w:type="dxa"/>
            <w:tcBorders>
              <w:left w:val="double" w:sz="4" w:space="0" w:color="auto"/>
            </w:tcBorders>
            <w:noWrap/>
            <w:vAlign w:val="bottom"/>
          </w:tcPr>
          <w:p w14:paraId="26BFC517" w14:textId="051219E1"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2</w:t>
            </w:r>
          </w:p>
        </w:tc>
        <w:tc>
          <w:tcPr>
            <w:tcW w:w="1190" w:type="dxa"/>
            <w:noWrap/>
            <w:vAlign w:val="bottom"/>
          </w:tcPr>
          <w:p w14:paraId="25F8D39B" w14:textId="62D54B83"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66</w:t>
            </w:r>
          </w:p>
        </w:tc>
        <w:tc>
          <w:tcPr>
            <w:tcW w:w="1032" w:type="dxa"/>
            <w:noWrap/>
            <w:vAlign w:val="bottom"/>
          </w:tcPr>
          <w:p w14:paraId="55DAA963" w14:textId="2DB7375B"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100.0%</w:t>
            </w:r>
          </w:p>
        </w:tc>
      </w:tr>
      <w:tr w:rsidR="00AE44BB" w:rsidRPr="000B6022" w14:paraId="16923FD8" w14:textId="77777777" w:rsidTr="00AE44BB">
        <w:trPr>
          <w:trHeight w:val="288"/>
          <w:jc w:val="center"/>
        </w:trPr>
        <w:tc>
          <w:tcPr>
            <w:tcW w:w="1563" w:type="dxa"/>
            <w:tcBorders>
              <w:right w:val="double" w:sz="4" w:space="0" w:color="auto"/>
            </w:tcBorders>
            <w:noWrap/>
            <w:vAlign w:val="bottom"/>
            <w:hideMark/>
          </w:tcPr>
          <w:p w14:paraId="02E683A0"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Northeast</w:t>
            </w:r>
          </w:p>
        </w:tc>
        <w:tc>
          <w:tcPr>
            <w:tcW w:w="1190" w:type="dxa"/>
            <w:tcBorders>
              <w:left w:val="double" w:sz="4" w:space="0" w:color="auto"/>
            </w:tcBorders>
            <w:noWrap/>
            <w:vAlign w:val="bottom"/>
          </w:tcPr>
          <w:p w14:paraId="60545349" w14:textId="0A96FEB3"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118</w:t>
            </w:r>
          </w:p>
        </w:tc>
        <w:tc>
          <w:tcPr>
            <w:tcW w:w="1190" w:type="dxa"/>
            <w:noWrap/>
            <w:vAlign w:val="bottom"/>
          </w:tcPr>
          <w:p w14:paraId="1E0C0046" w14:textId="29A9BE20"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3</w:t>
            </w:r>
            <w:r>
              <w:rPr>
                <w:rFonts w:asciiTheme="minorHAnsi" w:hAnsiTheme="minorHAnsi"/>
                <w:sz w:val="20"/>
              </w:rPr>
              <w:t>,</w:t>
            </w:r>
            <w:r w:rsidRPr="003C4A6B">
              <w:rPr>
                <w:rFonts w:asciiTheme="minorHAnsi" w:hAnsiTheme="minorHAnsi"/>
                <w:sz w:val="20"/>
              </w:rPr>
              <w:t>034</w:t>
            </w:r>
          </w:p>
        </w:tc>
        <w:tc>
          <w:tcPr>
            <w:tcW w:w="1190" w:type="dxa"/>
            <w:gridSpan w:val="2"/>
            <w:tcBorders>
              <w:right w:val="double" w:sz="4" w:space="0" w:color="auto"/>
            </w:tcBorders>
            <w:noWrap/>
            <w:vAlign w:val="bottom"/>
          </w:tcPr>
          <w:p w14:paraId="4D73455C" w14:textId="7DA0A99C"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94.7%</w:t>
            </w:r>
          </w:p>
        </w:tc>
        <w:tc>
          <w:tcPr>
            <w:tcW w:w="1190" w:type="dxa"/>
            <w:tcBorders>
              <w:left w:val="double" w:sz="4" w:space="0" w:color="auto"/>
            </w:tcBorders>
            <w:noWrap/>
            <w:vAlign w:val="bottom"/>
          </w:tcPr>
          <w:p w14:paraId="5A38C2A5" w14:textId="22777DD2"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18</w:t>
            </w:r>
          </w:p>
        </w:tc>
        <w:tc>
          <w:tcPr>
            <w:tcW w:w="1190" w:type="dxa"/>
            <w:noWrap/>
            <w:vAlign w:val="bottom"/>
          </w:tcPr>
          <w:p w14:paraId="4E90272E" w14:textId="2BBED807"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569</w:t>
            </w:r>
          </w:p>
        </w:tc>
        <w:tc>
          <w:tcPr>
            <w:tcW w:w="1032" w:type="dxa"/>
            <w:noWrap/>
            <w:vAlign w:val="bottom"/>
          </w:tcPr>
          <w:p w14:paraId="0B3BF77D" w14:textId="68D375CC"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98.8%</w:t>
            </w:r>
          </w:p>
        </w:tc>
      </w:tr>
      <w:tr w:rsidR="00AE44BB" w:rsidRPr="000B6022" w14:paraId="628CA6F3" w14:textId="77777777" w:rsidTr="00AE44BB">
        <w:trPr>
          <w:trHeight w:val="288"/>
          <w:jc w:val="center"/>
        </w:trPr>
        <w:tc>
          <w:tcPr>
            <w:tcW w:w="1563" w:type="dxa"/>
            <w:tcBorders>
              <w:right w:val="double" w:sz="4" w:space="0" w:color="auto"/>
            </w:tcBorders>
            <w:noWrap/>
            <w:vAlign w:val="bottom"/>
            <w:hideMark/>
          </w:tcPr>
          <w:p w14:paraId="03A7F540"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Central</w:t>
            </w:r>
          </w:p>
        </w:tc>
        <w:tc>
          <w:tcPr>
            <w:tcW w:w="1190" w:type="dxa"/>
            <w:tcBorders>
              <w:left w:val="double" w:sz="4" w:space="0" w:color="auto"/>
            </w:tcBorders>
            <w:noWrap/>
            <w:vAlign w:val="bottom"/>
          </w:tcPr>
          <w:p w14:paraId="5D783911" w14:textId="5DB5BD71"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93</w:t>
            </w:r>
          </w:p>
        </w:tc>
        <w:tc>
          <w:tcPr>
            <w:tcW w:w="1190" w:type="dxa"/>
            <w:noWrap/>
            <w:vAlign w:val="bottom"/>
          </w:tcPr>
          <w:p w14:paraId="68323071" w14:textId="6F5D6D08"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2</w:t>
            </w:r>
            <w:r>
              <w:rPr>
                <w:rFonts w:asciiTheme="minorHAnsi" w:hAnsiTheme="minorHAnsi"/>
                <w:sz w:val="20"/>
              </w:rPr>
              <w:t>,</w:t>
            </w:r>
            <w:r w:rsidRPr="003C4A6B">
              <w:rPr>
                <w:rFonts w:asciiTheme="minorHAnsi" w:hAnsiTheme="minorHAnsi"/>
                <w:sz w:val="20"/>
              </w:rPr>
              <w:t>380</w:t>
            </w:r>
          </w:p>
        </w:tc>
        <w:tc>
          <w:tcPr>
            <w:tcW w:w="1190" w:type="dxa"/>
            <w:gridSpan w:val="2"/>
            <w:tcBorders>
              <w:right w:val="double" w:sz="4" w:space="0" w:color="auto"/>
            </w:tcBorders>
            <w:noWrap/>
            <w:vAlign w:val="bottom"/>
          </w:tcPr>
          <w:p w14:paraId="68795523" w14:textId="1797BF36"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93.4%</w:t>
            </w:r>
          </w:p>
        </w:tc>
        <w:tc>
          <w:tcPr>
            <w:tcW w:w="1190" w:type="dxa"/>
            <w:tcBorders>
              <w:left w:val="double" w:sz="4" w:space="0" w:color="auto"/>
            </w:tcBorders>
            <w:noWrap/>
            <w:vAlign w:val="bottom"/>
          </w:tcPr>
          <w:p w14:paraId="11C403BF" w14:textId="5D2293CA"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20</w:t>
            </w:r>
          </w:p>
        </w:tc>
        <w:tc>
          <w:tcPr>
            <w:tcW w:w="1190" w:type="dxa"/>
            <w:noWrap/>
            <w:vAlign w:val="bottom"/>
          </w:tcPr>
          <w:p w14:paraId="27D07CAC" w14:textId="53724C8C"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639</w:t>
            </w:r>
          </w:p>
        </w:tc>
        <w:tc>
          <w:tcPr>
            <w:tcW w:w="1032" w:type="dxa"/>
            <w:noWrap/>
            <w:vAlign w:val="bottom"/>
          </w:tcPr>
          <w:p w14:paraId="044B9480" w14:textId="135B07DA"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97.8%</w:t>
            </w:r>
          </w:p>
        </w:tc>
      </w:tr>
      <w:tr w:rsidR="00AE44BB" w:rsidRPr="000B6022" w14:paraId="4B2BC206" w14:textId="77777777" w:rsidTr="00AE44BB">
        <w:trPr>
          <w:trHeight w:val="288"/>
          <w:jc w:val="center"/>
        </w:trPr>
        <w:tc>
          <w:tcPr>
            <w:tcW w:w="1563" w:type="dxa"/>
            <w:tcBorders>
              <w:right w:val="double" w:sz="4" w:space="0" w:color="auto"/>
            </w:tcBorders>
            <w:noWrap/>
            <w:vAlign w:val="bottom"/>
            <w:hideMark/>
          </w:tcPr>
          <w:p w14:paraId="48ED97D0"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Suncoast</w:t>
            </w:r>
          </w:p>
        </w:tc>
        <w:tc>
          <w:tcPr>
            <w:tcW w:w="1190" w:type="dxa"/>
            <w:tcBorders>
              <w:left w:val="double" w:sz="4" w:space="0" w:color="auto"/>
            </w:tcBorders>
            <w:noWrap/>
            <w:vAlign w:val="bottom"/>
          </w:tcPr>
          <w:p w14:paraId="5DE5D0BD" w14:textId="20317C88"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127</w:t>
            </w:r>
          </w:p>
        </w:tc>
        <w:tc>
          <w:tcPr>
            <w:tcW w:w="1190" w:type="dxa"/>
            <w:noWrap/>
            <w:vAlign w:val="bottom"/>
          </w:tcPr>
          <w:p w14:paraId="5485DC1E" w14:textId="0E09F3DF"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3</w:t>
            </w:r>
            <w:r>
              <w:rPr>
                <w:rFonts w:asciiTheme="minorHAnsi" w:hAnsiTheme="minorHAnsi"/>
                <w:sz w:val="20"/>
              </w:rPr>
              <w:t>,</w:t>
            </w:r>
            <w:r w:rsidRPr="003C4A6B">
              <w:rPr>
                <w:rFonts w:asciiTheme="minorHAnsi" w:hAnsiTheme="minorHAnsi"/>
                <w:sz w:val="20"/>
              </w:rPr>
              <w:t>346</w:t>
            </w:r>
          </w:p>
        </w:tc>
        <w:tc>
          <w:tcPr>
            <w:tcW w:w="1190" w:type="dxa"/>
            <w:gridSpan w:val="2"/>
            <w:tcBorders>
              <w:right w:val="double" w:sz="4" w:space="0" w:color="auto"/>
            </w:tcBorders>
            <w:noWrap/>
            <w:vAlign w:val="bottom"/>
          </w:tcPr>
          <w:p w14:paraId="2E5A5599" w14:textId="338F2DF2"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93.5%</w:t>
            </w:r>
          </w:p>
        </w:tc>
        <w:tc>
          <w:tcPr>
            <w:tcW w:w="1190" w:type="dxa"/>
            <w:tcBorders>
              <w:left w:val="double" w:sz="4" w:space="0" w:color="auto"/>
            </w:tcBorders>
            <w:noWrap/>
            <w:vAlign w:val="bottom"/>
          </w:tcPr>
          <w:p w14:paraId="5A929B3B" w14:textId="128C968F"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6</w:t>
            </w:r>
          </w:p>
        </w:tc>
        <w:tc>
          <w:tcPr>
            <w:tcW w:w="1190" w:type="dxa"/>
            <w:noWrap/>
            <w:vAlign w:val="bottom"/>
          </w:tcPr>
          <w:p w14:paraId="455A1FAB" w14:textId="62EF860D"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192</w:t>
            </w:r>
          </w:p>
        </w:tc>
        <w:tc>
          <w:tcPr>
            <w:tcW w:w="1032" w:type="dxa"/>
            <w:noWrap/>
            <w:vAlign w:val="bottom"/>
          </w:tcPr>
          <w:p w14:paraId="2D7DB8EA" w14:textId="2648E986"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96.4%</w:t>
            </w:r>
          </w:p>
        </w:tc>
      </w:tr>
      <w:tr w:rsidR="00AE44BB" w:rsidRPr="000B6022" w14:paraId="07B0F12A" w14:textId="77777777" w:rsidTr="00AE44BB">
        <w:trPr>
          <w:trHeight w:val="288"/>
          <w:jc w:val="center"/>
        </w:trPr>
        <w:tc>
          <w:tcPr>
            <w:tcW w:w="1563" w:type="dxa"/>
            <w:tcBorders>
              <w:right w:val="double" w:sz="4" w:space="0" w:color="auto"/>
            </w:tcBorders>
            <w:noWrap/>
            <w:vAlign w:val="bottom"/>
            <w:hideMark/>
          </w:tcPr>
          <w:p w14:paraId="68BF31ED"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Southeast</w:t>
            </w:r>
          </w:p>
        </w:tc>
        <w:tc>
          <w:tcPr>
            <w:tcW w:w="1190" w:type="dxa"/>
            <w:tcBorders>
              <w:left w:val="double" w:sz="4" w:space="0" w:color="auto"/>
            </w:tcBorders>
            <w:noWrap/>
            <w:vAlign w:val="bottom"/>
          </w:tcPr>
          <w:p w14:paraId="09EB3176" w14:textId="25833723"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159</w:t>
            </w:r>
          </w:p>
        </w:tc>
        <w:tc>
          <w:tcPr>
            <w:tcW w:w="1190" w:type="dxa"/>
            <w:noWrap/>
            <w:vAlign w:val="bottom"/>
          </w:tcPr>
          <w:p w14:paraId="1ED51F9C" w14:textId="05EACAFA"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4</w:t>
            </w:r>
            <w:r>
              <w:rPr>
                <w:rFonts w:asciiTheme="minorHAnsi" w:hAnsiTheme="minorHAnsi"/>
                <w:sz w:val="20"/>
              </w:rPr>
              <w:t>,</w:t>
            </w:r>
            <w:r w:rsidRPr="003C4A6B">
              <w:rPr>
                <w:rFonts w:asciiTheme="minorHAnsi" w:hAnsiTheme="minorHAnsi"/>
                <w:sz w:val="20"/>
              </w:rPr>
              <w:t>106</w:t>
            </w:r>
          </w:p>
        </w:tc>
        <w:tc>
          <w:tcPr>
            <w:tcW w:w="1190" w:type="dxa"/>
            <w:gridSpan w:val="2"/>
            <w:tcBorders>
              <w:right w:val="double" w:sz="4" w:space="0" w:color="auto"/>
            </w:tcBorders>
            <w:noWrap/>
            <w:vAlign w:val="bottom"/>
          </w:tcPr>
          <w:p w14:paraId="712A6FCC" w14:textId="16E260A7"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96.2%</w:t>
            </w:r>
          </w:p>
        </w:tc>
        <w:tc>
          <w:tcPr>
            <w:tcW w:w="1190" w:type="dxa"/>
            <w:tcBorders>
              <w:left w:val="double" w:sz="4" w:space="0" w:color="auto"/>
            </w:tcBorders>
            <w:noWrap/>
            <w:vAlign w:val="bottom"/>
          </w:tcPr>
          <w:p w14:paraId="040FD3EF" w14:textId="3678AE30"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16</w:t>
            </w:r>
          </w:p>
        </w:tc>
        <w:tc>
          <w:tcPr>
            <w:tcW w:w="1190" w:type="dxa"/>
            <w:noWrap/>
            <w:vAlign w:val="bottom"/>
          </w:tcPr>
          <w:p w14:paraId="6E421DCF" w14:textId="19F68FD8"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511</w:t>
            </w:r>
          </w:p>
        </w:tc>
        <w:tc>
          <w:tcPr>
            <w:tcW w:w="1032" w:type="dxa"/>
            <w:noWrap/>
            <w:vAlign w:val="bottom"/>
          </w:tcPr>
          <w:p w14:paraId="797E91EC" w14:textId="56337D6A"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96.7%</w:t>
            </w:r>
          </w:p>
        </w:tc>
      </w:tr>
      <w:tr w:rsidR="00AE44BB" w:rsidRPr="000B6022" w14:paraId="114807D6" w14:textId="77777777" w:rsidTr="00AE44BB">
        <w:trPr>
          <w:trHeight w:val="288"/>
          <w:jc w:val="center"/>
        </w:trPr>
        <w:tc>
          <w:tcPr>
            <w:tcW w:w="1563" w:type="dxa"/>
            <w:tcBorders>
              <w:bottom w:val="double" w:sz="4" w:space="0" w:color="auto"/>
              <w:right w:val="double" w:sz="4" w:space="0" w:color="auto"/>
            </w:tcBorders>
            <w:noWrap/>
            <w:vAlign w:val="bottom"/>
            <w:hideMark/>
          </w:tcPr>
          <w:p w14:paraId="2A20976D" w14:textId="77777777" w:rsidR="00AE44BB" w:rsidRPr="003C4A6B" w:rsidRDefault="00AE44BB" w:rsidP="00AE44B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Southern</w:t>
            </w:r>
          </w:p>
        </w:tc>
        <w:tc>
          <w:tcPr>
            <w:tcW w:w="1190" w:type="dxa"/>
            <w:tcBorders>
              <w:left w:val="double" w:sz="4" w:space="0" w:color="auto"/>
              <w:bottom w:val="double" w:sz="4" w:space="0" w:color="auto"/>
            </w:tcBorders>
            <w:noWrap/>
            <w:vAlign w:val="bottom"/>
          </w:tcPr>
          <w:p w14:paraId="3F5DE8CB" w14:textId="35E7095D"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73</w:t>
            </w:r>
          </w:p>
        </w:tc>
        <w:tc>
          <w:tcPr>
            <w:tcW w:w="1190" w:type="dxa"/>
            <w:tcBorders>
              <w:bottom w:val="double" w:sz="4" w:space="0" w:color="auto"/>
            </w:tcBorders>
            <w:noWrap/>
            <w:vAlign w:val="bottom"/>
          </w:tcPr>
          <w:p w14:paraId="10B8966E" w14:textId="7AC8E63A"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1</w:t>
            </w:r>
            <w:r>
              <w:rPr>
                <w:rFonts w:asciiTheme="minorHAnsi" w:hAnsiTheme="minorHAnsi"/>
                <w:sz w:val="20"/>
              </w:rPr>
              <w:t>,</w:t>
            </w:r>
            <w:r w:rsidRPr="003C4A6B">
              <w:rPr>
                <w:rFonts w:asciiTheme="minorHAnsi" w:hAnsiTheme="minorHAnsi"/>
                <w:sz w:val="20"/>
              </w:rPr>
              <w:t>829</w:t>
            </w:r>
          </w:p>
        </w:tc>
        <w:tc>
          <w:tcPr>
            <w:tcW w:w="1190" w:type="dxa"/>
            <w:gridSpan w:val="2"/>
            <w:tcBorders>
              <w:bottom w:val="double" w:sz="4" w:space="0" w:color="auto"/>
              <w:right w:val="double" w:sz="4" w:space="0" w:color="auto"/>
            </w:tcBorders>
            <w:noWrap/>
            <w:vAlign w:val="bottom"/>
          </w:tcPr>
          <w:p w14:paraId="146FB5E8" w14:textId="05A2A1F1" w:rsidR="00AE44BB" w:rsidRPr="003C4A6B" w:rsidRDefault="00AE44BB" w:rsidP="00AE44BB">
            <w:pPr>
              <w:spacing w:line="240" w:lineRule="auto"/>
              <w:jc w:val="center"/>
              <w:rPr>
                <w:rFonts w:asciiTheme="minorHAnsi" w:eastAsia="Times New Roman" w:hAnsiTheme="minorHAnsi" w:cstheme="minorHAnsi"/>
                <w:color w:val="000000"/>
                <w:sz w:val="20"/>
                <w:szCs w:val="20"/>
              </w:rPr>
            </w:pPr>
            <w:r w:rsidRPr="003C4A6B">
              <w:rPr>
                <w:rFonts w:asciiTheme="minorHAnsi" w:hAnsiTheme="minorHAnsi"/>
                <w:sz w:val="20"/>
              </w:rPr>
              <w:t>98.1%</w:t>
            </w:r>
          </w:p>
        </w:tc>
        <w:tc>
          <w:tcPr>
            <w:tcW w:w="1190" w:type="dxa"/>
            <w:tcBorders>
              <w:left w:val="double" w:sz="4" w:space="0" w:color="auto"/>
              <w:bottom w:val="double" w:sz="4" w:space="0" w:color="auto"/>
            </w:tcBorders>
            <w:noWrap/>
            <w:vAlign w:val="bottom"/>
          </w:tcPr>
          <w:p w14:paraId="1CA244BF" w14:textId="4EBF30CB"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10</w:t>
            </w:r>
          </w:p>
        </w:tc>
        <w:tc>
          <w:tcPr>
            <w:tcW w:w="1190" w:type="dxa"/>
            <w:tcBorders>
              <w:bottom w:val="double" w:sz="4" w:space="0" w:color="auto"/>
            </w:tcBorders>
            <w:noWrap/>
            <w:vAlign w:val="bottom"/>
          </w:tcPr>
          <w:p w14:paraId="18342776" w14:textId="22F91342"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307</w:t>
            </w:r>
          </w:p>
        </w:tc>
        <w:tc>
          <w:tcPr>
            <w:tcW w:w="1032" w:type="dxa"/>
            <w:tcBorders>
              <w:bottom w:val="double" w:sz="4" w:space="0" w:color="auto"/>
            </w:tcBorders>
            <w:noWrap/>
            <w:vAlign w:val="bottom"/>
          </w:tcPr>
          <w:p w14:paraId="23DA85B4" w14:textId="105F2D25" w:rsidR="00AE44BB" w:rsidRPr="00AE44BB" w:rsidRDefault="00AE44BB" w:rsidP="00AE44BB">
            <w:pPr>
              <w:spacing w:line="240" w:lineRule="auto"/>
              <w:jc w:val="center"/>
              <w:rPr>
                <w:rFonts w:asciiTheme="minorHAnsi" w:hAnsiTheme="minorHAnsi"/>
                <w:sz w:val="20"/>
              </w:rPr>
            </w:pPr>
            <w:r w:rsidRPr="00AE44BB">
              <w:rPr>
                <w:rFonts w:asciiTheme="minorHAnsi" w:hAnsiTheme="minorHAnsi"/>
                <w:sz w:val="20"/>
              </w:rPr>
              <w:t>98.7%</w:t>
            </w:r>
          </w:p>
        </w:tc>
      </w:tr>
      <w:tr w:rsidR="005470D1" w:rsidRPr="000B6022" w14:paraId="56F62027" w14:textId="77777777" w:rsidTr="007B6EDC">
        <w:trPr>
          <w:trHeight w:val="294"/>
          <w:jc w:val="center"/>
        </w:trPr>
        <w:tc>
          <w:tcPr>
            <w:tcW w:w="1563" w:type="dxa"/>
            <w:tcBorders>
              <w:top w:val="double" w:sz="4" w:space="0" w:color="auto"/>
              <w:right w:val="double" w:sz="4" w:space="0" w:color="auto"/>
            </w:tcBorders>
            <w:noWrap/>
            <w:vAlign w:val="bottom"/>
            <w:hideMark/>
          </w:tcPr>
          <w:p w14:paraId="13614E1F" w14:textId="7F1F88F9" w:rsidR="005470D1" w:rsidRPr="003C4A6B" w:rsidRDefault="005470D1" w:rsidP="003C4A6B">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 xml:space="preserve">State </w:t>
            </w:r>
          </w:p>
        </w:tc>
        <w:tc>
          <w:tcPr>
            <w:tcW w:w="1190" w:type="dxa"/>
            <w:tcBorders>
              <w:top w:val="double" w:sz="4" w:space="0" w:color="auto"/>
              <w:left w:val="double" w:sz="4" w:space="0" w:color="auto"/>
            </w:tcBorders>
            <w:noWrap/>
            <w:vAlign w:val="bottom"/>
          </w:tcPr>
          <w:p w14:paraId="16FEC9A4" w14:textId="0DA074B1" w:rsidR="005470D1" w:rsidRPr="004C2B34" w:rsidRDefault="003C4A6B" w:rsidP="00751D66">
            <w:pPr>
              <w:spacing w:line="240" w:lineRule="auto"/>
              <w:jc w:val="center"/>
              <w:rPr>
                <w:rFonts w:asciiTheme="minorHAnsi" w:eastAsia="Times New Roman" w:hAnsiTheme="minorHAnsi" w:cstheme="minorHAnsi"/>
                <w:b/>
                <w:color w:val="000000"/>
                <w:sz w:val="20"/>
                <w:szCs w:val="20"/>
              </w:rPr>
            </w:pPr>
            <w:r>
              <w:rPr>
                <w:rFonts w:asciiTheme="minorHAnsi" w:eastAsia="Times New Roman" w:hAnsiTheme="minorHAnsi" w:cstheme="minorHAnsi"/>
                <w:b/>
                <w:color w:val="000000"/>
                <w:sz w:val="20"/>
                <w:szCs w:val="20"/>
              </w:rPr>
              <w:t>602</w:t>
            </w:r>
          </w:p>
        </w:tc>
        <w:tc>
          <w:tcPr>
            <w:tcW w:w="1190" w:type="dxa"/>
            <w:tcBorders>
              <w:top w:val="double" w:sz="4" w:space="0" w:color="auto"/>
            </w:tcBorders>
            <w:noWrap/>
            <w:vAlign w:val="bottom"/>
          </w:tcPr>
          <w:p w14:paraId="478A4BE7" w14:textId="23BD2649" w:rsidR="005470D1" w:rsidRPr="004C2B34" w:rsidRDefault="003C4A6B" w:rsidP="00751D66">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15,536</w:t>
            </w:r>
          </w:p>
        </w:tc>
        <w:tc>
          <w:tcPr>
            <w:tcW w:w="1190" w:type="dxa"/>
            <w:gridSpan w:val="2"/>
            <w:tcBorders>
              <w:top w:val="double" w:sz="4" w:space="0" w:color="auto"/>
              <w:right w:val="double" w:sz="4" w:space="0" w:color="auto"/>
            </w:tcBorders>
            <w:noWrap/>
            <w:vAlign w:val="bottom"/>
          </w:tcPr>
          <w:p w14:paraId="1F8EC705" w14:textId="0078F637" w:rsidR="005470D1" w:rsidRPr="004C2B34" w:rsidRDefault="003C4A6B" w:rsidP="00751D66">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95.3%</w:t>
            </w:r>
          </w:p>
        </w:tc>
        <w:tc>
          <w:tcPr>
            <w:tcW w:w="1190" w:type="dxa"/>
            <w:tcBorders>
              <w:top w:val="double" w:sz="4" w:space="0" w:color="auto"/>
              <w:left w:val="double" w:sz="4" w:space="0" w:color="auto"/>
            </w:tcBorders>
            <w:noWrap/>
            <w:vAlign w:val="bottom"/>
          </w:tcPr>
          <w:p w14:paraId="4375C616" w14:textId="47B8A600" w:rsidR="005470D1" w:rsidRPr="004C2B34" w:rsidRDefault="00AE44BB" w:rsidP="00751D66">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72</w:t>
            </w:r>
          </w:p>
        </w:tc>
        <w:tc>
          <w:tcPr>
            <w:tcW w:w="1190" w:type="dxa"/>
            <w:tcBorders>
              <w:top w:val="double" w:sz="4" w:space="0" w:color="auto"/>
            </w:tcBorders>
            <w:noWrap/>
            <w:vAlign w:val="bottom"/>
          </w:tcPr>
          <w:p w14:paraId="183D0779" w14:textId="216915C4" w:rsidR="005470D1" w:rsidRPr="004C2B34" w:rsidRDefault="00AE44BB" w:rsidP="00751D66">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2,284</w:t>
            </w:r>
          </w:p>
        </w:tc>
        <w:tc>
          <w:tcPr>
            <w:tcW w:w="1032" w:type="dxa"/>
            <w:tcBorders>
              <w:top w:val="double" w:sz="4" w:space="0" w:color="auto"/>
            </w:tcBorders>
            <w:noWrap/>
            <w:vAlign w:val="bottom"/>
          </w:tcPr>
          <w:p w14:paraId="78545963" w14:textId="3E967C07" w:rsidR="005470D1" w:rsidRPr="004C2B34" w:rsidRDefault="00AE44BB" w:rsidP="00751D66">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97.9%</w:t>
            </w:r>
          </w:p>
        </w:tc>
      </w:tr>
    </w:tbl>
    <w:p w14:paraId="6099F08D" w14:textId="3ED0A49E" w:rsidR="00956AE3" w:rsidRDefault="00956AE3" w:rsidP="00956AE3">
      <w:pPr>
        <w:jc w:val="center"/>
        <w:rPr>
          <w:highlight w:val="yellow"/>
        </w:rPr>
      </w:pPr>
    </w:p>
    <w:p w14:paraId="7E3E4ACE" w14:textId="77777777" w:rsidR="00956AE3" w:rsidRDefault="00956AE3" w:rsidP="00956AE3">
      <w:pPr>
        <w:spacing w:line="240" w:lineRule="auto"/>
      </w:pPr>
    </w:p>
    <w:tbl>
      <w:tblPr>
        <w:tblW w:w="9725" w:type="dxa"/>
        <w:jc w:val="center"/>
        <w:tblLook w:val="04A0" w:firstRow="1" w:lastRow="0" w:firstColumn="1" w:lastColumn="0" w:noHBand="0" w:noVBand="1"/>
      </w:tblPr>
      <w:tblGrid>
        <w:gridCol w:w="5400"/>
        <w:gridCol w:w="1350"/>
        <w:gridCol w:w="815"/>
        <w:gridCol w:w="1345"/>
        <w:gridCol w:w="815"/>
      </w:tblGrid>
      <w:tr w:rsidR="007D7D04" w:rsidRPr="007D7D04" w14:paraId="2F8CD064" w14:textId="77777777" w:rsidTr="00B80094">
        <w:trPr>
          <w:trHeight w:val="315"/>
          <w:tblHeader/>
          <w:jc w:val="center"/>
        </w:trPr>
        <w:tc>
          <w:tcPr>
            <w:tcW w:w="9725" w:type="dxa"/>
            <w:gridSpan w:val="5"/>
            <w:tcBorders>
              <w:top w:val="single" w:sz="8" w:space="0" w:color="auto"/>
              <w:left w:val="single" w:sz="8" w:space="0" w:color="auto"/>
              <w:bottom w:val="single" w:sz="4" w:space="0" w:color="auto"/>
              <w:right w:val="single" w:sz="8" w:space="0" w:color="000000"/>
            </w:tcBorders>
            <w:shd w:val="clear" w:color="000000" w:fill="1F4E79"/>
            <w:noWrap/>
            <w:vAlign w:val="center"/>
            <w:hideMark/>
          </w:tcPr>
          <w:p w14:paraId="6B9E360F" w14:textId="7746500F" w:rsidR="007D7D04" w:rsidRPr="007D7D04" w:rsidRDefault="007D7D04" w:rsidP="00C264B1">
            <w:pPr>
              <w:spacing w:line="240" w:lineRule="auto"/>
              <w:jc w:val="center"/>
              <w:rPr>
                <w:rFonts w:ascii="Franklin Gothic Medium" w:eastAsia="Times New Roman" w:hAnsi="Franklin Gothic Medium" w:cs="Calibri"/>
                <w:color w:val="FFFFFF"/>
                <w:sz w:val="22"/>
              </w:rPr>
            </w:pPr>
            <w:r w:rsidRPr="007D7D04">
              <w:rPr>
                <w:rFonts w:ascii="Franklin Gothic Medium" w:eastAsia="Times New Roman" w:hAnsi="Franklin Gothic Medium" w:cs="Calibri"/>
                <w:color w:val="FFFFFF"/>
                <w:sz w:val="22"/>
              </w:rPr>
              <w:t xml:space="preserve">Table </w:t>
            </w:r>
            <w:r w:rsidR="00C264B1">
              <w:rPr>
                <w:rFonts w:ascii="Franklin Gothic Medium" w:eastAsia="Times New Roman" w:hAnsi="Franklin Gothic Medium" w:cs="Calibri"/>
                <w:color w:val="FFFFFF"/>
                <w:sz w:val="22"/>
              </w:rPr>
              <w:t>8</w:t>
            </w:r>
            <w:r w:rsidRPr="007D7D04">
              <w:rPr>
                <w:rFonts w:ascii="Franklin Gothic Medium" w:eastAsia="Times New Roman" w:hAnsi="Franklin Gothic Medium" w:cs="Calibri"/>
                <w:color w:val="FFFFFF"/>
                <w:sz w:val="22"/>
              </w:rPr>
              <w:t>.  WSC Record Review  Results by Standard</w:t>
            </w:r>
          </w:p>
        </w:tc>
      </w:tr>
      <w:tr w:rsidR="007D7D04" w:rsidRPr="007D7D04" w14:paraId="41472D22" w14:textId="77777777" w:rsidTr="00A77B6A">
        <w:trPr>
          <w:trHeight w:val="315"/>
          <w:tblHeader/>
          <w:jc w:val="center"/>
        </w:trPr>
        <w:tc>
          <w:tcPr>
            <w:tcW w:w="5400" w:type="dxa"/>
            <w:tcBorders>
              <w:top w:val="nil"/>
              <w:left w:val="single" w:sz="8" w:space="0" w:color="auto"/>
              <w:right w:val="double" w:sz="4" w:space="0" w:color="auto"/>
            </w:tcBorders>
            <w:shd w:val="clear" w:color="auto" w:fill="FFE599" w:themeFill="accent4" w:themeFillTint="66"/>
            <w:noWrap/>
            <w:vAlign w:val="bottom"/>
            <w:hideMark/>
          </w:tcPr>
          <w:p w14:paraId="48235861" w14:textId="77777777" w:rsidR="007D7D04" w:rsidRPr="007D7D04" w:rsidRDefault="007D7D04" w:rsidP="007D7D04">
            <w:pPr>
              <w:spacing w:line="240" w:lineRule="auto"/>
              <w:rPr>
                <w:rFonts w:ascii="Calibri" w:eastAsia="Times New Roman" w:hAnsi="Calibri" w:cs="Calibri"/>
                <w:color w:val="000000"/>
                <w:sz w:val="22"/>
              </w:rPr>
            </w:pPr>
            <w:r w:rsidRPr="007D7D04">
              <w:rPr>
                <w:rFonts w:ascii="Calibri" w:eastAsia="Times New Roman" w:hAnsi="Calibri" w:cs="Calibri"/>
                <w:color w:val="000000"/>
                <w:sz w:val="22"/>
              </w:rPr>
              <w:t> </w:t>
            </w:r>
          </w:p>
        </w:tc>
        <w:tc>
          <w:tcPr>
            <w:tcW w:w="2165" w:type="dxa"/>
            <w:gridSpan w:val="2"/>
            <w:tcBorders>
              <w:top w:val="single" w:sz="4" w:space="0" w:color="auto"/>
              <w:left w:val="double" w:sz="4" w:space="0" w:color="auto"/>
              <w:bottom w:val="single" w:sz="4" w:space="0" w:color="auto"/>
              <w:right w:val="double" w:sz="6" w:space="0" w:color="000000"/>
            </w:tcBorders>
            <w:shd w:val="clear" w:color="auto" w:fill="FFE599" w:themeFill="accent4" w:themeFillTint="66"/>
            <w:noWrap/>
            <w:vAlign w:val="center"/>
            <w:hideMark/>
          </w:tcPr>
          <w:p w14:paraId="0F026918" w14:textId="39926C19" w:rsidR="007D7D04" w:rsidRPr="007D7D04" w:rsidRDefault="00C53C8D" w:rsidP="007D7D04">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Y3Q4</w:t>
            </w:r>
          </w:p>
        </w:tc>
        <w:tc>
          <w:tcPr>
            <w:tcW w:w="2160" w:type="dxa"/>
            <w:gridSpan w:val="2"/>
            <w:tcBorders>
              <w:top w:val="single" w:sz="4" w:space="0" w:color="auto"/>
              <w:left w:val="nil"/>
              <w:bottom w:val="single" w:sz="4" w:space="0" w:color="auto"/>
              <w:right w:val="single" w:sz="8" w:space="0" w:color="000000"/>
            </w:tcBorders>
            <w:shd w:val="clear" w:color="auto" w:fill="FFE599" w:themeFill="accent4" w:themeFillTint="66"/>
            <w:noWrap/>
            <w:vAlign w:val="center"/>
            <w:hideMark/>
          </w:tcPr>
          <w:p w14:paraId="6A8667C0" w14:textId="17584B9B" w:rsidR="007D7D04" w:rsidRPr="007D7D04" w:rsidRDefault="00C53C8D" w:rsidP="000A4618">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Y4Q1</w:t>
            </w:r>
            <w:r w:rsidR="00AE44BB">
              <w:rPr>
                <w:rFonts w:ascii="Franklin Gothic Medium" w:eastAsia="Times New Roman" w:hAnsi="Franklin Gothic Medium" w:cs="Calibri"/>
                <w:sz w:val="22"/>
              </w:rPr>
              <w:t>-2</w:t>
            </w:r>
          </w:p>
        </w:tc>
      </w:tr>
      <w:tr w:rsidR="007D7D04" w:rsidRPr="007D7D04" w14:paraId="2B753217" w14:textId="77777777" w:rsidTr="00A77B6A">
        <w:trPr>
          <w:trHeight w:val="315"/>
          <w:tblHeader/>
          <w:jc w:val="center"/>
        </w:trPr>
        <w:tc>
          <w:tcPr>
            <w:tcW w:w="5400" w:type="dxa"/>
            <w:tcBorders>
              <w:top w:val="nil"/>
              <w:left w:val="single" w:sz="8" w:space="0" w:color="auto"/>
              <w:bottom w:val="single" w:sz="4" w:space="0" w:color="auto"/>
              <w:right w:val="double" w:sz="4" w:space="0" w:color="auto"/>
            </w:tcBorders>
            <w:shd w:val="clear" w:color="auto" w:fill="FFE599" w:themeFill="accent4" w:themeFillTint="66"/>
            <w:noWrap/>
            <w:vAlign w:val="bottom"/>
            <w:hideMark/>
          </w:tcPr>
          <w:p w14:paraId="629B38E8" w14:textId="558DDE79" w:rsidR="007D7D04" w:rsidRPr="007D7D04" w:rsidRDefault="00412626" w:rsidP="007D7D04">
            <w:pPr>
              <w:spacing w:line="240" w:lineRule="auto"/>
              <w:jc w:val="center"/>
              <w:rPr>
                <w:rFonts w:ascii="Franklin Gothic Medium" w:eastAsia="Times New Roman" w:hAnsi="Franklin Gothic Medium" w:cs="Calibri"/>
                <w:color w:val="FFFFFF"/>
                <w:sz w:val="22"/>
              </w:rPr>
            </w:pPr>
            <w:r w:rsidRPr="00412626">
              <w:rPr>
                <w:rFonts w:ascii="Franklin Gothic Medium" w:eastAsia="Times New Roman" w:hAnsi="Franklin Gothic Medium" w:cs="Calibri"/>
                <w:sz w:val="22"/>
              </w:rPr>
              <w:t>Indicator</w:t>
            </w:r>
            <w:r>
              <w:rPr>
                <w:rFonts w:ascii="Franklin Gothic Medium" w:eastAsia="Times New Roman" w:hAnsi="Franklin Gothic Medium" w:cs="Calibri"/>
                <w:color w:val="FFFFFF"/>
                <w:sz w:val="22"/>
              </w:rPr>
              <w:t xml:space="preserve"> </w:t>
            </w:r>
            <w:r w:rsidR="007D7D04" w:rsidRPr="007D7D04">
              <w:rPr>
                <w:rFonts w:ascii="Franklin Gothic Medium" w:eastAsia="Times New Roman" w:hAnsi="Franklin Gothic Medium" w:cs="Calibri"/>
                <w:color w:val="FFFFFF"/>
                <w:sz w:val="22"/>
              </w:rPr>
              <w:t> </w:t>
            </w:r>
          </w:p>
        </w:tc>
        <w:tc>
          <w:tcPr>
            <w:tcW w:w="1350" w:type="dxa"/>
            <w:tcBorders>
              <w:top w:val="nil"/>
              <w:left w:val="double" w:sz="4" w:space="0" w:color="auto"/>
              <w:bottom w:val="single" w:sz="4" w:space="0" w:color="auto"/>
              <w:right w:val="nil"/>
            </w:tcBorders>
            <w:shd w:val="clear" w:color="auto" w:fill="FFE599" w:themeFill="accent4" w:themeFillTint="66"/>
            <w:noWrap/>
            <w:vAlign w:val="center"/>
            <w:hideMark/>
          </w:tcPr>
          <w:p w14:paraId="77E30806"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Number</w:t>
            </w:r>
          </w:p>
        </w:tc>
        <w:tc>
          <w:tcPr>
            <w:tcW w:w="815" w:type="dxa"/>
            <w:tcBorders>
              <w:top w:val="nil"/>
              <w:left w:val="nil"/>
              <w:bottom w:val="single" w:sz="4" w:space="0" w:color="auto"/>
              <w:right w:val="double" w:sz="6" w:space="0" w:color="auto"/>
            </w:tcBorders>
            <w:shd w:val="clear" w:color="auto" w:fill="FFE599" w:themeFill="accent4" w:themeFillTint="66"/>
            <w:noWrap/>
            <w:vAlign w:val="center"/>
            <w:hideMark/>
          </w:tcPr>
          <w:p w14:paraId="5BB7D606"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 Met</w:t>
            </w:r>
          </w:p>
        </w:tc>
        <w:tc>
          <w:tcPr>
            <w:tcW w:w="1345" w:type="dxa"/>
            <w:tcBorders>
              <w:top w:val="nil"/>
              <w:left w:val="nil"/>
              <w:bottom w:val="single" w:sz="4" w:space="0" w:color="auto"/>
              <w:right w:val="nil"/>
            </w:tcBorders>
            <w:shd w:val="clear" w:color="auto" w:fill="FFE599" w:themeFill="accent4" w:themeFillTint="66"/>
            <w:noWrap/>
            <w:vAlign w:val="center"/>
            <w:hideMark/>
          </w:tcPr>
          <w:p w14:paraId="369A8A28"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Number</w:t>
            </w:r>
          </w:p>
        </w:tc>
        <w:tc>
          <w:tcPr>
            <w:tcW w:w="815" w:type="dxa"/>
            <w:tcBorders>
              <w:top w:val="nil"/>
              <w:left w:val="nil"/>
              <w:bottom w:val="single" w:sz="4" w:space="0" w:color="auto"/>
              <w:right w:val="single" w:sz="8" w:space="0" w:color="auto"/>
            </w:tcBorders>
            <w:shd w:val="clear" w:color="auto" w:fill="FFE599" w:themeFill="accent4" w:themeFillTint="66"/>
            <w:noWrap/>
            <w:vAlign w:val="center"/>
            <w:hideMark/>
          </w:tcPr>
          <w:p w14:paraId="61B30289"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 Met</w:t>
            </w:r>
          </w:p>
        </w:tc>
      </w:tr>
      <w:tr w:rsidR="00B80094" w:rsidRPr="007D7D04" w14:paraId="750EA8D0"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4A0F5A8C" w14:textId="39B296C2" w:rsidR="00B80094" w:rsidRPr="00BF4217" w:rsidRDefault="00B80094" w:rsidP="00B80094">
            <w:pPr>
              <w:spacing w:line="240" w:lineRule="auto"/>
              <w:rPr>
                <w:rFonts w:asciiTheme="minorHAnsi" w:eastAsia="Times New Roman" w:hAnsiTheme="minorHAnsi" w:cstheme="minorHAnsi"/>
                <w:color w:val="000000"/>
                <w:sz w:val="20"/>
                <w:szCs w:val="20"/>
              </w:rPr>
            </w:pPr>
            <w:r w:rsidRPr="00BF4217">
              <w:rPr>
                <w:rFonts w:asciiTheme="minorHAnsi" w:hAnsiTheme="minorHAnsi" w:cstheme="minorHAnsi"/>
                <w:sz w:val="20"/>
                <w:szCs w:val="20"/>
              </w:rPr>
              <w:t>Level of care is reevaluated at least every 365 days and contains all required components for compliance.</w:t>
            </w:r>
          </w:p>
        </w:tc>
        <w:tc>
          <w:tcPr>
            <w:tcW w:w="1350" w:type="dxa"/>
            <w:tcBorders>
              <w:top w:val="nil"/>
              <w:left w:val="double" w:sz="6" w:space="0" w:color="auto"/>
              <w:bottom w:val="single" w:sz="4" w:space="0" w:color="auto"/>
              <w:right w:val="nil"/>
            </w:tcBorders>
            <w:shd w:val="clear" w:color="auto" w:fill="auto"/>
            <w:noWrap/>
            <w:vAlign w:val="center"/>
            <w:hideMark/>
          </w:tcPr>
          <w:p w14:paraId="4A117D8F" w14:textId="072317F9" w:rsidR="00B80094" w:rsidRPr="000A4618" w:rsidRDefault="00B80094" w:rsidP="00B80094">
            <w:pPr>
              <w:spacing w:line="240" w:lineRule="auto"/>
              <w:jc w:val="center"/>
              <w:rPr>
                <w:rFonts w:asciiTheme="minorHAnsi" w:eastAsia="Times New Roman" w:hAnsiTheme="minorHAnsi" w:cstheme="minorHAnsi"/>
                <w:color w:val="000000"/>
                <w:sz w:val="20"/>
                <w:szCs w:val="20"/>
              </w:rPr>
            </w:pPr>
            <w:r w:rsidRPr="000A4618">
              <w:rPr>
                <w:rFonts w:asciiTheme="minorHAnsi" w:hAnsiTheme="minorHAnsi" w:cstheme="minorHAnsi"/>
                <w:sz w:val="20"/>
                <w:szCs w:val="20"/>
              </w:rPr>
              <w:t>413</w:t>
            </w:r>
          </w:p>
        </w:tc>
        <w:tc>
          <w:tcPr>
            <w:tcW w:w="815" w:type="dxa"/>
            <w:tcBorders>
              <w:top w:val="nil"/>
              <w:left w:val="nil"/>
              <w:bottom w:val="single" w:sz="4" w:space="0" w:color="auto"/>
              <w:right w:val="double" w:sz="6" w:space="0" w:color="auto"/>
            </w:tcBorders>
            <w:shd w:val="clear" w:color="auto" w:fill="auto"/>
            <w:noWrap/>
            <w:vAlign w:val="center"/>
            <w:hideMark/>
          </w:tcPr>
          <w:p w14:paraId="1C0AA27B" w14:textId="54D74FDF" w:rsidR="00B80094" w:rsidRPr="000A4618" w:rsidRDefault="00B80094" w:rsidP="00B80094">
            <w:pPr>
              <w:spacing w:line="240" w:lineRule="auto"/>
              <w:jc w:val="center"/>
              <w:rPr>
                <w:rFonts w:asciiTheme="minorHAnsi" w:eastAsia="Times New Roman" w:hAnsiTheme="minorHAnsi" w:cstheme="minorHAnsi"/>
                <w:color w:val="000000"/>
                <w:sz w:val="20"/>
                <w:szCs w:val="20"/>
              </w:rPr>
            </w:pPr>
            <w:r w:rsidRPr="000A4618">
              <w:rPr>
                <w:rFonts w:asciiTheme="minorHAnsi" w:hAnsiTheme="minorHAnsi" w:cstheme="minorHAnsi"/>
                <w:sz w:val="20"/>
                <w:szCs w:val="20"/>
              </w:rPr>
              <w:t>97.6%</w:t>
            </w:r>
          </w:p>
        </w:tc>
        <w:tc>
          <w:tcPr>
            <w:tcW w:w="1345" w:type="dxa"/>
            <w:tcBorders>
              <w:top w:val="nil"/>
              <w:left w:val="nil"/>
              <w:bottom w:val="single" w:sz="4" w:space="0" w:color="auto"/>
              <w:right w:val="nil"/>
            </w:tcBorders>
            <w:shd w:val="clear" w:color="auto" w:fill="auto"/>
            <w:noWrap/>
            <w:vAlign w:val="center"/>
            <w:hideMark/>
          </w:tcPr>
          <w:p w14:paraId="5F07FFC1" w14:textId="3C111326" w:rsidR="00B80094" w:rsidRPr="00B80094" w:rsidRDefault="00B80094" w:rsidP="00B80094">
            <w:pPr>
              <w:spacing w:line="240" w:lineRule="auto"/>
              <w:jc w:val="center"/>
              <w:rPr>
                <w:rFonts w:asciiTheme="minorHAnsi" w:eastAsia="Times New Roman" w:hAnsiTheme="minorHAnsi" w:cstheme="minorHAnsi"/>
                <w:color w:val="000000"/>
                <w:sz w:val="20"/>
                <w:szCs w:val="20"/>
              </w:rPr>
            </w:pPr>
            <w:r w:rsidRPr="00B80094">
              <w:rPr>
                <w:rFonts w:asciiTheme="minorHAnsi" w:hAnsiTheme="minorHAnsi"/>
                <w:sz w:val="20"/>
                <w:szCs w:val="20"/>
              </w:rPr>
              <w:t>598</w:t>
            </w:r>
          </w:p>
        </w:tc>
        <w:tc>
          <w:tcPr>
            <w:tcW w:w="815" w:type="dxa"/>
            <w:tcBorders>
              <w:top w:val="nil"/>
              <w:left w:val="nil"/>
              <w:bottom w:val="single" w:sz="4" w:space="0" w:color="auto"/>
              <w:right w:val="single" w:sz="8" w:space="0" w:color="auto"/>
            </w:tcBorders>
            <w:shd w:val="clear" w:color="auto" w:fill="auto"/>
            <w:noWrap/>
            <w:vAlign w:val="center"/>
            <w:hideMark/>
          </w:tcPr>
          <w:p w14:paraId="50EB7C5C" w14:textId="216BF6CD" w:rsidR="00B80094" w:rsidRPr="00B80094" w:rsidRDefault="00B80094" w:rsidP="00B80094">
            <w:pPr>
              <w:spacing w:line="240" w:lineRule="auto"/>
              <w:jc w:val="center"/>
              <w:rPr>
                <w:rFonts w:asciiTheme="minorHAnsi" w:eastAsia="Times New Roman" w:hAnsiTheme="minorHAnsi" w:cstheme="minorHAnsi"/>
                <w:color w:val="000000"/>
                <w:sz w:val="20"/>
                <w:szCs w:val="20"/>
              </w:rPr>
            </w:pPr>
            <w:r w:rsidRPr="00B80094">
              <w:rPr>
                <w:rFonts w:asciiTheme="minorHAnsi" w:hAnsiTheme="minorHAnsi"/>
                <w:sz w:val="20"/>
                <w:szCs w:val="20"/>
              </w:rPr>
              <w:t>97.0%</w:t>
            </w:r>
          </w:p>
        </w:tc>
      </w:tr>
      <w:tr w:rsidR="00B80094" w:rsidRPr="007D7D04" w14:paraId="217F0882"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4E6F3A22" w14:textId="429C33BC"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Level of care is completed accurately using the correct instrument/form.</w:t>
            </w:r>
          </w:p>
        </w:tc>
        <w:tc>
          <w:tcPr>
            <w:tcW w:w="1350" w:type="dxa"/>
            <w:tcBorders>
              <w:top w:val="nil"/>
              <w:left w:val="double" w:sz="6" w:space="0" w:color="auto"/>
              <w:bottom w:val="single" w:sz="4" w:space="0" w:color="auto"/>
              <w:right w:val="nil"/>
            </w:tcBorders>
            <w:shd w:val="clear" w:color="auto" w:fill="auto"/>
            <w:noWrap/>
            <w:vAlign w:val="center"/>
            <w:hideMark/>
          </w:tcPr>
          <w:p w14:paraId="1C160CE3" w14:textId="125BDF4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407</w:t>
            </w:r>
          </w:p>
        </w:tc>
        <w:tc>
          <w:tcPr>
            <w:tcW w:w="815" w:type="dxa"/>
            <w:tcBorders>
              <w:top w:val="nil"/>
              <w:left w:val="nil"/>
              <w:bottom w:val="single" w:sz="4" w:space="0" w:color="auto"/>
              <w:right w:val="double" w:sz="6" w:space="0" w:color="auto"/>
            </w:tcBorders>
            <w:shd w:val="clear" w:color="auto" w:fill="auto"/>
            <w:noWrap/>
            <w:vAlign w:val="center"/>
            <w:hideMark/>
          </w:tcPr>
          <w:p w14:paraId="14F90E79" w14:textId="5FF7EF6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89.4%</w:t>
            </w:r>
          </w:p>
        </w:tc>
        <w:tc>
          <w:tcPr>
            <w:tcW w:w="1345" w:type="dxa"/>
            <w:tcBorders>
              <w:top w:val="nil"/>
              <w:left w:val="nil"/>
              <w:bottom w:val="single" w:sz="4" w:space="0" w:color="auto"/>
              <w:right w:val="nil"/>
            </w:tcBorders>
            <w:shd w:val="clear" w:color="auto" w:fill="auto"/>
            <w:noWrap/>
            <w:vAlign w:val="center"/>
            <w:hideMark/>
          </w:tcPr>
          <w:p w14:paraId="31ACFFAA" w14:textId="241DE82A"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579</w:t>
            </w:r>
          </w:p>
        </w:tc>
        <w:tc>
          <w:tcPr>
            <w:tcW w:w="815" w:type="dxa"/>
            <w:tcBorders>
              <w:top w:val="nil"/>
              <w:left w:val="nil"/>
              <w:bottom w:val="single" w:sz="4" w:space="0" w:color="auto"/>
              <w:right w:val="single" w:sz="8" w:space="0" w:color="auto"/>
            </w:tcBorders>
            <w:shd w:val="clear" w:color="auto" w:fill="auto"/>
            <w:noWrap/>
            <w:vAlign w:val="center"/>
            <w:hideMark/>
          </w:tcPr>
          <w:p w14:paraId="54D8F014" w14:textId="6D0F4956"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85.8%</w:t>
            </w:r>
          </w:p>
        </w:tc>
      </w:tr>
      <w:tr w:rsidR="00B80094" w:rsidRPr="007D7D04" w14:paraId="0F01DAA6"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21762384" w14:textId="3C47BC74"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Person receiving services is given a choice of waiver services or institutional care at least annually.</w:t>
            </w:r>
          </w:p>
        </w:tc>
        <w:tc>
          <w:tcPr>
            <w:tcW w:w="1350" w:type="dxa"/>
            <w:tcBorders>
              <w:top w:val="nil"/>
              <w:left w:val="double" w:sz="6" w:space="0" w:color="auto"/>
              <w:bottom w:val="single" w:sz="4" w:space="0" w:color="auto"/>
              <w:right w:val="nil"/>
            </w:tcBorders>
            <w:shd w:val="clear" w:color="auto" w:fill="auto"/>
            <w:noWrap/>
            <w:vAlign w:val="center"/>
            <w:hideMark/>
          </w:tcPr>
          <w:p w14:paraId="4C3D52F3" w14:textId="70A6AA94"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413</w:t>
            </w:r>
          </w:p>
        </w:tc>
        <w:tc>
          <w:tcPr>
            <w:tcW w:w="815" w:type="dxa"/>
            <w:tcBorders>
              <w:top w:val="nil"/>
              <w:left w:val="nil"/>
              <w:bottom w:val="single" w:sz="4" w:space="0" w:color="auto"/>
              <w:right w:val="double" w:sz="6" w:space="0" w:color="auto"/>
            </w:tcBorders>
            <w:shd w:val="clear" w:color="auto" w:fill="auto"/>
            <w:noWrap/>
            <w:vAlign w:val="center"/>
            <w:hideMark/>
          </w:tcPr>
          <w:p w14:paraId="67A3FF81" w14:textId="486B725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96.6%</w:t>
            </w:r>
          </w:p>
        </w:tc>
        <w:tc>
          <w:tcPr>
            <w:tcW w:w="1345" w:type="dxa"/>
            <w:tcBorders>
              <w:top w:val="nil"/>
              <w:left w:val="nil"/>
              <w:bottom w:val="single" w:sz="4" w:space="0" w:color="auto"/>
              <w:right w:val="nil"/>
            </w:tcBorders>
            <w:shd w:val="clear" w:color="auto" w:fill="auto"/>
            <w:noWrap/>
            <w:vAlign w:val="center"/>
            <w:hideMark/>
          </w:tcPr>
          <w:p w14:paraId="198DDFCB" w14:textId="4F3DB5A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602</w:t>
            </w:r>
          </w:p>
        </w:tc>
        <w:tc>
          <w:tcPr>
            <w:tcW w:w="815" w:type="dxa"/>
            <w:tcBorders>
              <w:top w:val="nil"/>
              <w:left w:val="nil"/>
              <w:bottom w:val="single" w:sz="4" w:space="0" w:color="auto"/>
              <w:right w:val="single" w:sz="8" w:space="0" w:color="auto"/>
            </w:tcBorders>
            <w:shd w:val="clear" w:color="auto" w:fill="auto"/>
            <w:noWrap/>
            <w:vAlign w:val="center"/>
            <w:hideMark/>
          </w:tcPr>
          <w:p w14:paraId="72CF1FBF" w14:textId="2AF1BC9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96.2%</w:t>
            </w:r>
          </w:p>
        </w:tc>
      </w:tr>
      <w:tr w:rsidR="00B80094" w:rsidRPr="007D7D04" w14:paraId="095E9708"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552DDA4F" w14:textId="017E694E"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Plan is updated within 12 months of the person’s last Support Plan.</w:t>
            </w:r>
          </w:p>
        </w:tc>
        <w:tc>
          <w:tcPr>
            <w:tcW w:w="1350" w:type="dxa"/>
            <w:tcBorders>
              <w:top w:val="nil"/>
              <w:left w:val="double" w:sz="6" w:space="0" w:color="auto"/>
              <w:bottom w:val="single" w:sz="4" w:space="0" w:color="auto"/>
              <w:right w:val="nil"/>
            </w:tcBorders>
            <w:shd w:val="clear" w:color="auto" w:fill="auto"/>
            <w:noWrap/>
            <w:vAlign w:val="center"/>
            <w:hideMark/>
          </w:tcPr>
          <w:p w14:paraId="5B1CF7E4" w14:textId="02CE5CD0"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015ED4F3" w14:textId="712C4F8A"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98.3%</w:t>
            </w:r>
          </w:p>
        </w:tc>
        <w:tc>
          <w:tcPr>
            <w:tcW w:w="1345" w:type="dxa"/>
            <w:tcBorders>
              <w:top w:val="nil"/>
              <w:left w:val="nil"/>
              <w:bottom w:val="single" w:sz="4" w:space="0" w:color="auto"/>
              <w:right w:val="nil"/>
            </w:tcBorders>
            <w:shd w:val="clear" w:color="auto" w:fill="auto"/>
            <w:noWrap/>
            <w:vAlign w:val="center"/>
            <w:hideMark/>
          </w:tcPr>
          <w:p w14:paraId="2E1C3011" w14:textId="6779126F"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587</w:t>
            </w:r>
          </w:p>
        </w:tc>
        <w:tc>
          <w:tcPr>
            <w:tcW w:w="815" w:type="dxa"/>
            <w:tcBorders>
              <w:top w:val="nil"/>
              <w:left w:val="nil"/>
              <w:bottom w:val="single" w:sz="4" w:space="0" w:color="auto"/>
              <w:right w:val="single" w:sz="8" w:space="0" w:color="auto"/>
            </w:tcBorders>
            <w:shd w:val="clear" w:color="auto" w:fill="auto"/>
            <w:noWrap/>
            <w:vAlign w:val="center"/>
            <w:hideMark/>
          </w:tcPr>
          <w:p w14:paraId="0A6CC217" w14:textId="4D780A80"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98.5%</w:t>
            </w:r>
          </w:p>
        </w:tc>
      </w:tr>
      <w:tr w:rsidR="00B80094" w:rsidRPr="007D7D04" w14:paraId="76B3B6D7" w14:textId="77777777" w:rsidTr="00B80094">
        <w:trPr>
          <w:trHeight w:val="377"/>
          <w:jc w:val="center"/>
        </w:trPr>
        <w:tc>
          <w:tcPr>
            <w:tcW w:w="5400" w:type="dxa"/>
            <w:tcBorders>
              <w:top w:val="nil"/>
              <w:left w:val="single" w:sz="8" w:space="0" w:color="auto"/>
              <w:bottom w:val="single" w:sz="4" w:space="0" w:color="auto"/>
              <w:right w:val="nil"/>
            </w:tcBorders>
            <w:shd w:val="clear" w:color="auto" w:fill="auto"/>
            <w:vAlign w:val="center"/>
            <w:hideMark/>
          </w:tcPr>
          <w:p w14:paraId="0CD4BF40" w14:textId="69DE1575"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current Annual Report is in the record.</w:t>
            </w:r>
          </w:p>
        </w:tc>
        <w:tc>
          <w:tcPr>
            <w:tcW w:w="1350" w:type="dxa"/>
            <w:tcBorders>
              <w:top w:val="nil"/>
              <w:left w:val="double" w:sz="6" w:space="0" w:color="auto"/>
              <w:bottom w:val="single" w:sz="4" w:space="0" w:color="auto"/>
              <w:right w:val="nil"/>
            </w:tcBorders>
            <w:shd w:val="clear" w:color="auto" w:fill="auto"/>
            <w:noWrap/>
            <w:vAlign w:val="center"/>
            <w:hideMark/>
          </w:tcPr>
          <w:p w14:paraId="58B9B1F5" w14:textId="2DBA3F7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410</w:t>
            </w:r>
          </w:p>
        </w:tc>
        <w:tc>
          <w:tcPr>
            <w:tcW w:w="815" w:type="dxa"/>
            <w:tcBorders>
              <w:top w:val="nil"/>
              <w:left w:val="nil"/>
              <w:bottom w:val="single" w:sz="4" w:space="0" w:color="auto"/>
              <w:right w:val="double" w:sz="6" w:space="0" w:color="auto"/>
            </w:tcBorders>
            <w:shd w:val="clear" w:color="auto" w:fill="auto"/>
            <w:noWrap/>
            <w:vAlign w:val="center"/>
            <w:hideMark/>
          </w:tcPr>
          <w:p w14:paraId="66ECF2EF" w14:textId="7636355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93.4%</w:t>
            </w:r>
          </w:p>
        </w:tc>
        <w:tc>
          <w:tcPr>
            <w:tcW w:w="1345" w:type="dxa"/>
            <w:tcBorders>
              <w:top w:val="nil"/>
              <w:left w:val="nil"/>
              <w:bottom w:val="single" w:sz="4" w:space="0" w:color="auto"/>
              <w:right w:val="nil"/>
            </w:tcBorders>
            <w:shd w:val="clear" w:color="auto" w:fill="auto"/>
            <w:noWrap/>
            <w:vAlign w:val="center"/>
            <w:hideMark/>
          </w:tcPr>
          <w:p w14:paraId="2B30A4C6" w14:textId="63FD45C1"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592</w:t>
            </w:r>
          </w:p>
        </w:tc>
        <w:tc>
          <w:tcPr>
            <w:tcW w:w="815" w:type="dxa"/>
            <w:tcBorders>
              <w:top w:val="nil"/>
              <w:left w:val="nil"/>
              <w:bottom w:val="single" w:sz="4" w:space="0" w:color="auto"/>
              <w:right w:val="single" w:sz="8" w:space="0" w:color="auto"/>
            </w:tcBorders>
            <w:shd w:val="clear" w:color="auto" w:fill="auto"/>
            <w:noWrap/>
            <w:vAlign w:val="center"/>
            <w:hideMark/>
          </w:tcPr>
          <w:p w14:paraId="042E13A1" w14:textId="200757D9"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88.5%</w:t>
            </w:r>
          </w:p>
        </w:tc>
      </w:tr>
      <w:tr w:rsidR="00B80094" w:rsidRPr="007D7D04" w14:paraId="56C7893D"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677A4E83" w14:textId="389A6C9D"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lastRenderedPageBreak/>
              <w:t>The Support Plan is updated/revised when warranted by changes in the needs of the person.</w:t>
            </w:r>
          </w:p>
        </w:tc>
        <w:tc>
          <w:tcPr>
            <w:tcW w:w="1350" w:type="dxa"/>
            <w:tcBorders>
              <w:top w:val="nil"/>
              <w:left w:val="double" w:sz="6" w:space="0" w:color="auto"/>
              <w:bottom w:val="single" w:sz="4" w:space="0" w:color="auto"/>
              <w:right w:val="nil"/>
            </w:tcBorders>
            <w:shd w:val="clear" w:color="auto" w:fill="auto"/>
            <w:noWrap/>
            <w:vAlign w:val="center"/>
            <w:hideMark/>
          </w:tcPr>
          <w:p w14:paraId="5A22F3E5" w14:textId="4495535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157</w:t>
            </w:r>
          </w:p>
        </w:tc>
        <w:tc>
          <w:tcPr>
            <w:tcW w:w="815" w:type="dxa"/>
            <w:tcBorders>
              <w:top w:val="nil"/>
              <w:left w:val="nil"/>
              <w:bottom w:val="single" w:sz="4" w:space="0" w:color="auto"/>
              <w:right w:val="double" w:sz="6" w:space="0" w:color="auto"/>
            </w:tcBorders>
            <w:shd w:val="clear" w:color="auto" w:fill="auto"/>
            <w:noWrap/>
            <w:vAlign w:val="center"/>
            <w:hideMark/>
          </w:tcPr>
          <w:p w14:paraId="09F37F26" w14:textId="580B9EDB"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97.5%</w:t>
            </w:r>
          </w:p>
        </w:tc>
        <w:tc>
          <w:tcPr>
            <w:tcW w:w="1345" w:type="dxa"/>
            <w:tcBorders>
              <w:top w:val="nil"/>
              <w:left w:val="nil"/>
              <w:bottom w:val="single" w:sz="4" w:space="0" w:color="auto"/>
              <w:right w:val="nil"/>
            </w:tcBorders>
            <w:shd w:val="clear" w:color="auto" w:fill="auto"/>
            <w:noWrap/>
            <w:vAlign w:val="center"/>
            <w:hideMark/>
          </w:tcPr>
          <w:p w14:paraId="5D6177F2" w14:textId="2961B288"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276</w:t>
            </w:r>
          </w:p>
        </w:tc>
        <w:tc>
          <w:tcPr>
            <w:tcW w:w="815" w:type="dxa"/>
            <w:tcBorders>
              <w:top w:val="nil"/>
              <w:left w:val="nil"/>
              <w:bottom w:val="single" w:sz="4" w:space="0" w:color="auto"/>
              <w:right w:val="single" w:sz="8" w:space="0" w:color="auto"/>
            </w:tcBorders>
            <w:shd w:val="clear" w:color="auto" w:fill="auto"/>
            <w:noWrap/>
            <w:vAlign w:val="center"/>
            <w:hideMark/>
          </w:tcPr>
          <w:p w14:paraId="7F436005" w14:textId="2D91AFD1"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95.7%</w:t>
            </w:r>
          </w:p>
        </w:tc>
      </w:tr>
      <w:tr w:rsidR="00B80094" w:rsidRPr="007D7D04" w14:paraId="15B0CCB0"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3FE8D8E1" w14:textId="649D2F2D"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WSC documents a copy of the Support Plan is provided to the person or legal representative within 10 days of the Support Plan effective date.</w:t>
            </w:r>
          </w:p>
        </w:tc>
        <w:tc>
          <w:tcPr>
            <w:tcW w:w="1350" w:type="dxa"/>
            <w:tcBorders>
              <w:top w:val="nil"/>
              <w:left w:val="double" w:sz="6" w:space="0" w:color="auto"/>
              <w:bottom w:val="single" w:sz="4" w:space="0" w:color="auto"/>
              <w:right w:val="nil"/>
            </w:tcBorders>
            <w:shd w:val="clear" w:color="auto" w:fill="auto"/>
            <w:noWrap/>
            <w:vAlign w:val="center"/>
            <w:hideMark/>
          </w:tcPr>
          <w:p w14:paraId="62D502E8" w14:textId="7A3F5F74"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412</w:t>
            </w:r>
          </w:p>
        </w:tc>
        <w:tc>
          <w:tcPr>
            <w:tcW w:w="815" w:type="dxa"/>
            <w:tcBorders>
              <w:top w:val="nil"/>
              <w:left w:val="nil"/>
              <w:bottom w:val="single" w:sz="4" w:space="0" w:color="auto"/>
              <w:right w:val="double" w:sz="6" w:space="0" w:color="auto"/>
            </w:tcBorders>
            <w:shd w:val="clear" w:color="auto" w:fill="auto"/>
            <w:noWrap/>
            <w:vAlign w:val="center"/>
            <w:hideMark/>
          </w:tcPr>
          <w:p w14:paraId="20DD6FF3" w14:textId="594A62A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97.3%</w:t>
            </w:r>
          </w:p>
        </w:tc>
        <w:tc>
          <w:tcPr>
            <w:tcW w:w="1345" w:type="dxa"/>
            <w:tcBorders>
              <w:top w:val="nil"/>
              <w:left w:val="nil"/>
              <w:bottom w:val="single" w:sz="4" w:space="0" w:color="auto"/>
              <w:right w:val="nil"/>
            </w:tcBorders>
            <w:shd w:val="clear" w:color="auto" w:fill="auto"/>
            <w:noWrap/>
            <w:vAlign w:val="center"/>
            <w:hideMark/>
          </w:tcPr>
          <w:p w14:paraId="6A1C85CE" w14:textId="50CFF625"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600</w:t>
            </w:r>
          </w:p>
        </w:tc>
        <w:tc>
          <w:tcPr>
            <w:tcW w:w="815" w:type="dxa"/>
            <w:tcBorders>
              <w:top w:val="nil"/>
              <w:left w:val="nil"/>
              <w:bottom w:val="single" w:sz="4" w:space="0" w:color="auto"/>
              <w:right w:val="single" w:sz="8" w:space="0" w:color="auto"/>
            </w:tcBorders>
            <w:shd w:val="clear" w:color="auto" w:fill="auto"/>
            <w:noWrap/>
            <w:vAlign w:val="center"/>
            <w:hideMark/>
          </w:tcPr>
          <w:p w14:paraId="63462971" w14:textId="6DE5859E"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96.8%</w:t>
            </w:r>
          </w:p>
        </w:tc>
      </w:tr>
      <w:tr w:rsidR="00B80094" w:rsidRPr="007D7D04" w14:paraId="7921C2FD"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3AA94059" w14:textId="766BFBC5"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WSC documentation demonstrates a copy of the Support Plan is provided to all service providers within 30 calendar days of the Support Plan effective date.</w:t>
            </w:r>
          </w:p>
        </w:tc>
        <w:tc>
          <w:tcPr>
            <w:tcW w:w="1350" w:type="dxa"/>
            <w:tcBorders>
              <w:top w:val="nil"/>
              <w:left w:val="double" w:sz="6" w:space="0" w:color="auto"/>
              <w:bottom w:val="single" w:sz="4" w:space="0" w:color="auto"/>
              <w:right w:val="nil"/>
            </w:tcBorders>
            <w:shd w:val="clear" w:color="auto" w:fill="auto"/>
            <w:noWrap/>
            <w:vAlign w:val="center"/>
            <w:hideMark/>
          </w:tcPr>
          <w:p w14:paraId="0A1669F5" w14:textId="1F3D9F94"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392</w:t>
            </w:r>
          </w:p>
        </w:tc>
        <w:tc>
          <w:tcPr>
            <w:tcW w:w="815" w:type="dxa"/>
            <w:tcBorders>
              <w:top w:val="nil"/>
              <w:left w:val="nil"/>
              <w:bottom w:val="single" w:sz="4" w:space="0" w:color="auto"/>
              <w:right w:val="double" w:sz="6" w:space="0" w:color="auto"/>
            </w:tcBorders>
            <w:shd w:val="clear" w:color="auto" w:fill="auto"/>
            <w:noWrap/>
            <w:vAlign w:val="center"/>
            <w:hideMark/>
          </w:tcPr>
          <w:p w14:paraId="18EB8465" w14:textId="67B97A80"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94.4%</w:t>
            </w:r>
          </w:p>
        </w:tc>
        <w:tc>
          <w:tcPr>
            <w:tcW w:w="1345" w:type="dxa"/>
            <w:tcBorders>
              <w:top w:val="nil"/>
              <w:left w:val="nil"/>
              <w:bottom w:val="single" w:sz="4" w:space="0" w:color="auto"/>
              <w:right w:val="nil"/>
            </w:tcBorders>
            <w:shd w:val="clear" w:color="auto" w:fill="auto"/>
            <w:noWrap/>
            <w:vAlign w:val="center"/>
            <w:hideMark/>
          </w:tcPr>
          <w:p w14:paraId="1E42C67F" w14:textId="3273A9C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570</w:t>
            </w:r>
          </w:p>
        </w:tc>
        <w:tc>
          <w:tcPr>
            <w:tcW w:w="815" w:type="dxa"/>
            <w:tcBorders>
              <w:top w:val="nil"/>
              <w:left w:val="nil"/>
              <w:bottom w:val="single" w:sz="4" w:space="0" w:color="auto"/>
              <w:right w:val="single" w:sz="8" w:space="0" w:color="auto"/>
            </w:tcBorders>
            <w:shd w:val="clear" w:color="auto" w:fill="auto"/>
            <w:noWrap/>
            <w:vAlign w:val="center"/>
            <w:hideMark/>
          </w:tcPr>
          <w:p w14:paraId="02C5CBA2" w14:textId="5C245E63"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95.1%</w:t>
            </w:r>
          </w:p>
        </w:tc>
      </w:tr>
      <w:tr w:rsidR="00B80094" w:rsidRPr="007D7D04" w14:paraId="17AD7BA8" w14:textId="77777777" w:rsidTr="00B80094">
        <w:trPr>
          <w:trHeight w:val="420"/>
          <w:jc w:val="center"/>
        </w:trPr>
        <w:tc>
          <w:tcPr>
            <w:tcW w:w="5400" w:type="dxa"/>
            <w:tcBorders>
              <w:top w:val="nil"/>
              <w:left w:val="single" w:sz="8" w:space="0" w:color="auto"/>
              <w:bottom w:val="single" w:sz="4" w:space="0" w:color="auto"/>
              <w:right w:val="nil"/>
            </w:tcBorders>
            <w:shd w:val="clear" w:color="auto" w:fill="auto"/>
            <w:vAlign w:val="center"/>
            <w:hideMark/>
          </w:tcPr>
          <w:p w14:paraId="1F426C82" w14:textId="3FDF4D6B"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Support Plan includes supports and services consistent with assessed needs.</w:t>
            </w:r>
          </w:p>
        </w:tc>
        <w:tc>
          <w:tcPr>
            <w:tcW w:w="1350" w:type="dxa"/>
            <w:tcBorders>
              <w:top w:val="nil"/>
              <w:left w:val="double" w:sz="6" w:space="0" w:color="auto"/>
              <w:bottom w:val="single" w:sz="4" w:space="0" w:color="auto"/>
              <w:right w:val="nil"/>
            </w:tcBorders>
            <w:shd w:val="clear" w:color="auto" w:fill="auto"/>
            <w:noWrap/>
            <w:vAlign w:val="center"/>
            <w:hideMark/>
          </w:tcPr>
          <w:p w14:paraId="524986BA" w14:textId="4C7F1E17"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413</w:t>
            </w:r>
          </w:p>
        </w:tc>
        <w:tc>
          <w:tcPr>
            <w:tcW w:w="815" w:type="dxa"/>
            <w:tcBorders>
              <w:top w:val="nil"/>
              <w:left w:val="nil"/>
              <w:bottom w:val="single" w:sz="4" w:space="0" w:color="auto"/>
              <w:right w:val="double" w:sz="6" w:space="0" w:color="auto"/>
            </w:tcBorders>
            <w:shd w:val="clear" w:color="auto" w:fill="auto"/>
            <w:noWrap/>
            <w:vAlign w:val="center"/>
            <w:hideMark/>
          </w:tcPr>
          <w:p w14:paraId="69C25CB1" w14:textId="1CED29CA"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98.8%</w:t>
            </w:r>
          </w:p>
        </w:tc>
        <w:tc>
          <w:tcPr>
            <w:tcW w:w="1345" w:type="dxa"/>
            <w:tcBorders>
              <w:top w:val="nil"/>
              <w:left w:val="nil"/>
              <w:bottom w:val="single" w:sz="4" w:space="0" w:color="auto"/>
              <w:right w:val="nil"/>
            </w:tcBorders>
            <w:shd w:val="clear" w:color="auto" w:fill="auto"/>
            <w:noWrap/>
            <w:vAlign w:val="center"/>
            <w:hideMark/>
          </w:tcPr>
          <w:p w14:paraId="606AEB4F" w14:textId="63A13A33"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601</w:t>
            </w:r>
          </w:p>
        </w:tc>
        <w:tc>
          <w:tcPr>
            <w:tcW w:w="815" w:type="dxa"/>
            <w:tcBorders>
              <w:top w:val="nil"/>
              <w:left w:val="nil"/>
              <w:bottom w:val="single" w:sz="4" w:space="0" w:color="auto"/>
              <w:right w:val="single" w:sz="8" w:space="0" w:color="auto"/>
            </w:tcBorders>
            <w:shd w:val="clear" w:color="auto" w:fill="auto"/>
            <w:noWrap/>
            <w:vAlign w:val="center"/>
            <w:hideMark/>
          </w:tcPr>
          <w:p w14:paraId="00D21CF4" w14:textId="65C31F03"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99.7%</w:t>
            </w:r>
          </w:p>
        </w:tc>
      </w:tr>
      <w:tr w:rsidR="00B80094" w:rsidRPr="007D7D04" w14:paraId="57508E68"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756DACA7" w14:textId="349238F4"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Support Plan reflects support and services necessary to address assessed risks.</w:t>
            </w:r>
          </w:p>
        </w:tc>
        <w:tc>
          <w:tcPr>
            <w:tcW w:w="1350" w:type="dxa"/>
            <w:tcBorders>
              <w:top w:val="nil"/>
              <w:left w:val="double" w:sz="6" w:space="0" w:color="auto"/>
              <w:bottom w:val="single" w:sz="4" w:space="0" w:color="auto"/>
              <w:right w:val="nil"/>
            </w:tcBorders>
            <w:shd w:val="clear" w:color="auto" w:fill="auto"/>
            <w:noWrap/>
            <w:vAlign w:val="center"/>
            <w:hideMark/>
          </w:tcPr>
          <w:p w14:paraId="0B857918" w14:textId="25F1BD3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402</w:t>
            </w:r>
          </w:p>
        </w:tc>
        <w:tc>
          <w:tcPr>
            <w:tcW w:w="815" w:type="dxa"/>
            <w:tcBorders>
              <w:top w:val="nil"/>
              <w:left w:val="nil"/>
              <w:bottom w:val="single" w:sz="4" w:space="0" w:color="auto"/>
              <w:right w:val="double" w:sz="6" w:space="0" w:color="auto"/>
            </w:tcBorders>
            <w:shd w:val="clear" w:color="auto" w:fill="auto"/>
            <w:noWrap/>
            <w:vAlign w:val="center"/>
            <w:hideMark/>
          </w:tcPr>
          <w:p w14:paraId="1A8357AD" w14:textId="3F956CC6"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98.8%</w:t>
            </w:r>
          </w:p>
        </w:tc>
        <w:tc>
          <w:tcPr>
            <w:tcW w:w="1345" w:type="dxa"/>
            <w:tcBorders>
              <w:top w:val="nil"/>
              <w:left w:val="nil"/>
              <w:bottom w:val="single" w:sz="4" w:space="0" w:color="auto"/>
              <w:right w:val="nil"/>
            </w:tcBorders>
            <w:shd w:val="clear" w:color="auto" w:fill="auto"/>
            <w:noWrap/>
            <w:vAlign w:val="center"/>
            <w:hideMark/>
          </w:tcPr>
          <w:p w14:paraId="3BC7460A" w14:textId="04D9EA1E"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567</w:t>
            </w:r>
          </w:p>
        </w:tc>
        <w:tc>
          <w:tcPr>
            <w:tcW w:w="815" w:type="dxa"/>
            <w:tcBorders>
              <w:top w:val="nil"/>
              <w:left w:val="nil"/>
              <w:bottom w:val="single" w:sz="4" w:space="0" w:color="auto"/>
              <w:right w:val="single" w:sz="8" w:space="0" w:color="auto"/>
            </w:tcBorders>
            <w:shd w:val="clear" w:color="auto" w:fill="auto"/>
            <w:noWrap/>
            <w:vAlign w:val="center"/>
            <w:hideMark/>
          </w:tcPr>
          <w:p w14:paraId="66D6BE54" w14:textId="0101057E"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99.3%</w:t>
            </w:r>
          </w:p>
        </w:tc>
      </w:tr>
      <w:tr w:rsidR="00B80094" w:rsidRPr="007D7D04" w14:paraId="692478B6"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48740937" w14:textId="510F1BB9"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Support Plan includes a current Safety Plan.</w:t>
            </w:r>
          </w:p>
        </w:tc>
        <w:tc>
          <w:tcPr>
            <w:tcW w:w="1350" w:type="dxa"/>
            <w:tcBorders>
              <w:top w:val="nil"/>
              <w:left w:val="double" w:sz="6" w:space="0" w:color="auto"/>
              <w:bottom w:val="single" w:sz="4" w:space="0" w:color="auto"/>
              <w:right w:val="nil"/>
            </w:tcBorders>
            <w:shd w:val="clear" w:color="auto" w:fill="auto"/>
            <w:noWrap/>
            <w:vAlign w:val="center"/>
            <w:hideMark/>
          </w:tcPr>
          <w:p w14:paraId="2692703A" w14:textId="4155214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16</w:t>
            </w:r>
          </w:p>
        </w:tc>
        <w:tc>
          <w:tcPr>
            <w:tcW w:w="815" w:type="dxa"/>
            <w:tcBorders>
              <w:top w:val="nil"/>
              <w:left w:val="nil"/>
              <w:bottom w:val="single" w:sz="4" w:space="0" w:color="auto"/>
              <w:right w:val="double" w:sz="6" w:space="0" w:color="auto"/>
            </w:tcBorders>
            <w:shd w:val="clear" w:color="auto" w:fill="auto"/>
            <w:noWrap/>
            <w:vAlign w:val="center"/>
            <w:hideMark/>
          </w:tcPr>
          <w:p w14:paraId="5AE83477" w14:textId="1B4B8A06"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81.3%</w:t>
            </w:r>
          </w:p>
        </w:tc>
        <w:tc>
          <w:tcPr>
            <w:tcW w:w="1345" w:type="dxa"/>
            <w:tcBorders>
              <w:top w:val="nil"/>
              <w:left w:val="nil"/>
              <w:bottom w:val="single" w:sz="4" w:space="0" w:color="auto"/>
              <w:right w:val="nil"/>
            </w:tcBorders>
            <w:shd w:val="clear" w:color="auto" w:fill="auto"/>
            <w:noWrap/>
            <w:vAlign w:val="center"/>
            <w:hideMark/>
          </w:tcPr>
          <w:p w14:paraId="19319971" w14:textId="4256B2EE"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15</w:t>
            </w:r>
          </w:p>
        </w:tc>
        <w:tc>
          <w:tcPr>
            <w:tcW w:w="815" w:type="dxa"/>
            <w:tcBorders>
              <w:top w:val="nil"/>
              <w:left w:val="nil"/>
              <w:bottom w:val="single" w:sz="4" w:space="0" w:color="auto"/>
              <w:right w:val="single" w:sz="8" w:space="0" w:color="auto"/>
            </w:tcBorders>
            <w:shd w:val="clear" w:color="auto" w:fill="auto"/>
            <w:noWrap/>
            <w:vAlign w:val="center"/>
            <w:hideMark/>
          </w:tcPr>
          <w:p w14:paraId="1ED84038" w14:textId="6D75DC8A"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86.7%</w:t>
            </w:r>
          </w:p>
        </w:tc>
      </w:tr>
      <w:tr w:rsidR="00B80094" w:rsidRPr="007D7D04" w14:paraId="6EB02973"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3737CC30" w14:textId="6DB44BB0"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Support Plan reflects the personal goals/outcomes of the person.</w:t>
            </w:r>
          </w:p>
        </w:tc>
        <w:tc>
          <w:tcPr>
            <w:tcW w:w="1350" w:type="dxa"/>
            <w:tcBorders>
              <w:top w:val="nil"/>
              <w:left w:val="double" w:sz="6" w:space="0" w:color="auto"/>
              <w:bottom w:val="single" w:sz="4" w:space="0" w:color="auto"/>
              <w:right w:val="nil"/>
            </w:tcBorders>
            <w:shd w:val="clear" w:color="auto" w:fill="auto"/>
            <w:noWrap/>
            <w:vAlign w:val="center"/>
            <w:hideMark/>
          </w:tcPr>
          <w:p w14:paraId="72A120C1" w14:textId="5BCA59BA"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412</w:t>
            </w:r>
          </w:p>
        </w:tc>
        <w:tc>
          <w:tcPr>
            <w:tcW w:w="815" w:type="dxa"/>
            <w:tcBorders>
              <w:top w:val="nil"/>
              <w:left w:val="nil"/>
              <w:bottom w:val="single" w:sz="4" w:space="0" w:color="auto"/>
              <w:right w:val="double" w:sz="6" w:space="0" w:color="auto"/>
            </w:tcBorders>
            <w:shd w:val="clear" w:color="auto" w:fill="auto"/>
            <w:noWrap/>
            <w:vAlign w:val="center"/>
            <w:hideMark/>
          </w:tcPr>
          <w:p w14:paraId="2A728BB8" w14:textId="1FE0AC78"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98.5%</w:t>
            </w:r>
          </w:p>
        </w:tc>
        <w:tc>
          <w:tcPr>
            <w:tcW w:w="1345" w:type="dxa"/>
            <w:tcBorders>
              <w:top w:val="nil"/>
              <w:left w:val="nil"/>
              <w:bottom w:val="single" w:sz="4" w:space="0" w:color="auto"/>
              <w:right w:val="nil"/>
            </w:tcBorders>
            <w:shd w:val="clear" w:color="auto" w:fill="auto"/>
            <w:noWrap/>
            <w:vAlign w:val="center"/>
            <w:hideMark/>
          </w:tcPr>
          <w:p w14:paraId="0766D236" w14:textId="143C581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602</w:t>
            </w:r>
          </w:p>
        </w:tc>
        <w:tc>
          <w:tcPr>
            <w:tcW w:w="815" w:type="dxa"/>
            <w:tcBorders>
              <w:top w:val="nil"/>
              <w:left w:val="nil"/>
              <w:bottom w:val="single" w:sz="4" w:space="0" w:color="auto"/>
              <w:right w:val="single" w:sz="8" w:space="0" w:color="auto"/>
            </w:tcBorders>
            <w:shd w:val="clear" w:color="auto" w:fill="auto"/>
            <w:noWrap/>
            <w:vAlign w:val="center"/>
            <w:hideMark/>
          </w:tcPr>
          <w:p w14:paraId="0E9B1638" w14:textId="0B86607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99.8%</w:t>
            </w:r>
          </w:p>
        </w:tc>
      </w:tr>
      <w:tr w:rsidR="00B80094" w:rsidRPr="007D7D04" w14:paraId="23A92C77"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77330913" w14:textId="7F9FE716"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current Support Plan includes natural, generic, community and paid supports for the person.</w:t>
            </w:r>
          </w:p>
        </w:tc>
        <w:tc>
          <w:tcPr>
            <w:tcW w:w="1350" w:type="dxa"/>
            <w:tcBorders>
              <w:top w:val="nil"/>
              <w:left w:val="double" w:sz="6" w:space="0" w:color="auto"/>
              <w:bottom w:val="single" w:sz="4" w:space="0" w:color="auto"/>
              <w:right w:val="nil"/>
            </w:tcBorders>
            <w:shd w:val="clear" w:color="auto" w:fill="auto"/>
            <w:noWrap/>
            <w:vAlign w:val="center"/>
            <w:hideMark/>
          </w:tcPr>
          <w:p w14:paraId="7BF0181B" w14:textId="6074298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413</w:t>
            </w:r>
          </w:p>
        </w:tc>
        <w:tc>
          <w:tcPr>
            <w:tcW w:w="815" w:type="dxa"/>
            <w:tcBorders>
              <w:top w:val="nil"/>
              <w:left w:val="nil"/>
              <w:bottom w:val="single" w:sz="4" w:space="0" w:color="auto"/>
              <w:right w:val="double" w:sz="6" w:space="0" w:color="auto"/>
            </w:tcBorders>
            <w:shd w:val="clear" w:color="auto" w:fill="auto"/>
            <w:noWrap/>
            <w:vAlign w:val="center"/>
            <w:hideMark/>
          </w:tcPr>
          <w:p w14:paraId="44D9CDE7" w14:textId="3FC2A9F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99.3%</w:t>
            </w:r>
          </w:p>
        </w:tc>
        <w:tc>
          <w:tcPr>
            <w:tcW w:w="1345" w:type="dxa"/>
            <w:tcBorders>
              <w:top w:val="nil"/>
              <w:left w:val="nil"/>
              <w:bottom w:val="single" w:sz="4" w:space="0" w:color="auto"/>
              <w:right w:val="nil"/>
            </w:tcBorders>
            <w:shd w:val="clear" w:color="auto" w:fill="auto"/>
            <w:noWrap/>
            <w:vAlign w:val="center"/>
            <w:hideMark/>
          </w:tcPr>
          <w:p w14:paraId="72BCE7C3" w14:textId="1270A0F8"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602</w:t>
            </w:r>
          </w:p>
        </w:tc>
        <w:tc>
          <w:tcPr>
            <w:tcW w:w="815" w:type="dxa"/>
            <w:tcBorders>
              <w:top w:val="nil"/>
              <w:left w:val="nil"/>
              <w:bottom w:val="single" w:sz="4" w:space="0" w:color="auto"/>
              <w:right w:val="single" w:sz="8" w:space="0" w:color="auto"/>
            </w:tcBorders>
            <w:shd w:val="clear" w:color="auto" w:fill="auto"/>
            <w:noWrap/>
            <w:vAlign w:val="center"/>
            <w:hideMark/>
          </w:tcPr>
          <w:p w14:paraId="541423AB" w14:textId="7406A520"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99.2%</w:t>
            </w:r>
          </w:p>
        </w:tc>
      </w:tr>
      <w:tr w:rsidR="00B80094" w:rsidRPr="007D7D04" w14:paraId="3E11A727"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2C1BA6CD" w14:textId="75093A39"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WSC documentation demonstrates current, accurate, and approved Service Authorizations are issued to service provider(s).</w:t>
            </w:r>
          </w:p>
        </w:tc>
        <w:tc>
          <w:tcPr>
            <w:tcW w:w="1350" w:type="dxa"/>
            <w:tcBorders>
              <w:top w:val="nil"/>
              <w:left w:val="double" w:sz="6" w:space="0" w:color="auto"/>
              <w:bottom w:val="single" w:sz="4" w:space="0" w:color="auto"/>
              <w:right w:val="nil"/>
            </w:tcBorders>
            <w:shd w:val="clear" w:color="auto" w:fill="auto"/>
            <w:noWrap/>
            <w:vAlign w:val="center"/>
            <w:hideMark/>
          </w:tcPr>
          <w:p w14:paraId="3BDACA95" w14:textId="55478278"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404</w:t>
            </w:r>
          </w:p>
        </w:tc>
        <w:tc>
          <w:tcPr>
            <w:tcW w:w="815" w:type="dxa"/>
            <w:tcBorders>
              <w:top w:val="nil"/>
              <w:left w:val="nil"/>
              <w:bottom w:val="single" w:sz="4" w:space="0" w:color="auto"/>
              <w:right w:val="double" w:sz="6" w:space="0" w:color="auto"/>
            </w:tcBorders>
            <w:shd w:val="clear" w:color="auto" w:fill="auto"/>
            <w:noWrap/>
            <w:vAlign w:val="center"/>
            <w:hideMark/>
          </w:tcPr>
          <w:p w14:paraId="539A943D" w14:textId="69243A7D"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98.0%</w:t>
            </w:r>
          </w:p>
        </w:tc>
        <w:tc>
          <w:tcPr>
            <w:tcW w:w="1345" w:type="dxa"/>
            <w:tcBorders>
              <w:top w:val="nil"/>
              <w:left w:val="nil"/>
              <w:bottom w:val="single" w:sz="4" w:space="0" w:color="auto"/>
              <w:right w:val="nil"/>
            </w:tcBorders>
            <w:shd w:val="clear" w:color="auto" w:fill="auto"/>
            <w:noWrap/>
            <w:vAlign w:val="center"/>
            <w:hideMark/>
          </w:tcPr>
          <w:p w14:paraId="6C35C764" w14:textId="64E34CF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587</w:t>
            </w:r>
          </w:p>
        </w:tc>
        <w:tc>
          <w:tcPr>
            <w:tcW w:w="815" w:type="dxa"/>
            <w:tcBorders>
              <w:top w:val="nil"/>
              <w:left w:val="nil"/>
              <w:bottom w:val="single" w:sz="4" w:space="0" w:color="auto"/>
              <w:right w:val="single" w:sz="8" w:space="0" w:color="auto"/>
            </w:tcBorders>
            <w:shd w:val="clear" w:color="auto" w:fill="auto"/>
            <w:noWrap/>
            <w:vAlign w:val="center"/>
            <w:hideMark/>
          </w:tcPr>
          <w:p w14:paraId="662F425C" w14:textId="31327E50"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98.0%</w:t>
            </w:r>
          </w:p>
        </w:tc>
      </w:tr>
      <w:tr w:rsidR="00B80094" w:rsidRPr="007D7D04" w14:paraId="19D3E82E" w14:textId="77777777" w:rsidTr="00B80094">
        <w:trPr>
          <w:trHeight w:val="300"/>
          <w:jc w:val="center"/>
        </w:trPr>
        <w:tc>
          <w:tcPr>
            <w:tcW w:w="5400" w:type="dxa"/>
            <w:tcBorders>
              <w:top w:val="nil"/>
              <w:left w:val="single" w:sz="8" w:space="0" w:color="auto"/>
              <w:bottom w:val="single" w:sz="4" w:space="0" w:color="auto"/>
              <w:right w:val="nil"/>
            </w:tcBorders>
            <w:shd w:val="clear" w:color="auto" w:fill="auto"/>
            <w:vAlign w:val="center"/>
            <w:hideMark/>
          </w:tcPr>
          <w:p w14:paraId="464653F1" w14:textId="1D3F179A"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efforts to ensure services are delivered in accordance with the service plan, including type, scope, amount, duration, and frequency specified in the Cost Plan.</w:t>
            </w:r>
          </w:p>
        </w:tc>
        <w:tc>
          <w:tcPr>
            <w:tcW w:w="1350" w:type="dxa"/>
            <w:tcBorders>
              <w:top w:val="nil"/>
              <w:left w:val="double" w:sz="6" w:space="0" w:color="auto"/>
              <w:bottom w:val="single" w:sz="4" w:space="0" w:color="auto"/>
              <w:right w:val="nil"/>
            </w:tcBorders>
            <w:shd w:val="clear" w:color="auto" w:fill="auto"/>
            <w:noWrap/>
            <w:vAlign w:val="center"/>
            <w:hideMark/>
          </w:tcPr>
          <w:p w14:paraId="130F170D" w14:textId="49AE88BC"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396</w:t>
            </w:r>
          </w:p>
        </w:tc>
        <w:tc>
          <w:tcPr>
            <w:tcW w:w="815" w:type="dxa"/>
            <w:tcBorders>
              <w:top w:val="nil"/>
              <w:left w:val="nil"/>
              <w:bottom w:val="single" w:sz="4" w:space="0" w:color="auto"/>
              <w:right w:val="double" w:sz="6" w:space="0" w:color="auto"/>
            </w:tcBorders>
            <w:shd w:val="clear" w:color="auto" w:fill="auto"/>
            <w:noWrap/>
            <w:vAlign w:val="center"/>
            <w:hideMark/>
          </w:tcPr>
          <w:p w14:paraId="44F400AD" w14:textId="3C27036D"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94.7%</w:t>
            </w:r>
          </w:p>
        </w:tc>
        <w:tc>
          <w:tcPr>
            <w:tcW w:w="1345" w:type="dxa"/>
            <w:tcBorders>
              <w:top w:val="nil"/>
              <w:left w:val="nil"/>
              <w:bottom w:val="single" w:sz="4" w:space="0" w:color="auto"/>
              <w:right w:val="nil"/>
            </w:tcBorders>
            <w:shd w:val="clear" w:color="auto" w:fill="auto"/>
            <w:noWrap/>
            <w:vAlign w:val="center"/>
            <w:hideMark/>
          </w:tcPr>
          <w:p w14:paraId="5FCAB41A" w14:textId="20E4F692"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574</w:t>
            </w:r>
          </w:p>
        </w:tc>
        <w:tc>
          <w:tcPr>
            <w:tcW w:w="815" w:type="dxa"/>
            <w:tcBorders>
              <w:top w:val="nil"/>
              <w:left w:val="nil"/>
              <w:bottom w:val="single" w:sz="4" w:space="0" w:color="auto"/>
              <w:right w:val="single" w:sz="8" w:space="0" w:color="auto"/>
            </w:tcBorders>
            <w:shd w:val="clear" w:color="auto" w:fill="auto"/>
            <w:noWrap/>
            <w:vAlign w:val="center"/>
            <w:hideMark/>
          </w:tcPr>
          <w:p w14:paraId="7E6C3FAE" w14:textId="0A4B569F"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91.5%</w:t>
            </w:r>
          </w:p>
        </w:tc>
      </w:tr>
      <w:tr w:rsidR="00B80094" w:rsidRPr="007D7D04" w14:paraId="55D39DE6" w14:textId="77777777" w:rsidTr="00B80094">
        <w:trPr>
          <w:trHeight w:val="665"/>
          <w:jc w:val="center"/>
        </w:trPr>
        <w:tc>
          <w:tcPr>
            <w:tcW w:w="5400" w:type="dxa"/>
            <w:tcBorders>
              <w:top w:val="nil"/>
              <w:left w:val="single" w:sz="8" w:space="0" w:color="auto"/>
              <w:bottom w:val="single" w:sz="4" w:space="0" w:color="auto"/>
              <w:right w:val="nil"/>
            </w:tcBorders>
            <w:shd w:val="clear" w:color="auto" w:fill="auto"/>
            <w:vAlign w:val="center"/>
            <w:hideMark/>
          </w:tcPr>
          <w:p w14:paraId="717EEAD3" w14:textId="79B76013"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is in compliance with billing procedures and the Medicaid Waiver Services Agreement.</w:t>
            </w:r>
          </w:p>
        </w:tc>
        <w:tc>
          <w:tcPr>
            <w:tcW w:w="1350" w:type="dxa"/>
            <w:tcBorders>
              <w:top w:val="nil"/>
              <w:left w:val="double" w:sz="6" w:space="0" w:color="auto"/>
              <w:bottom w:val="single" w:sz="4" w:space="0" w:color="auto"/>
              <w:right w:val="nil"/>
            </w:tcBorders>
            <w:shd w:val="clear" w:color="auto" w:fill="auto"/>
            <w:noWrap/>
            <w:vAlign w:val="center"/>
            <w:hideMark/>
          </w:tcPr>
          <w:p w14:paraId="2D0390BF" w14:textId="3B739037"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7CD4BF08" w14:textId="0CD7FBE4"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99.8%</w:t>
            </w:r>
          </w:p>
        </w:tc>
        <w:tc>
          <w:tcPr>
            <w:tcW w:w="1345" w:type="dxa"/>
            <w:tcBorders>
              <w:top w:val="nil"/>
              <w:left w:val="nil"/>
              <w:bottom w:val="single" w:sz="4" w:space="0" w:color="auto"/>
              <w:right w:val="nil"/>
            </w:tcBorders>
            <w:shd w:val="clear" w:color="auto" w:fill="auto"/>
            <w:noWrap/>
            <w:vAlign w:val="center"/>
            <w:hideMark/>
          </w:tcPr>
          <w:p w14:paraId="08B19956" w14:textId="01087840"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599</w:t>
            </w:r>
          </w:p>
        </w:tc>
        <w:tc>
          <w:tcPr>
            <w:tcW w:w="815" w:type="dxa"/>
            <w:tcBorders>
              <w:top w:val="nil"/>
              <w:left w:val="nil"/>
              <w:bottom w:val="single" w:sz="4" w:space="0" w:color="auto"/>
              <w:right w:val="single" w:sz="8" w:space="0" w:color="auto"/>
            </w:tcBorders>
            <w:shd w:val="clear" w:color="auto" w:fill="auto"/>
            <w:noWrap/>
            <w:vAlign w:val="center"/>
            <w:hideMark/>
          </w:tcPr>
          <w:p w14:paraId="20541C6F" w14:textId="4393299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99.5%</w:t>
            </w:r>
          </w:p>
        </w:tc>
      </w:tr>
      <w:tr w:rsidR="00B80094" w:rsidRPr="007D7D04" w14:paraId="7DD7BF2F" w14:textId="77777777" w:rsidTr="00B80094">
        <w:trPr>
          <w:trHeight w:val="521"/>
          <w:jc w:val="center"/>
        </w:trPr>
        <w:tc>
          <w:tcPr>
            <w:tcW w:w="5400" w:type="dxa"/>
            <w:tcBorders>
              <w:top w:val="nil"/>
              <w:left w:val="single" w:sz="8" w:space="0" w:color="auto"/>
              <w:bottom w:val="single" w:sz="4" w:space="0" w:color="auto"/>
              <w:right w:val="nil"/>
            </w:tcBorders>
            <w:shd w:val="clear" w:color="auto" w:fill="auto"/>
            <w:vAlign w:val="center"/>
            <w:hideMark/>
          </w:tcPr>
          <w:p w14:paraId="325D56A6" w14:textId="5E86BFAC"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bills for services after services are rendered.</w:t>
            </w:r>
          </w:p>
        </w:tc>
        <w:tc>
          <w:tcPr>
            <w:tcW w:w="1350" w:type="dxa"/>
            <w:tcBorders>
              <w:top w:val="nil"/>
              <w:left w:val="double" w:sz="6" w:space="0" w:color="auto"/>
              <w:bottom w:val="single" w:sz="4" w:space="0" w:color="auto"/>
              <w:right w:val="nil"/>
            </w:tcBorders>
            <w:shd w:val="clear" w:color="auto" w:fill="auto"/>
            <w:noWrap/>
            <w:vAlign w:val="center"/>
            <w:hideMark/>
          </w:tcPr>
          <w:p w14:paraId="41D1ECD4" w14:textId="032BEAE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2D7768A5" w14:textId="4029CD2C"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98.5%</w:t>
            </w:r>
          </w:p>
        </w:tc>
        <w:tc>
          <w:tcPr>
            <w:tcW w:w="1345" w:type="dxa"/>
            <w:tcBorders>
              <w:top w:val="nil"/>
              <w:left w:val="nil"/>
              <w:bottom w:val="single" w:sz="4" w:space="0" w:color="auto"/>
              <w:right w:val="nil"/>
            </w:tcBorders>
            <w:shd w:val="clear" w:color="auto" w:fill="auto"/>
            <w:noWrap/>
            <w:vAlign w:val="center"/>
            <w:hideMark/>
          </w:tcPr>
          <w:p w14:paraId="58F63D6F" w14:textId="56CFAA06"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599</w:t>
            </w:r>
          </w:p>
        </w:tc>
        <w:tc>
          <w:tcPr>
            <w:tcW w:w="815" w:type="dxa"/>
            <w:tcBorders>
              <w:top w:val="nil"/>
              <w:left w:val="nil"/>
              <w:bottom w:val="single" w:sz="4" w:space="0" w:color="auto"/>
              <w:right w:val="single" w:sz="8" w:space="0" w:color="auto"/>
            </w:tcBorders>
            <w:shd w:val="clear" w:color="auto" w:fill="auto"/>
            <w:noWrap/>
            <w:vAlign w:val="center"/>
            <w:hideMark/>
          </w:tcPr>
          <w:p w14:paraId="799FADB4" w14:textId="1B4C8B9F"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96.0%</w:t>
            </w:r>
          </w:p>
        </w:tc>
      </w:tr>
      <w:tr w:rsidR="00B80094" w:rsidRPr="007D7D04" w14:paraId="5C5454AA" w14:textId="77777777" w:rsidTr="00A77B6A">
        <w:trPr>
          <w:trHeight w:val="638"/>
          <w:jc w:val="center"/>
        </w:trPr>
        <w:tc>
          <w:tcPr>
            <w:tcW w:w="5400" w:type="dxa"/>
            <w:tcBorders>
              <w:top w:val="nil"/>
              <w:left w:val="single" w:sz="8" w:space="0" w:color="auto"/>
              <w:bottom w:val="single" w:sz="4" w:space="0" w:color="auto"/>
              <w:right w:val="nil"/>
            </w:tcBorders>
            <w:shd w:val="clear" w:color="auto" w:fill="D9D9D9" w:themeFill="background1" w:themeFillShade="D9"/>
            <w:vAlign w:val="center"/>
            <w:hideMark/>
          </w:tcPr>
          <w:p w14:paraId="58CE6463" w14:textId="6A7C189F"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Coordination Progress Notes demonstrate pre-Support Plan planning activities were conducted.</w:t>
            </w:r>
          </w:p>
        </w:tc>
        <w:tc>
          <w:tcPr>
            <w:tcW w:w="1350" w:type="dxa"/>
            <w:tcBorders>
              <w:top w:val="nil"/>
              <w:left w:val="double" w:sz="6" w:space="0" w:color="auto"/>
              <w:bottom w:val="single" w:sz="4" w:space="0" w:color="auto"/>
              <w:right w:val="nil"/>
            </w:tcBorders>
            <w:shd w:val="clear" w:color="auto" w:fill="D9D9D9" w:themeFill="background1" w:themeFillShade="D9"/>
            <w:noWrap/>
            <w:vAlign w:val="center"/>
            <w:hideMark/>
          </w:tcPr>
          <w:p w14:paraId="00EDFC9D" w14:textId="5BD1C285"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403</w:t>
            </w:r>
          </w:p>
        </w:tc>
        <w:tc>
          <w:tcPr>
            <w:tcW w:w="815" w:type="dxa"/>
            <w:tcBorders>
              <w:top w:val="nil"/>
              <w:left w:val="nil"/>
              <w:bottom w:val="single" w:sz="4" w:space="0" w:color="auto"/>
              <w:right w:val="double" w:sz="6" w:space="0" w:color="auto"/>
            </w:tcBorders>
            <w:shd w:val="clear" w:color="auto" w:fill="D9D9D9" w:themeFill="background1" w:themeFillShade="D9"/>
            <w:noWrap/>
            <w:vAlign w:val="center"/>
            <w:hideMark/>
          </w:tcPr>
          <w:p w14:paraId="4500D3EC" w14:textId="0144F3D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88.6%</w:t>
            </w:r>
          </w:p>
        </w:tc>
        <w:tc>
          <w:tcPr>
            <w:tcW w:w="1345" w:type="dxa"/>
            <w:tcBorders>
              <w:top w:val="nil"/>
              <w:left w:val="nil"/>
              <w:bottom w:val="single" w:sz="4" w:space="0" w:color="auto"/>
              <w:right w:val="nil"/>
            </w:tcBorders>
            <w:shd w:val="clear" w:color="auto" w:fill="D9D9D9" w:themeFill="background1" w:themeFillShade="D9"/>
            <w:noWrap/>
            <w:vAlign w:val="center"/>
            <w:hideMark/>
          </w:tcPr>
          <w:p w14:paraId="4BCEEA1D" w14:textId="48433530"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596</w:t>
            </w:r>
          </w:p>
        </w:tc>
        <w:tc>
          <w:tcPr>
            <w:tcW w:w="815" w:type="dxa"/>
            <w:tcBorders>
              <w:top w:val="nil"/>
              <w:left w:val="nil"/>
              <w:bottom w:val="single" w:sz="4" w:space="0" w:color="auto"/>
              <w:right w:val="single" w:sz="8" w:space="0" w:color="auto"/>
            </w:tcBorders>
            <w:shd w:val="clear" w:color="auto" w:fill="D9D9D9" w:themeFill="background1" w:themeFillShade="D9"/>
            <w:noWrap/>
            <w:vAlign w:val="center"/>
            <w:hideMark/>
          </w:tcPr>
          <w:p w14:paraId="5BF8369F" w14:textId="097C2B14"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81.5%</w:t>
            </w:r>
          </w:p>
        </w:tc>
      </w:tr>
      <w:tr w:rsidR="00B80094" w:rsidRPr="007D7D04" w14:paraId="594C5CF9" w14:textId="77777777" w:rsidTr="00B80094">
        <w:trPr>
          <w:trHeight w:val="765"/>
          <w:jc w:val="center"/>
        </w:trPr>
        <w:tc>
          <w:tcPr>
            <w:tcW w:w="5400" w:type="dxa"/>
            <w:tcBorders>
              <w:top w:val="nil"/>
              <w:left w:val="single" w:sz="8" w:space="0" w:color="auto"/>
              <w:bottom w:val="single" w:sz="4" w:space="0" w:color="auto"/>
              <w:right w:val="nil"/>
            </w:tcBorders>
            <w:shd w:val="clear" w:color="auto" w:fill="auto"/>
            <w:vAlign w:val="center"/>
            <w:hideMark/>
          </w:tcPr>
          <w:p w14:paraId="2A40F4F8" w14:textId="0BB00696"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Coordination Progress Notes demonstrate required monthly contact/activities were completed and are in the record.</w:t>
            </w:r>
          </w:p>
        </w:tc>
        <w:tc>
          <w:tcPr>
            <w:tcW w:w="1350" w:type="dxa"/>
            <w:tcBorders>
              <w:top w:val="nil"/>
              <w:left w:val="double" w:sz="6" w:space="0" w:color="auto"/>
              <w:bottom w:val="single" w:sz="4" w:space="0" w:color="auto"/>
              <w:right w:val="nil"/>
            </w:tcBorders>
            <w:shd w:val="clear" w:color="auto" w:fill="auto"/>
            <w:noWrap/>
            <w:vAlign w:val="center"/>
            <w:hideMark/>
          </w:tcPr>
          <w:p w14:paraId="1902A790" w14:textId="0601256C"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409</w:t>
            </w:r>
          </w:p>
        </w:tc>
        <w:tc>
          <w:tcPr>
            <w:tcW w:w="815" w:type="dxa"/>
            <w:tcBorders>
              <w:top w:val="nil"/>
              <w:left w:val="nil"/>
              <w:bottom w:val="single" w:sz="4" w:space="0" w:color="auto"/>
              <w:right w:val="double" w:sz="6" w:space="0" w:color="auto"/>
            </w:tcBorders>
            <w:shd w:val="clear" w:color="auto" w:fill="auto"/>
            <w:noWrap/>
            <w:vAlign w:val="center"/>
            <w:hideMark/>
          </w:tcPr>
          <w:p w14:paraId="15E2EE25" w14:textId="40CA8535"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98.0%</w:t>
            </w:r>
          </w:p>
        </w:tc>
        <w:tc>
          <w:tcPr>
            <w:tcW w:w="1345" w:type="dxa"/>
            <w:tcBorders>
              <w:top w:val="nil"/>
              <w:left w:val="nil"/>
              <w:bottom w:val="single" w:sz="4" w:space="0" w:color="auto"/>
              <w:right w:val="nil"/>
            </w:tcBorders>
            <w:shd w:val="clear" w:color="auto" w:fill="auto"/>
            <w:noWrap/>
            <w:vAlign w:val="center"/>
            <w:hideMark/>
          </w:tcPr>
          <w:p w14:paraId="3DD6C913" w14:textId="512C0E5C"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601</w:t>
            </w:r>
          </w:p>
        </w:tc>
        <w:tc>
          <w:tcPr>
            <w:tcW w:w="815" w:type="dxa"/>
            <w:tcBorders>
              <w:top w:val="nil"/>
              <w:left w:val="nil"/>
              <w:bottom w:val="single" w:sz="4" w:space="0" w:color="auto"/>
              <w:right w:val="single" w:sz="8" w:space="0" w:color="auto"/>
            </w:tcBorders>
            <w:shd w:val="clear" w:color="auto" w:fill="auto"/>
            <w:noWrap/>
            <w:vAlign w:val="center"/>
            <w:hideMark/>
          </w:tcPr>
          <w:p w14:paraId="73ECAA40" w14:textId="778B776F"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94.7%</w:t>
            </w:r>
          </w:p>
        </w:tc>
      </w:tr>
      <w:tr w:rsidR="00B80094" w:rsidRPr="007D7D04" w14:paraId="7FD5D1A4" w14:textId="77777777" w:rsidTr="00A77B6A">
        <w:trPr>
          <w:trHeight w:val="765"/>
          <w:jc w:val="center"/>
        </w:trPr>
        <w:tc>
          <w:tcPr>
            <w:tcW w:w="5400" w:type="dxa"/>
            <w:tcBorders>
              <w:top w:val="nil"/>
              <w:left w:val="single" w:sz="8" w:space="0" w:color="auto"/>
              <w:bottom w:val="single" w:sz="4" w:space="0" w:color="auto"/>
              <w:right w:val="nil"/>
            </w:tcBorders>
            <w:shd w:val="clear" w:color="auto" w:fill="D9D9D9" w:themeFill="background1" w:themeFillShade="D9"/>
            <w:vAlign w:val="center"/>
            <w:hideMark/>
          </w:tcPr>
          <w:p w14:paraId="6197A2E2" w14:textId="496160C0"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For individuals in supported living arrangements Progress Notes demonstrate required activities are covered during each quarterly home visit.</w:t>
            </w:r>
          </w:p>
        </w:tc>
        <w:tc>
          <w:tcPr>
            <w:tcW w:w="1350" w:type="dxa"/>
            <w:tcBorders>
              <w:top w:val="nil"/>
              <w:left w:val="double" w:sz="6" w:space="0" w:color="auto"/>
              <w:bottom w:val="single" w:sz="4" w:space="0" w:color="auto"/>
              <w:right w:val="nil"/>
            </w:tcBorders>
            <w:shd w:val="clear" w:color="auto" w:fill="D9D9D9" w:themeFill="background1" w:themeFillShade="D9"/>
            <w:noWrap/>
            <w:vAlign w:val="center"/>
            <w:hideMark/>
          </w:tcPr>
          <w:p w14:paraId="11509D8F" w14:textId="687D5DE2"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52</w:t>
            </w:r>
          </w:p>
        </w:tc>
        <w:tc>
          <w:tcPr>
            <w:tcW w:w="815" w:type="dxa"/>
            <w:tcBorders>
              <w:top w:val="nil"/>
              <w:left w:val="nil"/>
              <w:bottom w:val="single" w:sz="4" w:space="0" w:color="auto"/>
              <w:right w:val="double" w:sz="6" w:space="0" w:color="auto"/>
            </w:tcBorders>
            <w:shd w:val="clear" w:color="auto" w:fill="D9D9D9" w:themeFill="background1" w:themeFillShade="D9"/>
            <w:noWrap/>
            <w:vAlign w:val="center"/>
            <w:hideMark/>
          </w:tcPr>
          <w:p w14:paraId="5CB9282D" w14:textId="244469CB"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96.2%</w:t>
            </w:r>
          </w:p>
        </w:tc>
        <w:tc>
          <w:tcPr>
            <w:tcW w:w="1345" w:type="dxa"/>
            <w:tcBorders>
              <w:top w:val="nil"/>
              <w:left w:val="nil"/>
              <w:bottom w:val="single" w:sz="4" w:space="0" w:color="auto"/>
              <w:right w:val="nil"/>
            </w:tcBorders>
            <w:shd w:val="clear" w:color="auto" w:fill="D9D9D9" w:themeFill="background1" w:themeFillShade="D9"/>
            <w:noWrap/>
            <w:vAlign w:val="center"/>
            <w:hideMark/>
          </w:tcPr>
          <w:p w14:paraId="46472D26" w14:textId="1E3EB5D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79</w:t>
            </w:r>
          </w:p>
        </w:tc>
        <w:tc>
          <w:tcPr>
            <w:tcW w:w="815" w:type="dxa"/>
            <w:tcBorders>
              <w:top w:val="nil"/>
              <w:left w:val="nil"/>
              <w:bottom w:val="single" w:sz="4" w:space="0" w:color="auto"/>
              <w:right w:val="single" w:sz="8" w:space="0" w:color="auto"/>
            </w:tcBorders>
            <w:shd w:val="clear" w:color="auto" w:fill="D9D9D9" w:themeFill="background1" w:themeFillShade="D9"/>
            <w:noWrap/>
            <w:vAlign w:val="center"/>
            <w:hideMark/>
          </w:tcPr>
          <w:p w14:paraId="339BECBD" w14:textId="75FEE4CA"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87.3%</w:t>
            </w:r>
          </w:p>
        </w:tc>
      </w:tr>
      <w:tr w:rsidR="00B80094" w:rsidRPr="007D7D04" w14:paraId="2206A502"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48D88F9E" w14:textId="49A084F9"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For persons living in Supported Living Arrangements the Support Plan clearly delineates the goals, roles, and responsibilities of each service provider.</w:t>
            </w:r>
          </w:p>
        </w:tc>
        <w:tc>
          <w:tcPr>
            <w:tcW w:w="1350" w:type="dxa"/>
            <w:tcBorders>
              <w:top w:val="nil"/>
              <w:left w:val="double" w:sz="6" w:space="0" w:color="auto"/>
              <w:bottom w:val="single" w:sz="4" w:space="0" w:color="auto"/>
              <w:right w:val="nil"/>
            </w:tcBorders>
            <w:shd w:val="clear" w:color="auto" w:fill="auto"/>
            <w:noWrap/>
            <w:vAlign w:val="center"/>
            <w:hideMark/>
          </w:tcPr>
          <w:p w14:paraId="370A70CC" w14:textId="66C91F7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51</w:t>
            </w:r>
          </w:p>
        </w:tc>
        <w:tc>
          <w:tcPr>
            <w:tcW w:w="815" w:type="dxa"/>
            <w:tcBorders>
              <w:top w:val="nil"/>
              <w:left w:val="nil"/>
              <w:bottom w:val="single" w:sz="4" w:space="0" w:color="auto"/>
              <w:right w:val="double" w:sz="6" w:space="0" w:color="auto"/>
            </w:tcBorders>
            <w:shd w:val="clear" w:color="auto" w:fill="auto"/>
            <w:noWrap/>
            <w:vAlign w:val="center"/>
            <w:hideMark/>
          </w:tcPr>
          <w:p w14:paraId="26961821" w14:textId="332A89A8"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96.1%</w:t>
            </w:r>
          </w:p>
        </w:tc>
        <w:tc>
          <w:tcPr>
            <w:tcW w:w="1345" w:type="dxa"/>
            <w:tcBorders>
              <w:top w:val="nil"/>
              <w:left w:val="nil"/>
              <w:bottom w:val="single" w:sz="4" w:space="0" w:color="auto"/>
              <w:right w:val="nil"/>
            </w:tcBorders>
            <w:shd w:val="clear" w:color="auto" w:fill="auto"/>
            <w:noWrap/>
            <w:vAlign w:val="center"/>
            <w:hideMark/>
          </w:tcPr>
          <w:p w14:paraId="6728718B" w14:textId="54AAFC7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76</w:t>
            </w:r>
          </w:p>
        </w:tc>
        <w:tc>
          <w:tcPr>
            <w:tcW w:w="815" w:type="dxa"/>
            <w:tcBorders>
              <w:top w:val="nil"/>
              <w:left w:val="nil"/>
              <w:bottom w:val="single" w:sz="4" w:space="0" w:color="auto"/>
              <w:right w:val="single" w:sz="8" w:space="0" w:color="auto"/>
            </w:tcBorders>
            <w:shd w:val="clear" w:color="auto" w:fill="auto"/>
            <w:noWrap/>
            <w:vAlign w:val="center"/>
            <w:hideMark/>
          </w:tcPr>
          <w:p w14:paraId="1598CD3F" w14:textId="7806B5FA" w:rsidR="00B80094" w:rsidRPr="00B80094" w:rsidRDefault="00590E33" w:rsidP="00B80094">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00B80094" w:rsidRPr="00B80094">
              <w:rPr>
                <w:rFonts w:asciiTheme="minorHAnsi" w:hAnsiTheme="minorHAnsi"/>
                <w:sz w:val="20"/>
                <w:szCs w:val="20"/>
              </w:rPr>
              <w:t>%</w:t>
            </w:r>
          </w:p>
        </w:tc>
      </w:tr>
      <w:tr w:rsidR="00B80094" w:rsidRPr="007D7D04" w14:paraId="4935D649"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73F4FD43" w14:textId="3C67CB81"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efforts to support the person to make informed decisions when choosing waiver services &amp; supports on an ongoing basis.</w:t>
            </w:r>
          </w:p>
        </w:tc>
        <w:tc>
          <w:tcPr>
            <w:tcW w:w="1350" w:type="dxa"/>
            <w:tcBorders>
              <w:top w:val="nil"/>
              <w:left w:val="double" w:sz="6" w:space="0" w:color="auto"/>
              <w:bottom w:val="single" w:sz="4" w:space="0" w:color="auto"/>
              <w:right w:val="nil"/>
            </w:tcBorders>
            <w:shd w:val="clear" w:color="auto" w:fill="auto"/>
            <w:noWrap/>
            <w:vAlign w:val="center"/>
            <w:hideMark/>
          </w:tcPr>
          <w:p w14:paraId="18A4F4BE" w14:textId="3690410C"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0B4DEB2D" w14:textId="640322FF"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97.6%</w:t>
            </w:r>
          </w:p>
        </w:tc>
        <w:tc>
          <w:tcPr>
            <w:tcW w:w="1345" w:type="dxa"/>
            <w:tcBorders>
              <w:top w:val="nil"/>
              <w:left w:val="nil"/>
              <w:bottom w:val="single" w:sz="4" w:space="0" w:color="auto"/>
              <w:right w:val="nil"/>
            </w:tcBorders>
            <w:shd w:val="clear" w:color="auto" w:fill="auto"/>
            <w:noWrap/>
            <w:vAlign w:val="center"/>
            <w:hideMark/>
          </w:tcPr>
          <w:p w14:paraId="4743E222" w14:textId="62048E62"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598</w:t>
            </w:r>
          </w:p>
        </w:tc>
        <w:tc>
          <w:tcPr>
            <w:tcW w:w="815" w:type="dxa"/>
            <w:tcBorders>
              <w:top w:val="nil"/>
              <w:left w:val="nil"/>
              <w:bottom w:val="single" w:sz="4" w:space="0" w:color="auto"/>
              <w:right w:val="single" w:sz="8" w:space="0" w:color="auto"/>
            </w:tcBorders>
            <w:shd w:val="clear" w:color="auto" w:fill="auto"/>
            <w:noWrap/>
            <w:vAlign w:val="center"/>
            <w:hideMark/>
          </w:tcPr>
          <w:p w14:paraId="12470274" w14:textId="5F0E88F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96.7%</w:t>
            </w:r>
          </w:p>
        </w:tc>
      </w:tr>
      <w:tr w:rsidR="00B80094" w:rsidRPr="007D7D04" w14:paraId="1A117C80"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316A8690" w14:textId="3F5D6BD3"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lastRenderedPageBreak/>
              <w:t>The Support Coordinator documents efforts to support the person to make informed decisions when choosing among waiver service providers on an ongoing basis.</w:t>
            </w:r>
          </w:p>
        </w:tc>
        <w:tc>
          <w:tcPr>
            <w:tcW w:w="1350" w:type="dxa"/>
            <w:tcBorders>
              <w:top w:val="nil"/>
              <w:left w:val="double" w:sz="6" w:space="0" w:color="auto"/>
              <w:bottom w:val="single" w:sz="4" w:space="0" w:color="auto"/>
              <w:right w:val="nil"/>
            </w:tcBorders>
            <w:shd w:val="clear" w:color="auto" w:fill="auto"/>
            <w:noWrap/>
            <w:vAlign w:val="center"/>
            <w:hideMark/>
          </w:tcPr>
          <w:p w14:paraId="5EB90632" w14:textId="6F0932B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7B2F9BBB" w14:textId="4950485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96.8%</w:t>
            </w:r>
          </w:p>
        </w:tc>
        <w:tc>
          <w:tcPr>
            <w:tcW w:w="1345" w:type="dxa"/>
            <w:tcBorders>
              <w:top w:val="nil"/>
              <w:left w:val="nil"/>
              <w:bottom w:val="single" w:sz="4" w:space="0" w:color="auto"/>
              <w:right w:val="nil"/>
            </w:tcBorders>
            <w:shd w:val="clear" w:color="auto" w:fill="auto"/>
            <w:noWrap/>
            <w:vAlign w:val="center"/>
            <w:hideMark/>
          </w:tcPr>
          <w:p w14:paraId="6C764087" w14:textId="5161E6C1"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600</w:t>
            </w:r>
          </w:p>
        </w:tc>
        <w:tc>
          <w:tcPr>
            <w:tcW w:w="815" w:type="dxa"/>
            <w:tcBorders>
              <w:top w:val="nil"/>
              <w:left w:val="nil"/>
              <w:bottom w:val="single" w:sz="4" w:space="0" w:color="auto"/>
              <w:right w:val="single" w:sz="8" w:space="0" w:color="auto"/>
            </w:tcBorders>
            <w:shd w:val="clear" w:color="auto" w:fill="auto"/>
            <w:noWrap/>
            <w:vAlign w:val="center"/>
            <w:hideMark/>
          </w:tcPr>
          <w:p w14:paraId="0F9674F4" w14:textId="5A60164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96.7%</w:t>
            </w:r>
          </w:p>
        </w:tc>
      </w:tr>
      <w:tr w:rsidR="00B80094" w:rsidRPr="007D7D04" w14:paraId="21C0BD31"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2BE1F565" w14:textId="1E3373B2"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ongoing efforts to assist the person/legal representative to know about rights.</w:t>
            </w:r>
          </w:p>
        </w:tc>
        <w:tc>
          <w:tcPr>
            <w:tcW w:w="1350" w:type="dxa"/>
            <w:tcBorders>
              <w:top w:val="nil"/>
              <w:left w:val="double" w:sz="6" w:space="0" w:color="auto"/>
              <w:bottom w:val="single" w:sz="4" w:space="0" w:color="auto"/>
              <w:right w:val="nil"/>
            </w:tcBorders>
            <w:shd w:val="clear" w:color="auto" w:fill="auto"/>
            <w:noWrap/>
            <w:vAlign w:val="center"/>
            <w:hideMark/>
          </w:tcPr>
          <w:p w14:paraId="168FF4B1" w14:textId="28D088DF"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412</w:t>
            </w:r>
          </w:p>
        </w:tc>
        <w:tc>
          <w:tcPr>
            <w:tcW w:w="815" w:type="dxa"/>
            <w:tcBorders>
              <w:top w:val="nil"/>
              <w:left w:val="nil"/>
              <w:bottom w:val="single" w:sz="4" w:space="0" w:color="auto"/>
              <w:right w:val="double" w:sz="6" w:space="0" w:color="auto"/>
            </w:tcBorders>
            <w:shd w:val="clear" w:color="auto" w:fill="auto"/>
            <w:noWrap/>
            <w:vAlign w:val="center"/>
            <w:hideMark/>
          </w:tcPr>
          <w:p w14:paraId="2BAAEB57" w14:textId="37A6FF55"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93.9%</w:t>
            </w:r>
          </w:p>
        </w:tc>
        <w:tc>
          <w:tcPr>
            <w:tcW w:w="1345" w:type="dxa"/>
            <w:tcBorders>
              <w:top w:val="nil"/>
              <w:left w:val="nil"/>
              <w:bottom w:val="single" w:sz="4" w:space="0" w:color="auto"/>
              <w:right w:val="nil"/>
            </w:tcBorders>
            <w:shd w:val="clear" w:color="auto" w:fill="auto"/>
            <w:noWrap/>
            <w:vAlign w:val="center"/>
            <w:hideMark/>
          </w:tcPr>
          <w:p w14:paraId="5713358E" w14:textId="72DA4E39"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598</w:t>
            </w:r>
          </w:p>
        </w:tc>
        <w:tc>
          <w:tcPr>
            <w:tcW w:w="815" w:type="dxa"/>
            <w:tcBorders>
              <w:top w:val="nil"/>
              <w:left w:val="nil"/>
              <w:bottom w:val="single" w:sz="4" w:space="0" w:color="auto"/>
              <w:right w:val="single" w:sz="8" w:space="0" w:color="auto"/>
            </w:tcBorders>
            <w:shd w:val="clear" w:color="auto" w:fill="auto"/>
            <w:noWrap/>
            <w:vAlign w:val="center"/>
            <w:hideMark/>
          </w:tcPr>
          <w:p w14:paraId="16FA7755" w14:textId="553A668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95.3%</w:t>
            </w:r>
          </w:p>
        </w:tc>
      </w:tr>
      <w:tr w:rsidR="00B80094" w:rsidRPr="007D7D04" w14:paraId="7DBBA92B"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7A26B4F3" w14:textId="4F84E668"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ongoing efforts to ensure the person’s health and health care needs are addressed.</w:t>
            </w:r>
          </w:p>
        </w:tc>
        <w:tc>
          <w:tcPr>
            <w:tcW w:w="1350" w:type="dxa"/>
            <w:tcBorders>
              <w:top w:val="nil"/>
              <w:left w:val="double" w:sz="6" w:space="0" w:color="auto"/>
              <w:bottom w:val="single" w:sz="4" w:space="0" w:color="auto"/>
              <w:right w:val="nil"/>
            </w:tcBorders>
            <w:shd w:val="clear" w:color="auto" w:fill="auto"/>
            <w:noWrap/>
            <w:vAlign w:val="center"/>
            <w:hideMark/>
          </w:tcPr>
          <w:p w14:paraId="39F8B84D" w14:textId="4DF83E3E"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413</w:t>
            </w:r>
          </w:p>
        </w:tc>
        <w:tc>
          <w:tcPr>
            <w:tcW w:w="815" w:type="dxa"/>
            <w:tcBorders>
              <w:top w:val="nil"/>
              <w:left w:val="nil"/>
              <w:bottom w:val="single" w:sz="4" w:space="0" w:color="auto"/>
              <w:right w:val="double" w:sz="6" w:space="0" w:color="auto"/>
            </w:tcBorders>
            <w:shd w:val="clear" w:color="auto" w:fill="auto"/>
            <w:noWrap/>
            <w:vAlign w:val="center"/>
            <w:hideMark/>
          </w:tcPr>
          <w:p w14:paraId="15C33CB7" w14:textId="794AA55B"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98.8%</w:t>
            </w:r>
          </w:p>
        </w:tc>
        <w:tc>
          <w:tcPr>
            <w:tcW w:w="1345" w:type="dxa"/>
            <w:tcBorders>
              <w:top w:val="nil"/>
              <w:left w:val="nil"/>
              <w:bottom w:val="single" w:sz="4" w:space="0" w:color="auto"/>
              <w:right w:val="nil"/>
            </w:tcBorders>
            <w:shd w:val="clear" w:color="auto" w:fill="auto"/>
            <w:noWrap/>
            <w:vAlign w:val="center"/>
            <w:hideMark/>
          </w:tcPr>
          <w:p w14:paraId="7DFCEAAE" w14:textId="2FE397B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599</w:t>
            </w:r>
          </w:p>
        </w:tc>
        <w:tc>
          <w:tcPr>
            <w:tcW w:w="815" w:type="dxa"/>
            <w:tcBorders>
              <w:top w:val="nil"/>
              <w:left w:val="nil"/>
              <w:bottom w:val="single" w:sz="4" w:space="0" w:color="auto"/>
              <w:right w:val="single" w:sz="8" w:space="0" w:color="auto"/>
            </w:tcBorders>
            <w:shd w:val="clear" w:color="auto" w:fill="auto"/>
            <w:noWrap/>
            <w:vAlign w:val="center"/>
            <w:hideMark/>
          </w:tcPr>
          <w:p w14:paraId="6AC409DF" w14:textId="26EDB8AA"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98.5%</w:t>
            </w:r>
          </w:p>
        </w:tc>
      </w:tr>
      <w:tr w:rsidR="00B80094" w:rsidRPr="007D7D04" w14:paraId="21485F1A"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2355CBD0" w14:textId="5344D801"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ongoing efforts to ensure the person’s behavioral/emotional health needs are addressed.</w:t>
            </w:r>
          </w:p>
        </w:tc>
        <w:tc>
          <w:tcPr>
            <w:tcW w:w="1350" w:type="dxa"/>
            <w:tcBorders>
              <w:top w:val="nil"/>
              <w:left w:val="double" w:sz="6" w:space="0" w:color="auto"/>
              <w:bottom w:val="single" w:sz="4" w:space="0" w:color="auto"/>
              <w:right w:val="nil"/>
            </w:tcBorders>
            <w:shd w:val="clear" w:color="auto" w:fill="auto"/>
            <w:noWrap/>
            <w:vAlign w:val="center"/>
            <w:hideMark/>
          </w:tcPr>
          <w:p w14:paraId="2D78A156" w14:textId="7B5D6141"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312</w:t>
            </w:r>
          </w:p>
        </w:tc>
        <w:tc>
          <w:tcPr>
            <w:tcW w:w="815" w:type="dxa"/>
            <w:tcBorders>
              <w:top w:val="nil"/>
              <w:left w:val="nil"/>
              <w:bottom w:val="single" w:sz="4" w:space="0" w:color="auto"/>
              <w:right w:val="double" w:sz="6" w:space="0" w:color="auto"/>
            </w:tcBorders>
            <w:shd w:val="clear" w:color="auto" w:fill="auto"/>
            <w:noWrap/>
            <w:vAlign w:val="center"/>
            <w:hideMark/>
          </w:tcPr>
          <w:p w14:paraId="07D2319E" w14:textId="56F5E79B"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98.1%</w:t>
            </w:r>
          </w:p>
        </w:tc>
        <w:tc>
          <w:tcPr>
            <w:tcW w:w="1345" w:type="dxa"/>
            <w:tcBorders>
              <w:top w:val="nil"/>
              <w:left w:val="nil"/>
              <w:bottom w:val="single" w:sz="4" w:space="0" w:color="auto"/>
              <w:right w:val="nil"/>
            </w:tcBorders>
            <w:shd w:val="clear" w:color="auto" w:fill="auto"/>
            <w:noWrap/>
            <w:vAlign w:val="center"/>
            <w:hideMark/>
          </w:tcPr>
          <w:p w14:paraId="25C637EB" w14:textId="5AC7595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453</w:t>
            </w:r>
          </w:p>
        </w:tc>
        <w:tc>
          <w:tcPr>
            <w:tcW w:w="815" w:type="dxa"/>
            <w:tcBorders>
              <w:top w:val="nil"/>
              <w:left w:val="nil"/>
              <w:bottom w:val="single" w:sz="4" w:space="0" w:color="auto"/>
              <w:right w:val="single" w:sz="8" w:space="0" w:color="auto"/>
            </w:tcBorders>
            <w:shd w:val="clear" w:color="auto" w:fill="auto"/>
            <w:noWrap/>
            <w:vAlign w:val="center"/>
            <w:hideMark/>
          </w:tcPr>
          <w:p w14:paraId="405BEAB8" w14:textId="7D75B113"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97.4%</w:t>
            </w:r>
          </w:p>
        </w:tc>
      </w:tr>
      <w:tr w:rsidR="00B80094" w:rsidRPr="007D7D04" w14:paraId="3D2F3769"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70751C25" w14:textId="38F738B4"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ongoing efforts to ensure the person’s safety needs are addressed.</w:t>
            </w:r>
          </w:p>
        </w:tc>
        <w:tc>
          <w:tcPr>
            <w:tcW w:w="1350" w:type="dxa"/>
            <w:tcBorders>
              <w:top w:val="nil"/>
              <w:left w:val="double" w:sz="6" w:space="0" w:color="auto"/>
              <w:bottom w:val="single" w:sz="4" w:space="0" w:color="auto"/>
              <w:right w:val="nil"/>
            </w:tcBorders>
            <w:shd w:val="clear" w:color="auto" w:fill="auto"/>
            <w:noWrap/>
            <w:vAlign w:val="center"/>
            <w:hideMark/>
          </w:tcPr>
          <w:p w14:paraId="57C59E04" w14:textId="7F598B0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412</w:t>
            </w:r>
          </w:p>
        </w:tc>
        <w:tc>
          <w:tcPr>
            <w:tcW w:w="815" w:type="dxa"/>
            <w:tcBorders>
              <w:top w:val="nil"/>
              <w:left w:val="nil"/>
              <w:bottom w:val="single" w:sz="4" w:space="0" w:color="auto"/>
              <w:right w:val="double" w:sz="6" w:space="0" w:color="auto"/>
            </w:tcBorders>
            <w:shd w:val="clear" w:color="auto" w:fill="auto"/>
            <w:noWrap/>
            <w:vAlign w:val="center"/>
            <w:hideMark/>
          </w:tcPr>
          <w:p w14:paraId="534BF2EB" w14:textId="7E6CBED8"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98.8%</w:t>
            </w:r>
          </w:p>
        </w:tc>
        <w:tc>
          <w:tcPr>
            <w:tcW w:w="1345" w:type="dxa"/>
            <w:tcBorders>
              <w:top w:val="nil"/>
              <w:left w:val="nil"/>
              <w:bottom w:val="single" w:sz="4" w:space="0" w:color="auto"/>
              <w:right w:val="nil"/>
            </w:tcBorders>
            <w:shd w:val="clear" w:color="auto" w:fill="auto"/>
            <w:noWrap/>
            <w:vAlign w:val="center"/>
            <w:hideMark/>
          </w:tcPr>
          <w:p w14:paraId="23B2F7B1" w14:textId="276288B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600</w:t>
            </w:r>
          </w:p>
        </w:tc>
        <w:tc>
          <w:tcPr>
            <w:tcW w:w="815" w:type="dxa"/>
            <w:tcBorders>
              <w:top w:val="nil"/>
              <w:left w:val="nil"/>
              <w:bottom w:val="single" w:sz="4" w:space="0" w:color="auto"/>
              <w:right w:val="single" w:sz="8" w:space="0" w:color="auto"/>
            </w:tcBorders>
            <w:shd w:val="clear" w:color="auto" w:fill="auto"/>
            <w:noWrap/>
            <w:vAlign w:val="center"/>
            <w:hideMark/>
          </w:tcPr>
          <w:p w14:paraId="23D4FE5F" w14:textId="3F4B7DE7"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98.5%</w:t>
            </w:r>
          </w:p>
        </w:tc>
      </w:tr>
      <w:tr w:rsidR="00B80094" w:rsidRPr="007D7D04" w14:paraId="4C4820E3"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576D9A20" w14:textId="65052E20"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ongoing efforts to assist the person to define abuse, neglect, and exploitation including how the person would report any incidents.</w:t>
            </w:r>
          </w:p>
        </w:tc>
        <w:tc>
          <w:tcPr>
            <w:tcW w:w="1350" w:type="dxa"/>
            <w:tcBorders>
              <w:top w:val="nil"/>
              <w:left w:val="double" w:sz="6" w:space="0" w:color="auto"/>
              <w:bottom w:val="single" w:sz="4" w:space="0" w:color="auto"/>
              <w:right w:val="nil"/>
            </w:tcBorders>
            <w:shd w:val="clear" w:color="auto" w:fill="auto"/>
            <w:noWrap/>
            <w:vAlign w:val="center"/>
            <w:hideMark/>
          </w:tcPr>
          <w:p w14:paraId="22BE9571" w14:textId="38BB3E72"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411</w:t>
            </w:r>
          </w:p>
        </w:tc>
        <w:tc>
          <w:tcPr>
            <w:tcW w:w="815" w:type="dxa"/>
            <w:tcBorders>
              <w:top w:val="nil"/>
              <w:left w:val="nil"/>
              <w:bottom w:val="single" w:sz="4" w:space="0" w:color="auto"/>
              <w:right w:val="double" w:sz="6" w:space="0" w:color="auto"/>
            </w:tcBorders>
            <w:shd w:val="clear" w:color="auto" w:fill="auto"/>
            <w:noWrap/>
            <w:vAlign w:val="center"/>
            <w:hideMark/>
          </w:tcPr>
          <w:p w14:paraId="0477E566" w14:textId="023A634F"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85.6%</w:t>
            </w:r>
          </w:p>
        </w:tc>
        <w:tc>
          <w:tcPr>
            <w:tcW w:w="1345" w:type="dxa"/>
            <w:tcBorders>
              <w:top w:val="nil"/>
              <w:left w:val="nil"/>
              <w:bottom w:val="single" w:sz="4" w:space="0" w:color="auto"/>
              <w:right w:val="nil"/>
            </w:tcBorders>
            <w:shd w:val="clear" w:color="auto" w:fill="auto"/>
            <w:noWrap/>
            <w:vAlign w:val="center"/>
            <w:hideMark/>
          </w:tcPr>
          <w:p w14:paraId="06A82943" w14:textId="127698E9"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598</w:t>
            </w:r>
          </w:p>
        </w:tc>
        <w:tc>
          <w:tcPr>
            <w:tcW w:w="815" w:type="dxa"/>
            <w:tcBorders>
              <w:top w:val="nil"/>
              <w:left w:val="nil"/>
              <w:bottom w:val="single" w:sz="4" w:space="0" w:color="auto"/>
              <w:right w:val="single" w:sz="8" w:space="0" w:color="auto"/>
            </w:tcBorders>
            <w:shd w:val="clear" w:color="auto" w:fill="auto"/>
            <w:noWrap/>
            <w:vAlign w:val="center"/>
            <w:hideMark/>
          </w:tcPr>
          <w:p w14:paraId="7C43B372" w14:textId="35F3F76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86.6%</w:t>
            </w:r>
          </w:p>
        </w:tc>
      </w:tr>
      <w:tr w:rsidR="00B80094" w:rsidRPr="007D7D04" w14:paraId="5219665F"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hideMark/>
          </w:tcPr>
          <w:p w14:paraId="062283B4" w14:textId="08541025" w:rsidR="00B80094" w:rsidRPr="00BF4217" w:rsidRDefault="00B80094" w:rsidP="00B80094">
            <w:pPr>
              <w:spacing w:line="240" w:lineRule="auto"/>
              <w:rPr>
                <w:rFonts w:asciiTheme="minorHAnsi" w:eastAsia="Times New Roman" w:hAnsiTheme="minorHAnsi" w:cstheme="minorHAnsi"/>
                <w:sz w:val="20"/>
                <w:szCs w:val="20"/>
              </w:rPr>
            </w:pPr>
            <w:r w:rsidRPr="00BF4217">
              <w:rPr>
                <w:rFonts w:asciiTheme="minorHAnsi" w:hAnsiTheme="minorHAnsi" w:cstheme="minorHAnsi"/>
                <w:sz w:val="20"/>
                <w:szCs w:val="20"/>
              </w:rPr>
              <w:t>The Support Coordinator documents information about the person’s history regarding abuse, neglect, and/or exploitation on an ongoing basis to address identified needs.</w:t>
            </w:r>
          </w:p>
        </w:tc>
        <w:tc>
          <w:tcPr>
            <w:tcW w:w="1350" w:type="dxa"/>
            <w:tcBorders>
              <w:top w:val="nil"/>
              <w:left w:val="double" w:sz="6" w:space="0" w:color="auto"/>
              <w:bottom w:val="single" w:sz="4" w:space="0" w:color="auto"/>
              <w:right w:val="nil"/>
            </w:tcBorders>
            <w:shd w:val="clear" w:color="auto" w:fill="auto"/>
            <w:noWrap/>
            <w:vAlign w:val="center"/>
            <w:hideMark/>
          </w:tcPr>
          <w:p w14:paraId="75233EB2" w14:textId="6CC1D83F"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297</w:t>
            </w:r>
          </w:p>
        </w:tc>
        <w:tc>
          <w:tcPr>
            <w:tcW w:w="815" w:type="dxa"/>
            <w:tcBorders>
              <w:top w:val="nil"/>
              <w:left w:val="nil"/>
              <w:bottom w:val="single" w:sz="4" w:space="0" w:color="auto"/>
              <w:right w:val="double" w:sz="6" w:space="0" w:color="auto"/>
            </w:tcBorders>
            <w:shd w:val="clear" w:color="auto" w:fill="auto"/>
            <w:noWrap/>
            <w:vAlign w:val="center"/>
            <w:hideMark/>
          </w:tcPr>
          <w:p w14:paraId="6429163E" w14:textId="50A77EAA"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94.3%</w:t>
            </w:r>
          </w:p>
        </w:tc>
        <w:tc>
          <w:tcPr>
            <w:tcW w:w="1345" w:type="dxa"/>
            <w:tcBorders>
              <w:top w:val="nil"/>
              <w:left w:val="nil"/>
              <w:bottom w:val="single" w:sz="4" w:space="0" w:color="auto"/>
              <w:right w:val="nil"/>
            </w:tcBorders>
            <w:shd w:val="clear" w:color="auto" w:fill="auto"/>
            <w:noWrap/>
            <w:vAlign w:val="center"/>
            <w:hideMark/>
          </w:tcPr>
          <w:p w14:paraId="174731CD" w14:textId="00BA255D"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386</w:t>
            </w:r>
          </w:p>
        </w:tc>
        <w:tc>
          <w:tcPr>
            <w:tcW w:w="815" w:type="dxa"/>
            <w:tcBorders>
              <w:top w:val="nil"/>
              <w:left w:val="nil"/>
              <w:bottom w:val="single" w:sz="4" w:space="0" w:color="auto"/>
              <w:right w:val="single" w:sz="8" w:space="0" w:color="auto"/>
            </w:tcBorders>
            <w:shd w:val="clear" w:color="auto" w:fill="auto"/>
            <w:noWrap/>
            <w:vAlign w:val="center"/>
            <w:hideMark/>
          </w:tcPr>
          <w:p w14:paraId="214E40D1" w14:textId="0111812E"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95.1%</w:t>
            </w:r>
          </w:p>
        </w:tc>
      </w:tr>
      <w:tr w:rsidR="00B80094" w:rsidRPr="007D7D04" w14:paraId="0F97F5AA" w14:textId="77777777" w:rsidTr="00B80094">
        <w:trPr>
          <w:trHeight w:val="510"/>
          <w:jc w:val="center"/>
        </w:trPr>
        <w:tc>
          <w:tcPr>
            <w:tcW w:w="5400" w:type="dxa"/>
            <w:tcBorders>
              <w:top w:val="nil"/>
              <w:left w:val="single" w:sz="8" w:space="0" w:color="auto"/>
              <w:bottom w:val="single" w:sz="4" w:space="0" w:color="auto"/>
              <w:right w:val="nil"/>
            </w:tcBorders>
            <w:shd w:val="clear" w:color="auto" w:fill="auto"/>
            <w:vAlign w:val="center"/>
          </w:tcPr>
          <w:p w14:paraId="5FCE7D63" w14:textId="0BAF7602" w:rsidR="00B80094" w:rsidRPr="00BF4217" w:rsidRDefault="00B80094" w:rsidP="00B80094">
            <w:pPr>
              <w:spacing w:line="240" w:lineRule="auto"/>
              <w:rPr>
                <w:rFonts w:asciiTheme="minorHAnsi" w:hAnsiTheme="minorHAnsi" w:cstheme="minorHAnsi"/>
                <w:sz w:val="20"/>
                <w:szCs w:val="20"/>
              </w:rPr>
            </w:pPr>
            <w:r w:rsidRPr="00BF4217">
              <w:rPr>
                <w:rFonts w:asciiTheme="minorHAnsi" w:hAnsiTheme="minorHAnsi" w:cstheme="minorHAnsi"/>
                <w:sz w:val="20"/>
                <w:szCs w:val="20"/>
              </w:rPr>
              <w:t>Level of care is reevaluated at least every 365 days and contains all required components for billing.</w:t>
            </w:r>
          </w:p>
        </w:tc>
        <w:tc>
          <w:tcPr>
            <w:tcW w:w="1350" w:type="dxa"/>
            <w:tcBorders>
              <w:top w:val="nil"/>
              <w:left w:val="double" w:sz="6" w:space="0" w:color="auto"/>
              <w:bottom w:val="single" w:sz="4" w:space="0" w:color="auto"/>
              <w:right w:val="nil"/>
            </w:tcBorders>
            <w:shd w:val="clear" w:color="auto" w:fill="auto"/>
            <w:noWrap/>
            <w:vAlign w:val="center"/>
          </w:tcPr>
          <w:p w14:paraId="0FAD2372" w14:textId="6AF3964A" w:rsidR="00B80094" w:rsidRPr="000A4618" w:rsidRDefault="00B80094" w:rsidP="00B80094">
            <w:pPr>
              <w:spacing w:line="240" w:lineRule="auto"/>
              <w:jc w:val="center"/>
              <w:rPr>
                <w:rFonts w:asciiTheme="minorHAnsi" w:hAnsiTheme="minorHAnsi" w:cstheme="minorHAnsi"/>
                <w:sz w:val="20"/>
                <w:szCs w:val="20"/>
              </w:rPr>
            </w:pPr>
            <w:r w:rsidRPr="000A4618">
              <w:rPr>
                <w:rFonts w:asciiTheme="minorHAnsi" w:hAnsiTheme="minorHAnsi" w:cstheme="minorHAnsi"/>
                <w:sz w:val="20"/>
                <w:szCs w:val="20"/>
              </w:rPr>
              <w:t>412</w:t>
            </w:r>
          </w:p>
        </w:tc>
        <w:tc>
          <w:tcPr>
            <w:tcW w:w="815" w:type="dxa"/>
            <w:tcBorders>
              <w:top w:val="nil"/>
              <w:left w:val="nil"/>
              <w:bottom w:val="single" w:sz="4" w:space="0" w:color="auto"/>
              <w:right w:val="double" w:sz="6" w:space="0" w:color="auto"/>
            </w:tcBorders>
            <w:shd w:val="clear" w:color="auto" w:fill="auto"/>
            <w:noWrap/>
            <w:vAlign w:val="center"/>
          </w:tcPr>
          <w:p w14:paraId="00359626" w14:textId="44B33313" w:rsidR="00B80094" w:rsidRPr="000A4618" w:rsidRDefault="00B80094" w:rsidP="00B80094">
            <w:pPr>
              <w:spacing w:line="240" w:lineRule="auto"/>
              <w:jc w:val="center"/>
              <w:rPr>
                <w:rFonts w:asciiTheme="minorHAnsi" w:eastAsia="Times New Roman" w:hAnsiTheme="minorHAnsi" w:cstheme="minorHAnsi"/>
                <w:sz w:val="20"/>
                <w:szCs w:val="20"/>
              </w:rPr>
            </w:pPr>
            <w:r w:rsidRPr="000A4618">
              <w:rPr>
                <w:rFonts w:asciiTheme="minorHAnsi" w:hAnsiTheme="minorHAnsi" w:cstheme="minorHAnsi"/>
                <w:sz w:val="20"/>
                <w:szCs w:val="20"/>
              </w:rPr>
              <w:t>96.8%</w:t>
            </w:r>
          </w:p>
        </w:tc>
        <w:tc>
          <w:tcPr>
            <w:tcW w:w="1345" w:type="dxa"/>
            <w:tcBorders>
              <w:top w:val="nil"/>
              <w:left w:val="nil"/>
              <w:bottom w:val="single" w:sz="4" w:space="0" w:color="auto"/>
              <w:right w:val="nil"/>
            </w:tcBorders>
            <w:shd w:val="clear" w:color="auto" w:fill="auto"/>
            <w:noWrap/>
            <w:vAlign w:val="center"/>
          </w:tcPr>
          <w:p w14:paraId="22CDD918" w14:textId="0051B855"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602</w:t>
            </w:r>
          </w:p>
        </w:tc>
        <w:tc>
          <w:tcPr>
            <w:tcW w:w="815" w:type="dxa"/>
            <w:tcBorders>
              <w:top w:val="nil"/>
              <w:left w:val="nil"/>
              <w:bottom w:val="single" w:sz="4" w:space="0" w:color="auto"/>
              <w:right w:val="single" w:sz="8" w:space="0" w:color="auto"/>
            </w:tcBorders>
            <w:shd w:val="clear" w:color="auto" w:fill="auto"/>
            <w:noWrap/>
            <w:vAlign w:val="center"/>
          </w:tcPr>
          <w:p w14:paraId="4E0E246B" w14:textId="5D896F6B" w:rsidR="00B80094" w:rsidRPr="00B80094" w:rsidRDefault="00B80094" w:rsidP="00B80094">
            <w:pPr>
              <w:spacing w:line="240" w:lineRule="auto"/>
              <w:jc w:val="center"/>
              <w:rPr>
                <w:rFonts w:asciiTheme="minorHAnsi" w:eastAsia="Times New Roman" w:hAnsiTheme="minorHAnsi" w:cstheme="minorHAnsi"/>
                <w:sz w:val="20"/>
                <w:szCs w:val="20"/>
              </w:rPr>
            </w:pPr>
            <w:r w:rsidRPr="00B80094">
              <w:rPr>
                <w:rFonts w:asciiTheme="minorHAnsi" w:hAnsiTheme="minorHAnsi"/>
                <w:sz w:val="20"/>
                <w:szCs w:val="20"/>
              </w:rPr>
              <w:t>95.5%</w:t>
            </w:r>
          </w:p>
        </w:tc>
      </w:tr>
      <w:tr w:rsidR="007D7D04" w:rsidRPr="007D7D04" w14:paraId="71088E15" w14:textId="77777777" w:rsidTr="00B80094">
        <w:trPr>
          <w:trHeight w:val="315"/>
          <w:jc w:val="center"/>
        </w:trPr>
        <w:tc>
          <w:tcPr>
            <w:tcW w:w="5400" w:type="dxa"/>
            <w:tcBorders>
              <w:top w:val="nil"/>
              <w:left w:val="single" w:sz="8" w:space="0" w:color="auto"/>
              <w:bottom w:val="single" w:sz="8" w:space="0" w:color="auto"/>
              <w:right w:val="nil"/>
            </w:tcBorders>
            <w:shd w:val="clear" w:color="000000" w:fill="D8E4BC"/>
            <w:noWrap/>
            <w:vAlign w:val="center"/>
            <w:hideMark/>
          </w:tcPr>
          <w:p w14:paraId="17DEDE06" w14:textId="77777777" w:rsidR="007D7D04" w:rsidRPr="007D7D04" w:rsidRDefault="007D7D04" w:rsidP="007D7D04">
            <w:pPr>
              <w:spacing w:line="240" w:lineRule="auto"/>
              <w:rPr>
                <w:rFonts w:ascii="Calibri" w:eastAsia="Times New Roman" w:hAnsi="Calibri" w:cs="Calibri"/>
                <w:b/>
                <w:bCs/>
                <w:color w:val="000000"/>
                <w:sz w:val="22"/>
              </w:rPr>
            </w:pPr>
            <w:r w:rsidRPr="007D7D04">
              <w:rPr>
                <w:rFonts w:ascii="Calibri" w:eastAsia="Times New Roman" w:hAnsi="Calibri" w:cs="Calibri"/>
                <w:b/>
                <w:bCs/>
                <w:color w:val="000000"/>
                <w:sz w:val="22"/>
              </w:rPr>
              <w:t>Average WSC Record Review Score</w:t>
            </w:r>
          </w:p>
        </w:tc>
        <w:tc>
          <w:tcPr>
            <w:tcW w:w="1350" w:type="dxa"/>
            <w:tcBorders>
              <w:top w:val="nil"/>
              <w:left w:val="double" w:sz="6" w:space="0" w:color="auto"/>
              <w:bottom w:val="single" w:sz="8" w:space="0" w:color="auto"/>
              <w:right w:val="nil"/>
            </w:tcBorders>
            <w:shd w:val="clear" w:color="000000" w:fill="D8E4BC"/>
            <w:noWrap/>
            <w:vAlign w:val="center"/>
            <w:hideMark/>
          </w:tcPr>
          <w:p w14:paraId="5BF8493F" w14:textId="06A98FF8" w:rsidR="007D7D04" w:rsidRPr="007D7D04" w:rsidRDefault="000A4618" w:rsidP="007D7D04">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10,699</w:t>
            </w:r>
          </w:p>
        </w:tc>
        <w:tc>
          <w:tcPr>
            <w:tcW w:w="815" w:type="dxa"/>
            <w:tcBorders>
              <w:top w:val="nil"/>
              <w:left w:val="nil"/>
              <w:bottom w:val="single" w:sz="8" w:space="0" w:color="auto"/>
              <w:right w:val="double" w:sz="6" w:space="0" w:color="auto"/>
            </w:tcBorders>
            <w:shd w:val="clear" w:color="000000" w:fill="D8E4BC"/>
            <w:noWrap/>
            <w:vAlign w:val="center"/>
            <w:hideMark/>
          </w:tcPr>
          <w:p w14:paraId="5F1ED126" w14:textId="72B385AD" w:rsidR="007D7D04" w:rsidRPr="007D7D04" w:rsidRDefault="000A4618" w:rsidP="007D7D04">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96.2</w:t>
            </w:r>
            <w:r w:rsidR="007D7D04" w:rsidRPr="007D7D04">
              <w:rPr>
                <w:rFonts w:ascii="Calibri" w:eastAsia="Times New Roman" w:hAnsi="Calibri" w:cs="Calibri"/>
                <w:b/>
                <w:bCs/>
                <w:color w:val="000000"/>
                <w:sz w:val="20"/>
                <w:szCs w:val="20"/>
              </w:rPr>
              <w:t>%</w:t>
            </w:r>
          </w:p>
        </w:tc>
        <w:tc>
          <w:tcPr>
            <w:tcW w:w="1345" w:type="dxa"/>
            <w:tcBorders>
              <w:top w:val="nil"/>
              <w:left w:val="nil"/>
              <w:bottom w:val="single" w:sz="8" w:space="0" w:color="auto"/>
              <w:right w:val="nil"/>
            </w:tcBorders>
            <w:shd w:val="clear" w:color="000000" w:fill="D8E4BC"/>
            <w:noWrap/>
            <w:vAlign w:val="center"/>
            <w:hideMark/>
          </w:tcPr>
          <w:p w14:paraId="3C4A81C9" w14:textId="0C26ACD6" w:rsidR="007D7D04" w:rsidRPr="007D7D04" w:rsidRDefault="00B80094" w:rsidP="00B80094">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15</w:t>
            </w:r>
            <w:r w:rsidR="000A4618">
              <w:rPr>
                <w:rFonts w:ascii="Calibri" w:eastAsia="Times New Roman" w:hAnsi="Calibri" w:cs="Calibri"/>
                <w:b/>
                <w:bCs/>
                <w:color w:val="000000"/>
                <w:sz w:val="20"/>
                <w:szCs w:val="20"/>
              </w:rPr>
              <w:t>,</w:t>
            </w:r>
            <w:r>
              <w:rPr>
                <w:rFonts w:ascii="Calibri" w:eastAsia="Times New Roman" w:hAnsi="Calibri" w:cs="Calibri"/>
                <w:b/>
                <w:bCs/>
                <w:color w:val="000000"/>
                <w:sz w:val="20"/>
                <w:szCs w:val="20"/>
              </w:rPr>
              <w:t>536</w:t>
            </w:r>
          </w:p>
        </w:tc>
        <w:tc>
          <w:tcPr>
            <w:tcW w:w="815" w:type="dxa"/>
            <w:tcBorders>
              <w:top w:val="nil"/>
              <w:left w:val="nil"/>
              <w:bottom w:val="single" w:sz="8" w:space="0" w:color="auto"/>
              <w:right w:val="single" w:sz="8" w:space="0" w:color="auto"/>
            </w:tcBorders>
            <w:shd w:val="clear" w:color="000000" w:fill="D8E4BC"/>
            <w:noWrap/>
            <w:vAlign w:val="center"/>
            <w:hideMark/>
          </w:tcPr>
          <w:p w14:paraId="1161D3D7" w14:textId="5B108574" w:rsidR="007D7D04" w:rsidRPr="00165756" w:rsidRDefault="007D7D04" w:rsidP="00B80094">
            <w:pPr>
              <w:spacing w:line="240" w:lineRule="auto"/>
              <w:jc w:val="center"/>
              <w:rPr>
                <w:rFonts w:ascii="Calibri" w:eastAsia="Times New Roman" w:hAnsi="Calibri" w:cs="Calibri"/>
                <w:b/>
                <w:color w:val="000000"/>
                <w:sz w:val="20"/>
                <w:szCs w:val="20"/>
              </w:rPr>
            </w:pPr>
            <w:r w:rsidRPr="00165756">
              <w:rPr>
                <w:rFonts w:ascii="Calibri" w:eastAsia="Times New Roman" w:hAnsi="Calibri" w:cs="Calibri"/>
                <w:b/>
                <w:color w:val="000000"/>
                <w:sz w:val="20"/>
                <w:szCs w:val="20"/>
              </w:rPr>
              <w:t>9</w:t>
            </w:r>
            <w:r w:rsidR="00B80094">
              <w:rPr>
                <w:rFonts w:ascii="Calibri" w:eastAsia="Times New Roman" w:hAnsi="Calibri" w:cs="Calibri"/>
                <w:b/>
                <w:color w:val="000000"/>
                <w:sz w:val="20"/>
                <w:szCs w:val="20"/>
              </w:rPr>
              <w:t>5</w:t>
            </w:r>
            <w:r w:rsidRPr="00165756">
              <w:rPr>
                <w:rFonts w:ascii="Calibri" w:eastAsia="Times New Roman" w:hAnsi="Calibri" w:cs="Calibri"/>
                <w:b/>
                <w:color w:val="000000"/>
                <w:sz w:val="20"/>
                <w:szCs w:val="20"/>
              </w:rPr>
              <w:t>.</w:t>
            </w:r>
            <w:r w:rsidR="00B80094">
              <w:rPr>
                <w:rFonts w:ascii="Calibri" w:eastAsia="Times New Roman" w:hAnsi="Calibri" w:cs="Calibri"/>
                <w:b/>
                <w:color w:val="000000"/>
                <w:sz w:val="20"/>
                <w:szCs w:val="20"/>
              </w:rPr>
              <w:t>3</w:t>
            </w:r>
            <w:r w:rsidRPr="00165756">
              <w:rPr>
                <w:rFonts w:ascii="Calibri" w:eastAsia="Times New Roman" w:hAnsi="Calibri" w:cs="Calibri"/>
                <w:b/>
                <w:color w:val="000000"/>
                <w:sz w:val="20"/>
                <w:szCs w:val="20"/>
              </w:rPr>
              <w:t>%</w:t>
            </w:r>
          </w:p>
        </w:tc>
      </w:tr>
    </w:tbl>
    <w:p w14:paraId="24FDA0BD" w14:textId="77777777" w:rsidR="00956AE3" w:rsidRDefault="00956AE3" w:rsidP="00956AE3">
      <w:pPr>
        <w:spacing w:line="240" w:lineRule="auto"/>
        <w:jc w:val="center"/>
        <w:rPr>
          <w:rFonts w:ascii="Franklin Gothic Medium" w:hAnsi="Franklin Gothic Medium"/>
        </w:rPr>
      </w:pPr>
    </w:p>
    <w:p w14:paraId="1C7E726D" w14:textId="77777777" w:rsidR="00E83435" w:rsidRDefault="00E83435" w:rsidP="00956AE3">
      <w:pPr>
        <w:spacing w:line="240" w:lineRule="auto"/>
        <w:jc w:val="center"/>
        <w:rPr>
          <w:rFonts w:ascii="Franklin Gothic Medium" w:hAnsi="Franklin Gothic Medium"/>
        </w:rPr>
      </w:pPr>
    </w:p>
    <w:tbl>
      <w:tblPr>
        <w:tblW w:w="9827" w:type="dxa"/>
        <w:jc w:val="center"/>
        <w:tblLook w:val="04A0" w:firstRow="1" w:lastRow="0" w:firstColumn="1" w:lastColumn="0" w:noHBand="0" w:noVBand="1"/>
      </w:tblPr>
      <w:tblGrid>
        <w:gridCol w:w="5344"/>
        <w:gridCol w:w="1367"/>
        <w:gridCol w:w="916"/>
        <w:gridCol w:w="1325"/>
        <w:gridCol w:w="875"/>
      </w:tblGrid>
      <w:tr w:rsidR="00601D71" w:rsidRPr="00601D71" w14:paraId="76DD29B2" w14:textId="77777777" w:rsidTr="00B72680">
        <w:trPr>
          <w:trHeight w:val="315"/>
          <w:tblHeader/>
          <w:jc w:val="center"/>
        </w:trPr>
        <w:tc>
          <w:tcPr>
            <w:tcW w:w="9827" w:type="dxa"/>
            <w:gridSpan w:val="5"/>
            <w:tcBorders>
              <w:top w:val="single" w:sz="8" w:space="0" w:color="auto"/>
              <w:left w:val="single" w:sz="8" w:space="0" w:color="auto"/>
              <w:bottom w:val="single" w:sz="4" w:space="0" w:color="auto"/>
              <w:right w:val="single" w:sz="8" w:space="0" w:color="000000"/>
            </w:tcBorders>
            <w:shd w:val="clear" w:color="000000" w:fill="1F4E79"/>
            <w:noWrap/>
            <w:vAlign w:val="center"/>
            <w:hideMark/>
          </w:tcPr>
          <w:p w14:paraId="6FFA7811" w14:textId="4691A18B" w:rsidR="00601D71" w:rsidRPr="00601D71" w:rsidRDefault="00601D71" w:rsidP="00B80094">
            <w:pPr>
              <w:spacing w:line="240" w:lineRule="auto"/>
              <w:jc w:val="center"/>
              <w:rPr>
                <w:rFonts w:ascii="Franklin Gothic Medium" w:eastAsia="Times New Roman" w:hAnsi="Franklin Gothic Medium" w:cs="Calibri"/>
                <w:color w:val="FFFFFF"/>
                <w:sz w:val="22"/>
              </w:rPr>
            </w:pPr>
            <w:bookmarkStart w:id="37" w:name="_Toc369864690"/>
            <w:r w:rsidRPr="00601D71">
              <w:rPr>
                <w:rFonts w:ascii="Franklin Gothic Medium" w:eastAsia="Times New Roman" w:hAnsi="Franklin Gothic Medium" w:cs="Calibri"/>
                <w:color w:val="FFFFFF"/>
                <w:sz w:val="22"/>
              </w:rPr>
              <w:t xml:space="preserve">Table </w:t>
            </w:r>
            <w:r w:rsidR="003A3006">
              <w:rPr>
                <w:rFonts w:ascii="Franklin Gothic Medium" w:eastAsia="Times New Roman" w:hAnsi="Franklin Gothic Medium" w:cs="Calibri"/>
                <w:color w:val="FFFFFF"/>
                <w:sz w:val="22"/>
              </w:rPr>
              <w:t>8</w:t>
            </w:r>
            <w:r w:rsidRPr="00601D71">
              <w:rPr>
                <w:rFonts w:ascii="Franklin Gothic Medium" w:eastAsia="Times New Roman" w:hAnsi="Franklin Gothic Medium" w:cs="Calibri"/>
                <w:color w:val="FFFFFF"/>
                <w:sz w:val="22"/>
              </w:rPr>
              <w:t>.  CDC+ Consultant Record Review  Results by Standard</w:t>
            </w:r>
          </w:p>
        </w:tc>
      </w:tr>
      <w:tr w:rsidR="00601D71" w:rsidRPr="00601D71" w14:paraId="449CCE62" w14:textId="77777777" w:rsidTr="00A77B6A">
        <w:trPr>
          <w:trHeight w:val="315"/>
          <w:tblHeader/>
          <w:jc w:val="center"/>
        </w:trPr>
        <w:tc>
          <w:tcPr>
            <w:tcW w:w="5344" w:type="dxa"/>
            <w:tcBorders>
              <w:top w:val="nil"/>
              <w:left w:val="single" w:sz="8" w:space="0" w:color="auto"/>
              <w:right w:val="nil"/>
            </w:tcBorders>
            <w:shd w:val="clear" w:color="auto" w:fill="FFE599" w:themeFill="accent4" w:themeFillTint="66"/>
            <w:noWrap/>
            <w:vAlign w:val="bottom"/>
            <w:hideMark/>
          </w:tcPr>
          <w:p w14:paraId="1D9585E1" w14:textId="77777777" w:rsidR="00601D71" w:rsidRPr="00601D71" w:rsidRDefault="00601D71" w:rsidP="00601D71">
            <w:pPr>
              <w:spacing w:line="240" w:lineRule="auto"/>
              <w:rPr>
                <w:rFonts w:ascii="Calibri" w:eastAsia="Times New Roman" w:hAnsi="Calibri" w:cs="Calibri"/>
                <w:sz w:val="22"/>
              </w:rPr>
            </w:pPr>
            <w:r w:rsidRPr="00601D71">
              <w:rPr>
                <w:rFonts w:ascii="Calibri" w:eastAsia="Times New Roman" w:hAnsi="Calibri" w:cs="Calibri"/>
                <w:sz w:val="22"/>
              </w:rPr>
              <w:t> </w:t>
            </w:r>
          </w:p>
        </w:tc>
        <w:tc>
          <w:tcPr>
            <w:tcW w:w="2283" w:type="dxa"/>
            <w:gridSpan w:val="2"/>
            <w:tcBorders>
              <w:top w:val="single" w:sz="4" w:space="0" w:color="auto"/>
              <w:left w:val="double" w:sz="6" w:space="0" w:color="auto"/>
              <w:right w:val="double" w:sz="6" w:space="0" w:color="000000"/>
            </w:tcBorders>
            <w:shd w:val="clear" w:color="auto" w:fill="FFE599" w:themeFill="accent4" w:themeFillTint="66"/>
            <w:noWrap/>
            <w:vAlign w:val="center"/>
            <w:hideMark/>
          </w:tcPr>
          <w:p w14:paraId="0C3DD817" w14:textId="1693CE75" w:rsidR="00601D71" w:rsidRPr="00601D71" w:rsidRDefault="00BF4217" w:rsidP="00601D71">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Y3Q4</w:t>
            </w:r>
          </w:p>
        </w:tc>
        <w:tc>
          <w:tcPr>
            <w:tcW w:w="2200" w:type="dxa"/>
            <w:gridSpan w:val="2"/>
            <w:tcBorders>
              <w:top w:val="single" w:sz="4" w:space="0" w:color="auto"/>
              <w:left w:val="nil"/>
              <w:right w:val="single" w:sz="8" w:space="0" w:color="000000"/>
            </w:tcBorders>
            <w:shd w:val="clear" w:color="auto" w:fill="FFE599" w:themeFill="accent4" w:themeFillTint="66"/>
            <w:noWrap/>
            <w:vAlign w:val="center"/>
            <w:hideMark/>
          </w:tcPr>
          <w:p w14:paraId="3B97AB8B" w14:textId="33814883" w:rsidR="00601D71" w:rsidRPr="00601D71" w:rsidRDefault="007E2B26" w:rsidP="007E2B26">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Y4</w:t>
            </w:r>
            <w:r w:rsidR="00601D71" w:rsidRPr="00601D71">
              <w:rPr>
                <w:rFonts w:ascii="Franklin Gothic Medium" w:eastAsia="Times New Roman" w:hAnsi="Franklin Gothic Medium" w:cs="Calibri"/>
                <w:sz w:val="22"/>
              </w:rPr>
              <w:t>Q</w:t>
            </w:r>
            <w:r>
              <w:rPr>
                <w:rFonts w:ascii="Franklin Gothic Medium" w:eastAsia="Times New Roman" w:hAnsi="Franklin Gothic Medium" w:cs="Calibri"/>
                <w:sz w:val="22"/>
              </w:rPr>
              <w:t>1</w:t>
            </w:r>
            <w:r w:rsidR="00B80094">
              <w:rPr>
                <w:rFonts w:ascii="Franklin Gothic Medium" w:eastAsia="Times New Roman" w:hAnsi="Franklin Gothic Medium" w:cs="Calibri"/>
                <w:sz w:val="22"/>
              </w:rPr>
              <w:t>-2</w:t>
            </w:r>
          </w:p>
        </w:tc>
      </w:tr>
      <w:tr w:rsidR="00601D71" w:rsidRPr="00601D71" w14:paraId="36C977CF" w14:textId="77777777" w:rsidTr="00A77B6A">
        <w:trPr>
          <w:trHeight w:val="315"/>
          <w:tblHeader/>
          <w:jc w:val="center"/>
        </w:trPr>
        <w:tc>
          <w:tcPr>
            <w:tcW w:w="5344" w:type="dxa"/>
            <w:tcBorders>
              <w:left w:val="single" w:sz="8" w:space="0" w:color="auto"/>
              <w:bottom w:val="single" w:sz="4" w:space="0" w:color="auto"/>
              <w:right w:val="double" w:sz="4" w:space="0" w:color="auto"/>
            </w:tcBorders>
            <w:shd w:val="clear" w:color="auto" w:fill="FFE599" w:themeFill="accent4" w:themeFillTint="66"/>
            <w:noWrap/>
            <w:vAlign w:val="bottom"/>
            <w:hideMark/>
          </w:tcPr>
          <w:p w14:paraId="4EA66C1A" w14:textId="4E0CA08B" w:rsidR="00601D71" w:rsidRPr="00601D71" w:rsidRDefault="00412626" w:rsidP="00601D71">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Indicator</w:t>
            </w:r>
            <w:r w:rsidR="00601D71" w:rsidRPr="00601D71">
              <w:rPr>
                <w:rFonts w:ascii="Franklin Gothic Medium" w:eastAsia="Times New Roman" w:hAnsi="Franklin Gothic Medium" w:cs="Calibri"/>
                <w:sz w:val="22"/>
              </w:rPr>
              <w:t> </w:t>
            </w:r>
          </w:p>
        </w:tc>
        <w:tc>
          <w:tcPr>
            <w:tcW w:w="1367" w:type="dxa"/>
            <w:tcBorders>
              <w:left w:val="double" w:sz="4" w:space="0" w:color="auto"/>
              <w:bottom w:val="single" w:sz="4" w:space="0" w:color="auto"/>
              <w:right w:val="nil"/>
            </w:tcBorders>
            <w:shd w:val="clear" w:color="auto" w:fill="FFE599" w:themeFill="accent4" w:themeFillTint="66"/>
            <w:noWrap/>
            <w:vAlign w:val="center"/>
            <w:hideMark/>
          </w:tcPr>
          <w:p w14:paraId="618E0DDD"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Number</w:t>
            </w:r>
          </w:p>
        </w:tc>
        <w:tc>
          <w:tcPr>
            <w:tcW w:w="916" w:type="dxa"/>
            <w:tcBorders>
              <w:left w:val="nil"/>
              <w:bottom w:val="single" w:sz="4" w:space="0" w:color="auto"/>
              <w:right w:val="double" w:sz="4" w:space="0" w:color="auto"/>
            </w:tcBorders>
            <w:shd w:val="clear" w:color="auto" w:fill="FFE599" w:themeFill="accent4" w:themeFillTint="66"/>
            <w:noWrap/>
            <w:vAlign w:val="center"/>
            <w:hideMark/>
          </w:tcPr>
          <w:p w14:paraId="21B6D11F"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 Met</w:t>
            </w:r>
          </w:p>
        </w:tc>
        <w:tc>
          <w:tcPr>
            <w:tcW w:w="1325" w:type="dxa"/>
            <w:tcBorders>
              <w:left w:val="double" w:sz="4" w:space="0" w:color="auto"/>
              <w:bottom w:val="single" w:sz="4" w:space="0" w:color="auto"/>
              <w:right w:val="nil"/>
            </w:tcBorders>
            <w:shd w:val="clear" w:color="auto" w:fill="FFE599" w:themeFill="accent4" w:themeFillTint="66"/>
            <w:noWrap/>
            <w:vAlign w:val="center"/>
            <w:hideMark/>
          </w:tcPr>
          <w:p w14:paraId="7D815312"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Number</w:t>
            </w:r>
          </w:p>
        </w:tc>
        <w:tc>
          <w:tcPr>
            <w:tcW w:w="875" w:type="dxa"/>
            <w:tcBorders>
              <w:left w:val="nil"/>
              <w:bottom w:val="single" w:sz="4" w:space="0" w:color="auto"/>
              <w:right w:val="single" w:sz="8" w:space="0" w:color="auto"/>
            </w:tcBorders>
            <w:shd w:val="clear" w:color="auto" w:fill="FFE599" w:themeFill="accent4" w:themeFillTint="66"/>
            <w:noWrap/>
            <w:vAlign w:val="center"/>
            <w:hideMark/>
          </w:tcPr>
          <w:p w14:paraId="655CDE4F"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 Met</w:t>
            </w:r>
          </w:p>
        </w:tc>
      </w:tr>
      <w:tr w:rsidR="00590E33" w:rsidRPr="00601D71" w14:paraId="017BE04E" w14:textId="77777777" w:rsidTr="00590E33">
        <w:trPr>
          <w:trHeight w:val="51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6A060462" w14:textId="1CA37DC8"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All applicable completed/signed Purchasing Plans are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3E308AF" w14:textId="0421B8BC"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7D0D653" w14:textId="29C91ED5"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1BB0332" w14:textId="3996C16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5E767538" w14:textId="395C234F"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289C8A5D" w14:textId="77777777" w:rsidTr="00590E33">
        <w:trPr>
          <w:trHeight w:val="51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858C696" w14:textId="4281225C"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All applicable completed/signed Quick Updates are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0C72F73" w14:textId="7543DA8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23</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47434A5" w14:textId="48AE7728"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79146246" w14:textId="2EC7ED34"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24</w:t>
            </w:r>
          </w:p>
        </w:tc>
        <w:tc>
          <w:tcPr>
            <w:tcW w:w="875" w:type="dxa"/>
            <w:tcBorders>
              <w:top w:val="nil"/>
              <w:left w:val="nil"/>
              <w:bottom w:val="single" w:sz="4" w:space="0" w:color="auto"/>
              <w:right w:val="single" w:sz="8" w:space="0" w:color="auto"/>
            </w:tcBorders>
            <w:shd w:val="clear" w:color="auto" w:fill="auto"/>
            <w:noWrap/>
            <w:vAlign w:val="center"/>
            <w:hideMark/>
          </w:tcPr>
          <w:p w14:paraId="1E0B0A72" w14:textId="630F8A99"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6071F962" w14:textId="77777777" w:rsidTr="00590E33">
        <w:trPr>
          <w:trHeight w:val="3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1874C830" w14:textId="524032D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Completed/signed CDC+ Consent Form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33087F8" w14:textId="4414CF93"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DD0738" w14:textId="66D99E29"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456AA5D1" w14:textId="2896B041"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27681ECA" w14:textId="4AD21939"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67024268" w14:textId="77777777" w:rsidTr="00590E33">
        <w:trPr>
          <w:trHeight w:val="26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F7901D1" w14:textId="00AFE016"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Completed/signed Corrective Action Plan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04760E7" w14:textId="6876677E"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D5D5DAD" w14:textId="1442988D"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41DF94EF" w14:textId="3AE91FB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3</w:t>
            </w:r>
          </w:p>
        </w:tc>
        <w:tc>
          <w:tcPr>
            <w:tcW w:w="875" w:type="dxa"/>
            <w:tcBorders>
              <w:top w:val="nil"/>
              <w:left w:val="nil"/>
              <w:bottom w:val="single" w:sz="4" w:space="0" w:color="auto"/>
              <w:right w:val="single" w:sz="8" w:space="0" w:color="auto"/>
            </w:tcBorders>
            <w:shd w:val="clear" w:color="auto" w:fill="auto"/>
            <w:noWrap/>
            <w:vAlign w:val="center"/>
            <w:hideMark/>
          </w:tcPr>
          <w:p w14:paraId="39615B8F" w14:textId="0FD805DF"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6A7777F5" w14:textId="77777777" w:rsidTr="00590E33">
        <w:trPr>
          <w:trHeight w:val="296"/>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CBA783B" w14:textId="543EF93F"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Completed/signed Participant-Consultant Agreement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8A35136" w14:textId="7626C768"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C6F8665" w14:textId="781A2D4C"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4D839B3F" w14:textId="754C4F72"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4CE78F76" w14:textId="16AD709D"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798978FA" w14:textId="77777777" w:rsidTr="00590E33">
        <w:trPr>
          <w:trHeight w:val="566"/>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441E6E5" w14:textId="2C7B491F"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Completed/signed Participant-Representative Agreement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F43A074" w14:textId="110475D0"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6F6400" w14:textId="43C85196"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C5C102C" w14:textId="4842B70D"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12E515FE" w14:textId="444EF7E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30495C7B" w14:textId="77777777" w:rsidTr="00590E33">
        <w:trPr>
          <w:trHeight w:val="71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29F30881" w14:textId="70873BAB"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Consultant documentation demonstrates a copy of the Support Plan is provided to the CDC+ Representative within 30 calendar days of the Support Plan effective date.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B9A161A" w14:textId="726BA999"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14ECA1A" w14:textId="40BDC89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6ABF53B" w14:textId="275E5B76"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71</w:t>
            </w:r>
          </w:p>
        </w:tc>
        <w:tc>
          <w:tcPr>
            <w:tcW w:w="875" w:type="dxa"/>
            <w:tcBorders>
              <w:top w:val="nil"/>
              <w:left w:val="nil"/>
              <w:bottom w:val="single" w:sz="4" w:space="0" w:color="auto"/>
              <w:right w:val="single" w:sz="8" w:space="0" w:color="auto"/>
            </w:tcBorders>
            <w:shd w:val="clear" w:color="auto" w:fill="auto"/>
            <w:noWrap/>
            <w:vAlign w:val="center"/>
            <w:hideMark/>
          </w:tcPr>
          <w:p w14:paraId="5DEB8B3C" w14:textId="41E54630"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60627A36" w14:textId="77777777" w:rsidTr="00590E33">
        <w:trPr>
          <w:trHeight w:val="764"/>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96DB2CE" w14:textId="681C863A"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Consultant documents a copy of the Support Plan is provided to the person or the legal representative, within 10 days of the Support Plan effective date.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0712D53" w14:textId="35C3F9FE"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0E4B49A" w14:textId="50CE7EC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0F13D8F" w14:textId="72EAC0FC"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41D3409C" w14:textId="2585980C"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6A1BD4FF" w14:textId="77777777" w:rsidTr="00590E33">
        <w:trPr>
          <w:trHeight w:val="42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3CF7513E" w14:textId="6F10CEF0"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Consultant has taken action to correct any overspending by the Participant.</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6F49960" w14:textId="35452CA2"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4</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0AD009F" w14:textId="4FA1AFBF"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27FD9A45" w14:textId="5001CA0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4</w:t>
            </w:r>
          </w:p>
        </w:tc>
        <w:tc>
          <w:tcPr>
            <w:tcW w:w="875" w:type="dxa"/>
            <w:tcBorders>
              <w:top w:val="nil"/>
              <w:left w:val="nil"/>
              <w:bottom w:val="single" w:sz="4" w:space="0" w:color="auto"/>
              <w:right w:val="single" w:sz="8" w:space="0" w:color="auto"/>
            </w:tcBorders>
            <w:shd w:val="clear" w:color="auto" w:fill="auto"/>
            <w:noWrap/>
            <w:vAlign w:val="center"/>
            <w:hideMark/>
          </w:tcPr>
          <w:p w14:paraId="47141FFC" w14:textId="6BB874EB"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11F94A70"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8C71B4B" w14:textId="0E83EAE7"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lastRenderedPageBreak/>
              <w:t>Consultant provides technical assistance to Participant as necessary to meet Participant's and Representative's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96EF23A" w14:textId="33B69DE5"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34</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04F56B6" w14:textId="177E1085"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97.1%</w:t>
            </w:r>
          </w:p>
        </w:tc>
        <w:tc>
          <w:tcPr>
            <w:tcW w:w="1325" w:type="dxa"/>
            <w:tcBorders>
              <w:top w:val="nil"/>
              <w:left w:val="double" w:sz="4" w:space="0" w:color="auto"/>
              <w:bottom w:val="single" w:sz="4" w:space="0" w:color="auto"/>
              <w:right w:val="nil"/>
            </w:tcBorders>
            <w:shd w:val="clear" w:color="auto" w:fill="auto"/>
            <w:noWrap/>
            <w:vAlign w:val="center"/>
            <w:hideMark/>
          </w:tcPr>
          <w:p w14:paraId="0EBE7470" w14:textId="733B993A"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68</w:t>
            </w:r>
          </w:p>
        </w:tc>
        <w:tc>
          <w:tcPr>
            <w:tcW w:w="875" w:type="dxa"/>
            <w:tcBorders>
              <w:top w:val="nil"/>
              <w:left w:val="nil"/>
              <w:bottom w:val="single" w:sz="4" w:space="0" w:color="auto"/>
              <w:right w:val="single" w:sz="8" w:space="0" w:color="auto"/>
            </w:tcBorders>
            <w:shd w:val="clear" w:color="auto" w:fill="auto"/>
            <w:noWrap/>
            <w:vAlign w:val="center"/>
            <w:hideMark/>
          </w:tcPr>
          <w:p w14:paraId="3B85AAE1" w14:textId="6F1F44C8"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3514DEDB" w14:textId="77777777" w:rsidTr="00590E33">
        <w:trPr>
          <w:trHeight w:val="3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23A97638" w14:textId="6358FC53"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If applicable, an approved Corrective Action Plan is being followed.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728F96B" w14:textId="0A83CC97"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9F544C1" w14:textId="42B33F0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15B7383" w14:textId="47C8A22A"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4</w:t>
            </w:r>
          </w:p>
        </w:tc>
        <w:tc>
          <w:tcPr>
            <w:tcW w:w="875" w:type="dxa"/>
            <w:tcBorders>
              <w:top w:val="nil"/>
              <w:left w:val="nil"/>
              <w:bottom w:val="single" w:sz="4" w:space="0" w:color="auto"/>
              <w:right w:val="single" w:sz="8" w:space="0" w:color="auto"/>
            </w:tcBorders>
            <w:shd w:val="clear" w:color="auto" w:fill="auto"/>
            <w:noWrap/>
            <w:vAlign w:val="center"/>
            <w:hideMark/>
          </w:tcPr>
          <w:p w14:paraId="7C6B226E" w14:textId="7D00233C"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075C7178" w14:textId="77777777" w:rsidTr="00590E33">
        <w:trPr>
          <w:trHeight w:val="341"/>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7CB64C00" w14:textId="6C58B4FA"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If applicable, Consultant initiates Corrective Action.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88E9109" w14:textId="7A55A957"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4</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5EFBFC" w14:textId="431E9E69"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75.0%</w:t>
            </w:r>
          </w:p>
        </w:tc>
        <w:tc>
          <w:tcPr>
            <w:tcW w:w="1325" w:type="dxa"/>
            <w:tcBorders>
              <w:top w:val="nil"/>
              <w:left w:val="double" w:sz="4" w:space="0" w:color="auto"/>
              <w:bottom w:val="single" w:sz="4" w:space="0" w:color="auto"/>
              <w:right w:val="nil"/>
            </w:tcBorders>
            <w:shd w:val="clear" w:color="auto" w:fill="auto"/>
            <w:noWrap/>
            <w:vAlign w:val="center"/>
            <w:hideMark/>
          </w:tcPr>
          <w:p w14:paraId="26F5B3D0" w14:textId="22061ADE"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2</w:t>
            </w:r>
          </w:p>
        </w:tc>
        <w:tc>
          <w:tcPr>
            <w:tcW w:w="875" w:type="dxa"/>
            <w:tcBorders>
              <w:top w:val="nil"/>
              <w:left w:val="nil"/>
              <w:bottom w:val="single" w:sz="4" w:space="0" w:color="auto"/>
              <w:right w:val="single" w:sz="8" w:space="0" w:color="auto"/>
            </w:tcBorders>
            <w:shd w:val="clear" w:color="auto" w:fill="auto"/>
            <w:noWrap/>
            <w:vAlign w:val="center"/>
            <w:hideMark/>
          </w:tcPr>
          <w:p w14:paraId="3AFFEE0E" w14:textId="61C44643"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0F8DB246"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079CF08" w14:textId="510FAF8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Level of care is completed accurately using the correct instrument/form.</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C080F7D" w14:textId="2F65F655"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C472759" w14:textId="5FD361B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94.4%</w:t>
            </w:r>
          </w:p>
        </w:tc>
        <w:tc>
          <w:tcPr>
            <w:tcW w:w="1325" w:type="dxa"/>
            <w:tcBorders>
              <w:top w:val="nil"/>
              <w:left w:val="double" w:sz="4" w:space="0" w:color="auto"/>
              <w:bottom w:val="single" w:sz="4" w:space="0" w:color="auto"/>
              <w:right w:val="nil"/>
            </w:tcBorders>
            <w:shd w:val="clear" w:color="auto" w:fill="auto"/>
            <w:noWrap/>
            <w:vAlign w:val="center"/>
            <w:hideMark/>
          </w:tcPr>
          <w:p w14:paraId="10BD46B8" w14:textId="70BB63CE"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67</w:t>
            </w:r>
          </w:p>
        </w:tc>
        <w:tc>
          <w:tcPr>
            <w:tcW w:w="875" w:type="dxa"/>
            <w:tcBorders>
              <w:top w:val="nil"/>
              <w:left w:val="nil"/>
              <w:bottom w:val="single" w:sz="4" w:space="0" w:color="auto"/>
              <w:right w:val="single" w:sz="8" w:space="0" w:color="auto"/>
            </w:tcBorders>
            <w:shd w:val="clear" w:color="auto" w:fill="auto"/>
            <w:noWrap/>
            <w:vAlign w:val="center"/>
            <w:hideMark/>
          </w:tcPr>
          <w:p w14:paraId="484EBBF6" w14:textId="287F954D"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94.0%</w:t>
            </w:r>
          </w:p>
        </w:tc>
      </w:tr>
      <w:tr w:rsidR="00590E33" w:rsidRPr="00601D71" w14:paraId="45492C4A" w14:textId="77777777" w:rsidTr="00590E33">
        <w:trPr>
          <w:trHeight w:val="323"/>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9FCDC1B" w14:textId="349B3CF1"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Level of care is reevaluated at least every 365 days and contains all required components for billing.</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494C5E3" w14:textId="44C646A6"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A785348" w14:textId="0F36994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551FC560" w14:textId="32DD6B93"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3EE3D402" w14:textId="3799ABBF"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1AC04409"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2334EB60" w14:textId="6AACE84E"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Level of care is reevaluated at least every 365 days and contains all required components for compliance.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0368935" w14:textId="2CDAA3D2"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3A8D19" w14:textId="6B89B6A1"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C43BF90" w14:textId="5EA1577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7E18DC16" w14:textId="51111A1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3F700070" w14:textId="77777777" w:rsidTr="00590E33">
        <w:trPr>
          <w:trHeight w:val="368"/>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CFED37A" w14:textId="1A52A533"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Participant's Information Update form is completed and submitted to Regional/Area CDC+ liaison as needed.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703D0BA" w14:textId="4CDA0E5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86B4E82" w14:textId="5F2C9AAF"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7AF8A06" w14:textId="70DC31E5"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34</w:t>
            </w:r>
          </w:p>
        </w:tc>
        <w:tc>
          <w:tcPr>
            <w:tcW w:w="875" w:type="dxa"/>
            <w:tcBorders>
              <w:top w:val="nil"/>
              <w:left w:val="nil"/>
              <w:bottom w:val="single" w:sz="4" w:space="0" w:color="auto"/>
              <w:right w:val="single" w:sz="8" w:space="0" w:color="auto"/>
            </w:tcBorders>
            <w:shd w:val="clear" w:color="auto" w:fill="auto"/>
            <w:noWrap/>
            <w:vAlign w:val="center"/>
            <w:hideMark/>
          </w:tcPr>
          <w:p w14:paraId="644ED5E1" w14:textId="103F15C0"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97.1%</w:t>
            </w:r>
          </w:p>
        </w:tc>
      </w:tr>
      <w:tr w:rsidR="00590E33" w:rsidRPr="00601D71" w14:paraId="3BBCD546" w14:textId="77777777" w:rsidTr="00590E33">
        <w:trPr>
          <w:trHeight w:val="62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6CDB183" w14:textId="4431EF20"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Person receiving services is given a choice of waiver services or institutional care at least annually.</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C1FCCD9" w14:textId="205DE853"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B028E01" w14:textId="55024C38"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C0E88CA" w14:textId="3CCC612A"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14A291B7" w14:textId="2124C93C"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95.8%</w:t>
            </w:r>
          </w:p>
        </w:tc>
      </w:tr>
      <w:tr w:rsidR="00590E33" w:rsidRPr="00601D71" w14:paraId="7D126D50" w14:textId="77777777" w:rsidTr="00590E33">
        <w:trPr>
          <w:trHeight w:val="521"/>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64EB652" w14:textId="47D8887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Progress Notes reflecting required monthly contact/activities are filed in the Participant's record prior to billing each month.</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4B5441A" w14:textId="0858A4AD"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9026AE4" w14:textId="3F619DCE"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4CCB97AD" w14:textId="4630DAE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3986A270" w14:textId="513C84A9"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1B1E5972" w14:textId="77777777" w:rsidTr="00590E33">
        <w:trPr>
          <w:trHeight w:val="341"/>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6F892F8" w14:textId="4BBD5EEB"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Services are delivered in accordance with the Cost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92B0624" w14:textId="0EC1E380"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29768F3" w14:textId="6E6A411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55A1EBE5" w14:textId="73C284BD"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3FE3A42E" w14:textId="649F1A53"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61247051" w14:textId="77777777" w:rsidTr="00590E33">
        <w:trPr>
          <w:trHeight w:val="26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765A30FE" w14:textId="0898881A"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Support Plan includes a current Safety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D168485" w14:textId="494FBCDF"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0</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3E6D315" w14:textId="38090623"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w:t>
            </w:r>
          </w:p>
        </w:tc>
        <w:tc>
          <w:tcPr>
            <w:tcW w:w="1325" w:type="dxa"/>
            <w:tcBorders>
              <w:top w:val="nil"/>
              <w:left w:val="double" w:sz="4" w:space="0" w:color="auto"/>
              <w:bottom w:val="single" w:sz="4" w:space="0" w:color="auto"/>
              <w:right w:val="nil"/>
            </w:tcBorders>
            <w:shd w:val="clear" w:color="auto" w:fill="auto"/>
            <w:noWrap/>
            <w:vAlign w:val="center"/>
            <w:hideMark/>
          </w:tcPr>
          <w:p w14:paraId="293CB4B5" w14:textId="172876FF"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1</w:t>
            </w:r>
          </w:p>
        </w:tc>
        <w:tc>
          <w:tcPr>
            <w:tcW w:w="875" w:type="dxa"/>
            <w:tcBorders>
              <w:top w:val="nil"/>
              <w:left w:val="nil"/>
              <w:bottom w:val="single" w:sz="4" w:space="0" w:color="auto"/>
              <w:right w:val="single" w:sz="8" w:space="0" w:color="auto"/>
            </w:tcBorders>
            <w:shd w:val="clear" w:color="auto" w:fill="auto"/>
            <w:noWrap/>
            <w:vAlign w:val="center"/>
            <w:hideMark/>
          </w:tcPr>
          <w:p w14:paraId="18ED42B2" w14:textId="18B7500A"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0652236E"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DF5C278" w14:textId="3879CBDC"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Support Plan includes supports and services consistent with assessed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83256C6" w14:textId="0A5E0E2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E37DA52" w14:textId="5785C4E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FBF674F" w14:textId="25BB54DA"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1CEB34B7" w14:textId="0B1A32CD"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2719F832" w14:textId="77777777" w:rsidTr="00590E33">
        <w:trPr>
          <w:trHeight w:val="449"/>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1825E95D" w14:textId="7D26B39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Support Plan reflects support and services necessary to address assessed risks.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1764352" w14:textId="494E3DD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33</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1014C8C" w14:textId="4F11DF1F"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97.0%</w:t>
            </w:r>
          </w:p>
        </w:tc>
        <w:tc>
          <w:tcPr>
            <w:tcW w:w="1325" w:type="dxa"/>
            <w:tcBorders>
              <w:top w:val="nil"/>
              <w:left w:val="double" w:sz="4" w:space="0" w:color="auto"/>
              <w:bottom w:val="single" w:sz="4" w:space="0" w:color="auto"/>
              <w:right w:val="nil"/>
            </w:tcBorders>
            <w:shd w:val="clear" w:color="auto" w:fill="auto"/>
            <w:noWrap/>
            <w:vAlign w:val="center"/>
            <w:hideMark/>
          </w:tcPr>
          <w:p w14:paraId="19E273B3" w14:textId="5326EA32"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71</w:t>
            </w:r>
          </w:p>
        </w:tc>
        <w:tc>
          <w:tcPr>
            <w:tcW w:w="875" w:type="dxa"/>
            <w:tcBorders>
              <w:top w:val="nil"/>
              <w:left w:val="nil"/>
              <w:bottom w:val="single" w:sz="4" w:space="0" w:color="auto"/>
              <w:right w:val="single" w:sz="8" w:space="0" w:color="auto"/>
            </w:tcBorders>
            <w:shd w:val="clear" w:color="auto" w:fill="auto"/>
            <w:noWrap/>
            <w:vAlign w:val="center"/>
            <w:hideMark/>
          </w:tcPr>
          <w:p w14:paraId="1F7D5B08" w14:textId="5458C8CD"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790C8FA9" w14:textId="77777777" w:rsidTr="00590E33">
        <w:trPr>
          <w:trHeight w:val="305"/>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2A534D6D" w14:textId="2DF2A026"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Support Plan reflects the personal goals of the person.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8CE13B8" w14:textId="717889C2"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4D7561D" w14:textId="31724B4C"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40F9E02" w14:textId="0FA2D79E"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662D75C9" w14:textId="6D2CA7E9"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32DD4340" w14:textId="77777777" w:rsidTr="00590E33">
        <w:trPr>
          <w:trHeight w:val="332"/>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71F038F5" w14:textId="42F8E393"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bills for services after services are rendered.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7C604DE" w14:textId="02239423"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2B587D8" w14:textId="35FC0F1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9296972" w14:textId="47C4E054"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04BF1D8C" w14:textId="38BCEF05"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19F4A848" w14:textId="77777777" w:rsidTr="00590E33">
        <w:trPr>
          <w:trHeight w:val="35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6D69BB59" w14:textId="548E06B0"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information about the person's history regarding abuse, neglect, and/or exploitation on an ongoing basis to address identified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C454204" w14:textId="784DEC42"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24</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8025085" w14:textId="19C69212"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BD7D994" w14:textId="0E7E72A1"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50</w:t>
            </w:r>
          </w:p>
        </w:tc>
        <w:tc>
          <w:tcPr>
            <w:tcW w:w="875" w:type="dxa"/>
            <w:tcBorders>
              <w:top w:val="nil"/>
              <w:left w:val="nil"/>
              <w:bottom w:val="single" w:sz="4" w:space="0" w:color="auto"/>
              <w:right w:val="single" w:sz="8" w:space="0" w:color="auto"/>
            </w:tcBorders>
            <w:shd w:val="clear" w:color="auto" w:fill="auto"/>
            <w:noWrap/>
            <w:vAlign w:val="center"/>
            <w:hideMark/>
          </w:tcPr>
          <w:p w14:paraId="52C2E5BF" w14:textId="3DA499FB"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270D43E5" w14:textId="77777777" w:rsidTr="00590E33">
        <w:trPr>
          <w:trHeight w:val="521"/>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9E8881A" w14:textId="04D397D2"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ongoing efforts to assist the person to define abuse, neglect, and exploitation including how the person would report any incidents.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8BA4541" w14:textId="6622F36D"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CFFB976" w14:textId="7F2587F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88.9%</w:t>
            </w:r>
          </w:p>
        </w:tc>
        <w:tc>
          <w:tcPr>
            <w:tcW w:w="1325" w:type="dxa"/>
            <w:tcBorders>
              <w:top w:val="nil"/>
              <w:left w:val="double" w:sz="4" w:space="0" w:color="auto"/>
              <w:bottom w:val="single" w:sz="4" w:space="0" w:color="auto"/>
              <w:right w:val="nil"/>
            </w:tcBorders>
            <w:shd w:val="clear" w:color="auto" w:fill="auto"/>
            <w:noWrap/>
            <w:vAlign w:val="center"/>
            <w:hideMark/>
          </w:tcPr>
          <w:p w14:paraId="697ABE74" w14:textId="380B41C4"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71</w:t>
            </w:r>
          </w:p>
        </w:tc>
        <w:tc>
          <w:tcPr>
            <w:tcW w:w="875" w:type="dxa"/>
            <w:tcBorders>
              <w:top w:val="nil"/>
              <w:left w:val="nil"/>
              <w:bottom w:val="single" w:sz="4" w:space="0" w:color="auto"/>
              <w:right w:val="single" w:sz="8" w:space="0" w:color="auto"/>
            </w:tcBorders>
            <w:shd w:val="clear" w:color="auto" w:fill="auto"/>
            <w:noWrap/>
            <w:vAlign w:val="center"/>
            <w:hideMark/>
          </w:tcPr>
          <w:p w14:paraId="24E95922" w14:textId="163AF631"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93.0%</w:t>
            </w:r>
          </w:p>
        </w:tc>
      </w:tr>
      <w:tr w:rsidR="00590E33" w:rsidRPr="00601D71" w14:paraId="26DAC53D"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42F27A2A" w14:textId="30D2CEC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ongoing efforts to assist the person/legal representative to know about rights.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B456C28" w14:textId="16DF88F9"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1531EA2" w14:textId="4278A981"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100.0%</w:t>
            </w:r>
          </w:p>
        </w:tc>
        <w:tc>
          <w:tcPr>
            <w:tcW w:w="1325" w:type="dxa"/>
            <w:tcBorders>
              <w:top w:val="nil"/>
              <w:left w:val="double" w:sz="4" w:space="0" w:color="auto"/>
              <w:bottom w:val="single" w:sz="4" w:space="0" w:color="auto"/>
              <w:right w:val="nil"/>
            </w:tcBorders>
            <w:shd w:val="clear" w:color="auto" w:fill="auto"/>
            <w:noWrap/>
            <w:vAlign w:val="center"/>
            <w:hideMark/>
          </w:tcPr>
          <w:p w14:paraId="4CCB2077" w14:textId="0B6C442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27A9597D" w14:textId="71DEEF7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06BD1C33" w14:textId="77777777" w:rsidTr="00590E33">
        <w:trPr>
          <w:trHeight w:val="584"/>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31CD6ACF" w14:textId="7F9BF47C"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ongoing efforts to ensure the person’s behavioral/emotional health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0876323" w14:textId="5EE553E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26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4F30AAF" w14:textId="19425129"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100.0%</w:t>
            </w:r>
          </w:p>
        </w:tc>
        <w:tc>
          <w:tcPr>
            <w:tcW w:w="1325" w:type="dxa"/>
            <w:tcBorders>
              <w:top w:val="nil"/>
              <w:left w:val="double" w:sz="4" w:space="0" w:color="auto"/>
              <w:bottom w:val="single" w:sz="4" w:space="0" w:color="auto"/>
              <w:right w:val="nil"/>
            </w:tcBorders>
            <w:shd w:val="clear" w:color="auto" w:fill="auto"/>
            <w:noWrap/>
            <w:vAlign w:val="center"/>
            <w:hideMark/>
          </w:tcPr>
          <w:p w14:paraId="0AEDB4AB" w14:textId="5995EB1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63</w:t>
            </w:r>
          </w:p>
        </w:tc>
        <w:tc>
          <w:tcPr>
            <w:tcW w:w="875" w:type="dxa"/>
            <w:tcBorders>
              <w:top w:val="nil"/>
              <w:left w:val="nil"/>
              <w:bottom w:val="single" w:sz="4" w:space="0" w:color="auto"/>
              <w:right w:val="single" w:sz="8" w:space="0" w:color="auto"/>
            </w:tcBorders>
            <w:shd w:val="clear" w:color="auto" w:fill="auto"/>
            <w:noWrap/>
            <w:vAlign w:val="center"/>
            <w:hideMark/>
          </w:tcPr>
          <w:p w14:paraId="5C38B679" w14:textId="5D5C432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96.8%</w:t>
            </w:r>
          </w:p>
        </w:tc>
      </w:tr>
      <w:tr w:rsidR="00590E33" w:rsidRPr="00601D71" w14:paraId="52D731FB" w14:textId="77777777" w:rsidTr="00590E33">
        <w:trPr>
          <w:trHeight w:val="512"/>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1FEF74A5" w14:textId="05D402F8"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ongoing efforts to ensure the person’s health and health care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05AA68C" w14:textId="59B9F48F"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0B42312" w14:textId="783DEF88"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49B25E0D" w14:textId="4BFCEBA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5ACF03F2" w14:textId="359D80E1"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97.2%</w:t>
            </w:r>
          </w:p>
        </w:tc>
      </w:tr>
      <w:tr w:rsidR="00590E33" w:rsidRPr="00601D71" w14:paraId="763FA36A"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24A54692" w14:textId="7B0321F0"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documents ongoing efforts to ensure the person’s safety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3912774" w14:textId="5544D671"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2A373DF" w14:textId="5DAFB72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73A0E6AF" w14:textId="649179EB"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7EBEBC02" w14:textId="40703DF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5CC183D2" w14:textId="77777777" w:rsidTr="00590E33">
        <w:trPr>
          <w:trHeight w:val="615"/>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26D221B" w14:textId="459AC3E7"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Consultant is in compliance with billing procedures and the Medicaid Waiver Services Agreement.</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FC21E61" w14:textId="5183B5F0"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5144E66" w14:textId="77754548"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71083C2" w14:textId="457AEACD"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0F9B881D" w14:textId="4164B0EA"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72E9972B" w14:textId="77777777" w:rsidTr="006C0BF0">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6EAED7A" w14:textId="6E2747A7" w:rsidR="00590E33" w:rsidRPr="006C0BF0" w:rsidRDefault="00590E33" w:rsidP="00590E33">
            <w:pPr>
              <w:spacing w:line="240" w:lineRule="auto"/>
              <w:rPr>
                <w:rFonts w:asciiTheme="minorHAnsi" w:eastAsia="Times New Roman" w:hAnsiTheme="minorHAnsi" w:cstheme="minorHAnsi"/>
                <w:sz w:val="20"/>
                <w:szCs w:val="20"/>
              </w:rPr>
            </w:pPr>
            <w:r w:rsidRPr="006C0BF0">
              <w:rPr>
                <w:rFonts w:asciiTheme="minorHAnsi" w:hAnsiTheme="minorHAnsi" w:cstheme="minorHAnsi"/>
                <w:sz w:val="20"/>
                <w:szCs w:val="20"/>
              </w:rPr>
              <w:lastRenderedPageBreak/>
              <w:t>The Consultant Progress Notes demonstrate pre-Support Plan planning activities were conducted.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DA52128" w14:textId="0252CE4C" w:rsidR="00590E33" w:rsidRPr="006C0BF0" w:rsidRDefault="00590E33" w:rsidP="00590E33">
            <w:pPr>
              <w:spacing w:line="240" w:lineRule="auto"/>
              <w:jc w:val="center"/>
              <w:rPr>
                <w:rFonts w:asciiTheme="minorHAnsi" w:eastAsia="Times New Roman" w:hAnsiTheme="minorHAnsi" w:cstheme="minorHAnsi"/>
                <w:sz w:val="20"/>
                <w:szCs w:val="20"/>
              </w:rPr>
            </w:pPr>
            <w:r w:rsidRPr="006C0BF0">
              <w:rPr>
                <w:rFonts w:asciiTheme="minorHAnsi" w:hAnsiTheme="minorHAnsi" w:cstheme="minorHAnsi"/>
                <w:sz w:val="20"/>
                <w:szCs w:val="20"/>
              </w:rPr>
              <w:t>34</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2F5F271" w14:textId="54C4E9E9" w:rsidR="00590E33" w:rsidRPr="006C0BF0" w:rsidRDefault="00590E33" w:rsidP="00590E33">
            <w:pPr>
              <w:spacing w:line="240" w:lineRule="auto"/>
              <w:jc w:val="center"/>
              <w:rPr>
                <w:rFonts w:asciiTheme="minorHAnsi" w:eastAsia="Times New Roman" w:hAnsiTheme="minorHAnsi" w:cstheme="minorHAnsi"/>
                <w:sz w:val="20"/>
                <w:szCs w:val="20"/>
              </w:rPr>
            </w:pPr>
            <w:r w:rsidRPr="006C0BF0">
              <w:rPr>
                <w:rFonts w:asciiTheme="minorHAnsi" w:hAnsiTheme="minorHAnsi" w:cstheme="minorHAnsi"/>
                <w:sz w:val="20"/>
                <w:szCs w:val="20"/>
              </w:rPr>
              <w:t>94.1%</w:t>
            </w:r>
          </w:p>
        </w:tc>
        <w:tc>
          <w:tcPr>
            <w:tcW w:w="1325" w:type="dxa"/>
            <w:tcBorders>
              <w:top w:val="nil"/>
              <w:left w:val="double" w:sz="4" w:space="0" w:color="auto"/>
              <w:bottom w:val="single" w:sz="4" w:space="0" w:color="auto"/>
              <w:right w:val="nil"/>
            </w:tcBorders>
            <w:shd w:val="clear" w:color="auto" w:fill="auto"/>
            <w:noWrap/>
            <w:vAlign w:val="center"/>
            <w:hideMark/>
          </w:tcPr>
          <w:p w14:paraId="7062BD14" w14:textId="54105068" w:rsidR="00590E33" w:rsidRPr="006C0BF0" w:rsidRDefault="00590E33" w:rsidP="00590E33">
            <w:pPr>
              <w:spacing w:line="240" w:lineRule="auto"/>
              <w:jc w:val="center"/>
              <w:rPr>
                <w:rFonts w:asciiTheme="minorHAnsi" w:eastAsia="Times New Roman" w:hAnsiTheme="minorHAnsi" w:cstheme="minorHAnsi"/>
                <w:sz w:val="20"/>
                <w:szCs w:val="20"/>
              </w:rPr>
            </w:pPr>
            <w:r w:rsidRPr="006C0BF0">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16FC94EA" w14:textId="27A9220F" w:rsidR="00590E33" w:rsidRPr="00590E33" w:rsidRDefault="00590E33" w:rsidP="00590E33">
            <w:pPr>
              <w:spacing w:line="240" w:lineRule="auto"/>
              <w:jc w:val="center"/>
              <w:rPr>
                <w:rFonts w:asciiTheme="minorHAnsi" w:eastAsia="Times New Roman" w:hAnsiTheme="minorHAnsi" w:cstheme="minorHAnsi"/>
                <w:sz w:val="20"/>
                <w:szCs w:val="20"/>
              </w:rPr>
            </w:pPr>
            <w:r w:rsidRPr="006C0BF0">
              <w:rPr>
                <w:rFonts w:asciiTheme="minorHAnsi" w:hAnsiTheme="minorHAnsi"/>
                <w:sz w:val="20"/>
                <w:szCs w:val="20"/>
              </w:rPr>
              <w:t>90.3%</w:t>
            </w:r>
          </w:p>
        </w:tc>
      </w:tr>
      <w:tr w:rsidR="00590E33" w:rsidRPr="00601D71" w14:paraId="2516E95E" w14:textId="77777777" w:rsidTr="00590E33">
        <w:trPr>
          <w:trHeight w:val="3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06593560" w14:textId="0FFF2263"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current Annual Report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76154F4" w14:textId="2D8AD436"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C04ED81" w14:textId="57EF6EB1"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44185809" w14:textId="692244CF"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74F639DE" w14:textId="09AED7E8"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95.8%</w:t>
            </w:r>
          </w:p>
        </w:tc>
      </w:tr>
      <w:tr w:rsidR="00590E33" w:rsidRPr="00601D71" w14:paraId="057E4FDF" w14:textId="77777777" w:rsidTr="00590E33">
        <w:trPr>
          <w:trHeight w:val="332"/>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7B038E64" w14:textId="56CB9619"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current Support Plan includes natural, generic, community and paid supports for the person.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27A8AF6" w14:textId="7769792D"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231EA4A" w14:textId="3476F65C"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FF5FA71" w14:textId="16D6B763"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6A95878E" w14:textId="7ED3BADC"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590E33" w:rsidRPr="00601D71" w14:paraId="1335F7F4" w14:textId="77777777" w:rsidTr="00590E33">
        <w:trPr>
          <w:trHeight w:val="3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9CAC619" w14:textId="44B46987"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Emergency Backup Plan is in the record and reviewed annually.</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31E8DBD" w14:textId="4622BFE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35</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63071A3" w14:textId="7582A9F3"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91.4%</w:t>
            </w:r>
          </w:p>
        </w:tc>
        <w:tc>
          <w:tcPr>
            <w:tcW w:w="1325" w:type="dxa"/>
            <w:tcBorders>
              <w:top w:val="nil"/>
              <w:left w:val="double" w:sz="4" w:space="0" w:color="auto"/>
              <w:bottom w:val="single" w:sz="4" w:space="0" w:color="auto"/>
              <w:right w:val="nil"/>
            </w:tcBorders>
            <w:shd w:val="clear" w:color="auto" w:fill="auto"/>
            <w:noWrap/>
            <w:vAlign w:val="center"/>
            <w:hideMark/>
          </w:tcPr>
          <w:p w14:paraId="1B845C39" w14:textId="07813097"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3FD2C0A9" w14:textId="33B77DB4"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93.1%</w:t>
            </w:r>
          </w:p>
        </w:tc>
      </w:tr>
      <w:tr w:rsidR="00590E33" w:rsidRPr="00601D71" w14:paraId="2F548558"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1875F5FA" w14:textId="57FD744B"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Purchasing Plan reflects the goals/needs outlined in Participant’s Support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06A435A" w14:textId="57FFE5EB"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A68AC5" w14:textId="23838F80"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B266E74" w14:textId="47B0A04C"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72</w:t>
            </w:r>
          </w:p>
        </w:tc>
        <w:tc>
          <w:tcPr>
            <w:tcW w:w="875" w:type="dxa"/>
            <w:tcBorders>
              <w:top w:val="nil"/>
              <w:left w:val="nil"/>
              <w:bottom w:val="single" w:sz="4" w:space="0" w:color="auto"/>
              <w:right w:val="single" w:sz="8" w:space="0" w:color="auto"/>
            </w:tcBorders>
            <w:shd w:val="clear" w:color="auto" w:fill="auto"/>
            <w:noWrap/>
            <w:vAlign w:val="center"/>
            <w:hideMark/>
          </w:tcPr>
          <w:p w14:paraId="2C6810AD" w14:textId="36F47836"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000AD394" w14:textId="77777777" w:rsidTr="00590E33">
        <w:trPr>
          <w:trHeight w:val="449"/>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588C3D8C" w14:textId="462C54AF"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Support Plan is updated within 12 months of the person’s last Support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7220B60" w14:textId="7C468C36"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1B2610" w14:textId="652AEB11"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7C8FF286" w14:textId="1A0781A1"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71</w:t>
            </w:r>
          </w:p>
        </w:tc>
        <w:tc>
          <w:tcPr>
            <w:tcW w:w="875" w:type="dxa"/>
            <w:tcBorders>
              <w:top w:val="nil"/>
              <w:left w:val="nil"/>
              <w:bottom w:val="single" w:sz="4" w:space="0" w:color="auto"/>
              <w:right w:val="single" w:sz="8" w:space="0" w:color="auto"/>
            </w:tcBorders>
            <w:shd w:val="clear" w:color="auto" w:fill="auto"/>
            <w:noWrap/>
            <w:vAlign w:val="center"/>
            <w:hideMark/>
          </w:tcPr>
          <w:p w14:paraId="39580028" w14:textId="358BFBE3"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98.6%</w:t>
            </w:r>
          </w:p>
        </w:tc>
      </w:tr>
      <w:tr w:rsidR="00590E33" w:rsidRPr="00601D71" w14:paraId="2D1B548B" w14:textId="77777777" w:rsidTr="00590E33">
        <w:trPr>
          <w:trHeight w:val="600"/>
          <w:jc w:val="center"/>
        </w:trPr>
        <w:tc>
          <w:tcPr>
            <w:tcW w:w="5344" w:type="dxa"/>
            <w:tcBorders>
              <w:top w:val="nil"/>
              <w:left w:val="single" w:sz="8" w:space="0" w:color="auto"/>
              <w:bottom w:val="single" w:sz="4" w:space="0" w:color="auto"/>
              <w:right w:val="double" w:sz="4" w:space="0" w:color="auto"/>
            </w:tcBorders>
            <w:shd w:val="clear" w:color="auto" w:fill="auto"/>
            <w:vAlign w:val="center"/>
            <w:hideMark/>
          </w:tcPr>
          <w:p w14:paraId="3A638E76" w14:textId="41ED2675"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The Support Plan is updated/revised when warranted by changes in the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85D1977" w14:textId="2C8D18AA"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15</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6A6AE1E" w14:textId="309E26B7"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3727E1B" w14:textId="2AF403A6"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31</w:t>
            </w:r>
          </w:p>
        </w:tc>
        <w:tc>
          <w:tcPr>
            <w:tcW w:w="875" w:type="dxa"/>
            <w:tcBorders>
              <w:top w:val="nil"/>
              <w:left w:val="nil"/>
              <w:bottom w:val="single" w:sz="4" w:space="0" w:color="auto"/>
              <w:right w:val="single" w:sz="8" w:space="0" w:color="auto"/>
            </w:tcBorders>
            <w:shd w:val="clear" w:color="auto" w:fill="auto"/>
            <w:noWrap/>
            <w:vAlign w:val="center"/>
            <w:hideMark/>
          </w:tcPr>
          <w:p w14:paraId="5A5C970B" w14:textId="1758C5E0"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96.8%</w:t>
            </w:r>
          </w:p>
        </w:tc>
      </w:tr>
      <w:tr w:rsidR="00590E33" w:rsidRPr="00601D71" w14:paraId="23ABBA2C" w14:textId="77777777" w:rsidTr="00590E33">
        <w:trPr>
          <w:trHeight w:val="548"/>
          <w:jc w:val="center"/>
        </w:trPr>
        <w:tc>
          <w:tcPr>
            <w:tcW w:w="5344" w:type="dxa"/>
            <w:tcBorders>
              <w:top w:val="nil"/>
              <w:left w:val="single" w:sz="8" w:space="0" w:color="auto"/>
              <w:bottom w:val="single" w:sz="8" w:space="0" w:color="auto"/>
              <w:right w:val="double" w:sz="4" w:space="0" w:color="auto"/>
            </w:tcBorders>
            <w:shd w:val="clear" w:color="auto" w:fill="auto"/>
            <w:vAlign w:val="center"/>
            <w:hideMark/>
          </w:tcPr>
          <w:p w14:paraId="0C872048" w14:textId="2BCD9C2D" w:rsidR="00590E33" w:rsidRPr="003E6712" w:rsidRDefault="00590E33" w:rsidP="00590E33">
            <w:pPr>
              <w:spacing w:line="240" w:lineRule="auto"/>
              <w:rPr>
                <w:rFonts w:asciiTheme="minorHAnsi" w:eastAsia="Times New Roman" w:hAnsiTheme="minorHAnsi" w:cstheme="minorHAnsi"/>
                <w:sz w:val="20"/>
                <w:szCs w:val="20"/>
              </w:rPr>
            </w:pPr>
            <w:r w:rsidRPr="003E6712">
              <w:rPr>
                <w:rFonts w:asciiTheme="minorHAnsi" w:hAnsiTheme="minorHAnsi" w:cstheme="minorHAnsi"/>
                <w:sz w:val="20"/>
                <w:szCs w:val="20"/>
              </w:rPr>
              <w:t>When correctly completed/submitted by the Participant/CDC+ Representative, Consultant submits Purchasing Plans by the 10th of the month.</w:t>
            </w:r>
          </w:p>
        </w:tc>
        <w:tc>
          <w:tcPr>
            <w:tcW w:w="1367" w:type="dxa"/>
            <w:tcBorders>
              <w:top w:val="single" w:sz="4" w:space="0" w:color="auto"/>
              <w:left w:val="double" w:sz="4" w:space="0" w:color="auto"/>
              <w:bottom w:val="single" w:sz="8" w:space="0" w:color="auto"/>
              <w:right w:val="nil"/>
            </w:tcBorders>
            <w:shd w:val="clear" w:color="auto" w:fill="auto"/>
            <w:noWrap/>
            <w:vAlign w:val="center"/>
            <w:hideMark/>
          </w:tcPr>
          <w:p w14:paraId="36EE1E15" w14:textId="35B0E074"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33</w:t>
            </w:r>
          </w:p>
        </w:tc>
        <w:tc>
          <w:tcPr>
            <w:tcW w:w="916" w:type="dxa"/>
            <w:tcBorders>
              <w:top w:val="single" w:sz="4" w:space="0" w:color="auto"/>
              <w:left w:val="nil"/>
              <w:bottom w:val="single" w:sz="8" w:space="0" w:color="auto"/>
              <w:right w:val="double" w:sz="4" w:space="0" w:color="auto"/>
            </w:tcBorders>
            <w:shd w:val="clear" w:color="auto" w:fill="auto"/>
            <w:noWrap/>
            <w:vAlign w:val="center"/>
            <w:hideMark/>
          </w:tcPr>
          <w:p w14:paraId="6804E0BF" w14:textId="392D986C" w:rsidR="00590E33" w:rsidRPr="00D401E4" w:rsidRDefault="00590E33" w:rsidP="00590E33">
            <w:pPr>
              <w:spacing w:line="240" w:lineRule="auto"/>
              <w:jc w:val="center"/>
              <w:rPr>
                <w:rFonts w:asciiTheme="minorHAnsi" w:eastAsia="Times New Roman" w:hAnsiTheme="minorHAnsi" w:cstheme="minorHAnsi"/>
                <w:sz w:val="20"/>
                <w:szCs w:val="20"/>
              </w:rPr>
            </w:pPr>
            <w:r w:rsidRPr="00D401E4">
              <w:rPr>
                <w:rFonts w:asciiTheme="minorHAnsi" w:hAnsiTheme="minorHAnsi" w:cstheme="minorHAnsi"/>
                <w:sz w:val="20"/>
                <w:szCs w:val="20"/>
              </w:rPr>
              <w:t>97.0%</w:t>
            </w:r>
          </w:p>
        </w:tc>
        <w:tc>
          <w:tcPr>
            <w:tcW w:w="1325" w:type="dxa"/>
            <w:tcBorders>
              <w:top w:val="nil"/>
              <w:left w:val="double" w:sz="4" w:space="0" w:color="auto"/>
              <w:bottom w:val="single" w:sz="8" w:space="0" w:color="auto"/>
              <w:right w:val="nil"/>
            </w:tcBorders>
            <w:shd w:val="clear" w:color="auto" w:fill="auto"/>
            <w:noWrap/>
            <w:vAlign w:val="center"/>
            <w:hideMark/>
          </w:tcPr>
          <w:p w14:paraId="1E2EE66A" w14:textId="2DE86D59" w:rsidR="00590E33" w:rsidRPr="00590E33" w:rsidRDefault="00590E33" w:rsidP="00590E33">
            <w:pPr>
              <w:spacing w:line="240" w:lineRule="auto"/>
              <w:jc w:val="center"/>
              <w:rPr>
                <w:rFonts w:asciiTheme="minorHAnsi" w:eastAsia="Times New Roman" w:hAnsiTheme="minorHAnsi" w:cstheme="minorHAnsi"/>
                <w:sz w:val="20"/>
                <w:szCs w:val="20"/>
              </w:rPr>
            </w:pPr>
            <w:r w:rsidRPr="00590E33">
              <w:rPr>
                <w:rFonts w:asciiTheme="minorHAnsi" w:hAnsiTheme="minorHAnsi"/>
                <w:sz w:val="20"/>
                <w:szCs w:val="20"/>
              </w:rPr>
              <w:t>65</w:t>
            </w:r>
          </w:p>
        </w:tc>
        <w:tc>
          <w:tcPr>
            <w:tcW w:w="875" w:type="dxa"/>
            <w:tcBorders>
              <w:top w:val="nil"/>
              <w:left w:val="nil"/>
              <w:bottom w:val="single" w:sz="8" w:space="0" w:color="auto"/>
              <w:right w:val="single" w:sz="8" w:space="0" w:color="auto"/>
            </w:tcBorders>
            <w:shd w:val="clear" w:color="auto" w:fill="auto"/>
            <w:noWrap/>
            <w:vAlign w:val="center"/>
            <w:hideMark/>
          </w:tcPr>
          <w:p w14:paraId="084A40FC" w14:textId="5A404185" w:rsidR="00590E33" w:rsidRPr="00590E33" w:rsidRDefault="00590E33" w:rsidP="00590E33">
            <w:pPr>
              <w:spacing w:line="240" w:lineRule="auto"/>
              <w:jc w:val="center"/>
              <w:rPr>
                <w:rFonts w:asciiTheme="minorHAnsi" w:eastAsia="Times New Roman" w:hAnsiTheme="minorHAnsi" w:cstheme="minorHAnsi"/>
                <w:sz w:val="20"/>
                <w:szCs w:val="20"/>
              </w:rPr>
            </w:pPr>
            <w:r>
              <w:rPr>
                <w:rFonts w:asciiTheme="minorHAnsi" w:hAnsiTheme="minorHAnsi"/>
                <w:sz w:val="20"/>
                <w:szCs w:val="20"/>
              </w:rPr>
              <w:t>100</w:t>
            </w:r>
            <w:r w:rsidRPr="00590E33">
              <w:rPr>
                <w:rFonts w:asciiTheme="minorHAnsi" w:hAnsiTheme="minorHAnsi"/>
                <w:sz w:val="20"/>
                <w:szCs w:val="20"/>
              </w:rPr>
              <w:t>%</w:t>
            </w:r>
          </w:p>
        </w:tc>
      </w:tr>
      <w:tr w:rsidR="00601D71" w:rsidRPr="00601D71" w14:paraId="3BD24E52" w14:textId="77777777" w:rsidTr="00B72680">
        <w:trPr>
          <w:trHeight w:val="315"/>
          <w:jc w:val="center"/>
        </w:trPr>
        <w:tc>
          <w:tcPr>
            <w:tcW w:w="5344" w:type="dxa"/>
            <w:tcBorders>
              <w:top w:val="nil"/>
              <w:left w:val="single" w:sz="8" w:space="0" w:color="auto"/>
              <w:right w:val="nil"/>
            </w:tcBorders>
            <w:shd w:val="clear" w:color="000000" w:fill="D8E4BC"/>
            <w:noWrap/>
            <w:vAlign w:val="center"/>
            <w:hideMark/>
          </w:tcPr>
          <w:p w14:paraId="0E11ED6C" w14:textId="77777777" w:rsidR="00601D71" w:rsidRPr="00601D71" w:rsidRDefault="00601D71" w:rsidP="00601D71">
            <w:pPr>
              <w:spacing w:line="240" w:lineRule="auto"/>
              <w:rPr>
                <w:rFonts w:ascii="Calibri" w:eastAsia="Times New Roman" w:hAnsi="Calibri" w:cs="Calibri"/>
                <w:b/>
                <w:bCs/>
                <w:color w:val="000000"/>
                <w:sz w:val="22"/>
              </w:rPr>
            </w:pPr>
            <w:r w:rsidRPr="00601D71">
              <w:rPr>
                <w:rFonts w:ascii="Calibri" w:eastAsia="Times New Roman" w:hAnsi="Calibri" w:cs="Calibri"/>
                <w:b/>
                <w:bCs/>
                <w:color w:val="000000"/>
                <w:sz w:val="22"/>
              </w:rPr>
              <w:t>Average WSC Record Review Score</w:t>
            </w:r>
          </w:p>
        </w:tc>
        <w:tc>
          <w:tcPr>
            <w:tcW w:w="1367" w:type="dxa"/>
            <w:tcBorders>
              <w:top w:val="nil"/>
              <w:left w:val="double" w:sz="6" w:space="0" w:color="auto"/>
              <w:right w:val="nil"/>
            </w:tcBorders>
            <w:shd w:val="clear" w:color="000000" w:fill="D8E4BC"/>
            <w:noWrap/>
            <w:vAlign w:val="center"/>
            <w:hideMark/>
          </w:tcPr>
          <w:p w14:paraId="60CE0DFE" w14:textId="6BE23AD1" w:rsidR="00601D71" w:rsidRPr="00601D71" w:rsidRDefault="00B72680" w:rsidP="00601D71">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1,153</w:t>
            </w:r>
          </w:p>
        </w:tc>
        <w:tc>
          <w:tcPr>
            <w:tcW w:w="916" w:type="dxa"/>
            <w:tcBorders>
              <w:top w:val="nil"/>
              <w:left w:val="nil"/>
              <w:right w:val="double" w:sz="6" w:space="0" w:color="auto"/>
            </w:tcBorders>
            <w:shd w:val="clear" w:color="000000" w:fill="D8E4BC"/>
            <w:noWrap/>
            <w:vAlign w:val="center"/>
            <w:hideMark/>
          </w:tcPr>
          <w:p w14:paraId="5BFBA73B" w14:textId="68D5F6D6" w:rsidR="00601D71" w:rsidRPr="00601D71" w:rsidRDefault="00B72680" w:rsidP="00601D71">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98.4</w:t>
            </w:r>
            <w:r w:rsidR="00601D71" w:rsidRPr="00601D71">
              <w:rPr>
                <w:rFonts w:ascii="Calibri" w:eastAsia="Times New Roman" w:hAnsi="Calibri" w:cs="Calibri"/>
                <w:b/>
                <w:bCs/>
                <w:color w:val="000000"/>
                <w:sz w:val="20"/>
                <w:szCs w:val="20"/>
              </w:rPr>
              <w:t>%</w:t>
            </w:r>
          </w:p>
        </w:tc>
        <w:tc>
          <w:tcPr>
            <w:tcW w:w="1325" w:type="dxa"/>
            <w:tcBorders>
              <w:top w:val="nil"/>
              <w:left w:val="nil"/>
              <w:right w:val="nil"/>
            </w:tcBorders>
            <w:shd w:val="clear" w:color="000000" w:fill="D8E4BC"/>
            <w:noWrap/>
            <w:vAlign w:val="center"/>
            <w:hideMark/>
          </w:tcPr>
          <w:p w14:paraId="604B7A18" w14:textId="2737A5D5" w:rsidR="00601D71" w:rsidRPr="00601D71" w:rsidRDefault="00590E33" w:rsidP="00590E33">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2,284</w:t>
            </w:r>
          </w:p>
        </w:tc>
        <w:tc>
          <w:tcPr>
            <w:tcW w:w="875" w:type="dxa"/>
            <w:tcBorders>
              <w:top w:val="nil"/>
              <w:left w:val="nil"/>
              <w:right w:val="single" w:sz="8" w:space="0" w:color="auto"/>
            </w:tcBorders>
            <w:shd w:val="clear" w:color="000000" w:fill="D8E4BC"/>
            <w:noWrap/>
            <w:vAlign w:val="bottom"/>
            <w:hideMark/>
          </w:tcPr>
          <w:p w14:paraId="4A97C7A1" w14:textId="7721193A" w:rsidR="00601D71" w:rsidRPr="00BF720A" w:rsidRDefault="009B4C73" w:rsidP="00590E33">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97.</w:t>
            </w:r>
            <w:r w:rsidR="00590E33">
              <w:rPr>
                <w:rFonts w:ascii="Calibri" w:eastAsia="Times New Roman" w:hAnsi="Calibri" w:cs="Calibri"/>
                <w:b/>
                <w:color w:val="000000"/>
                <w:sz w:val="20"/>
                <w:szCs w:val="20"/>
              </w:rPr>
              <w:t>9</w:t>
            </w:r>
            <w:r w:rsidR="00601D71" w:rsidRPr="00BF720A">
              <w:rPr>
                <w:rFonts w:ascii="Calibri" w:eastAsia="Times New Roman" w:hAnsi="Calibri" w:cs="Calibri"/>
                <w:b/>
                <w:color w:val="000000"/>
                <w:sz w:val="20"/>
                <w:szCs w:val="20"/>
              </w:rPr>
              <w:t>%</w:t>
            </w:r>
          </w:p>
        </w:tc>
      </w:tr>
    </w:tbl>
    <w:p w14:paraId="5BC8464B" w14:textId="77777777" w:rsidR="00956AE3" w:rsidRDefault="00956AE3" w:rsidP="00956AE3">
      <w:pPr>
        <w:spacing w:line="240" w:lineRule="auto"/>
        <w:rPr>
          <w:rFonts w:ascii="Franklin Gothic Medium" w:hAnsi="Franklin Gothic Medium"/>
        </w:rPr>
      </w:pPr>
    </w:p>
    <w:p w14:paraId="2D3D9772" w14:textId="58CA443B" w:rsidR="00956AE3" w:rsidRPr="00571578" w:rsidRDefault="00956AE3" w:rsidP="00956AE3">
      <w:pPr>
        <w:pStyle w:val="Heading3"/>
      </w:pPr>
      <w:bookmarkStart w:id="38" w:name="_Toc64285532"/>
      <w:r w:rsidRPr="00571578">
        <w:t xml:space="preserve">CDC+ </w:t>
      </w:r>
      <w:r w:rsidR="009707DC">
        <w:t>Representative</w:t>
      </w:r>
      <w:r w:rsidRPr="00571578">
        <w:t xml:space="preserve"> (</w:t>
      </w:r>
      <w:r w:rsidR="009707DC">
        <w:t>Representative</w:t>
      </w:r>
      <w:r w:rsidRPr="00571578">
        <w:t>)</w:t>
      </w:r>
      <w:bookmarkEnd w:id="37"/>
      <w:bookmarkEnd w:id="38"/>
    </w:p>
    <w:p w14:paraId="21DF98D3" w14:textId="4FC4DDC1" w:rsidR="008C4509" w:rsidRDefault="00956AE3" w:rsidP="00956AE3">
      <w:r w:rsidRPr="00FE635F">
        <w:rPr>
          <w:rFonts w:ascii="Franklin Gothic Medium" w:hAnsi="Franklin Gothic Medium"/>
          <w:noProof/>
        </w:rPr>
        <w:drawing>
          <wp:anchor distT="0" distB="0" distL="114300" distR="114300" simplePos="0" relativeHeight="251658256" behindDoc="0" locked="0" layoutInCell="1" allowOverlap="1" wp14:anchorId="3D854401" wp14:editId="3C8EB387">
            <wp:simplePos x="0" y="0"/>
            <wp:positionH relativeFrom="margin">
              <wp:align>left</wp:align>
            </wp:positionH>
            <wp:positionV relativeFrom="paragraph">
              <wp:posOffset>193040</wp:posOffset>
            </wp:positionV>
            <wp:extent cx="1170305" cy="80835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elp.Support.Advice.Guidance.Assistance[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70305" cy="808355"/>
                    </a:xfrm>
                    <a:prstGeom prst="rect">
                      <a:avLst/>
                    </a:prstGeom>
                  </pic:spPr>
                </pic:pic>
              </a:graphicData>
            </a:graphic>
            <wp14:sizeRelH relativeFrom="margin">
              <wp14:pctWidth>0</wp14:pctWidth>
            </wp14:sizeRelH>
            <wp14:sizeRelV relativeFrom="margin">
              <wp14:pctHeight>0</wp14:pctHeight>
            </wp14:sizeRelV>
          </wp:anchor>
        </w:drawing>
      </w:r>
      <w:r w:rsidRPr="00FE635F">
        <w:t xml:space="preserve">People who elect to receive services through CDC+ have a </w:t>
      </w:r>
      <w:r w:rsidR="009707DC">
        <w:t>Representative</w:t>
      </w:r>
      <w:r w:rsidRPr="00FE635F">
        <w:t xml:space="preserve"> who helps with the “business” aspect of the program, such as hiring providers, completing and submitting tim</w:t>
      </w:r>
      <w:r>
        <w:t xml:space="preserve">esheets, and paying providers. </w:t>
      </w:r>
      <w:r w:rsidRPr="00FE635F">
        <w:t>This is a non-paid position and is most often filled by</w:t>
      </w:r>
      <w:r>
        <w:t xml:space="preserve"> a family member</w:t>
      </w:r>
      <w:r w:rsidR="00015D9C">
        <w:t xml:space="preserve"> or </w:t>
      </w:r>
      <w:r w:rsidR="00015D9C" w:rsidRPr="00FE635F">
        <w:t>the participant is so</w:t>
      </w:r>
      <w:r w:rsidR="00015D9C">
        <w:t>met</w:t>
      </w:r>
      <w:r w:rsidR="00015D9C" w:rsidRPr="00FE635F">
        <w:t xml:space="preserve">imes also the </w:t>
      </w:r>
      <w:r w:rsidR="00015D9C">
        <w:t>Representative</w:t>
      </w:r>
      <w:r>
        <w:t xml:space="preserve">. </w:t>
      </w:r>
      <w:r w:rsidRPr="0077168B">
        <w:t xml:space="preserve">Qlarant </w:t>
      </w:r>
      <w:r w:rsidR="000F5FBE">
        <w:t>QARs review</w:t>
      </w:r>
      <w:r w:rsidRPr="0077168B">
        <w:t xml:space="preserve"> records to help determine if the </w:t>
      </w:r>
      <w:r w:rsidR="009707DC">
        <w:t>Representative</w:t>
      </w:r>
      <w:r w:rsidRPr="0077168B">
        <w:t xml:space="preserve"> is complying with CDC+ sta</w:t>
      </w:r>
      <w:r>
        <w:t xml:space="preserve">ndards and other requirements. </w:t>
      </w:r>
      <w:r w:rsidRPr="0077168B">
        <w:t>The person receiving services through CDC+ may decline to participate in the CDC+ PCR</w:t>
      </w:r>
      <w:r>
        <w:t>;</w:t>
      </w:r>
      <w:r w:rsidRPr="0077168B">
        <w:t xml:space="preserve"> </w:t>
      </w:r>
      <w:r>
        <w:t>h</w:t>
      </w:r>
      <w:r w:rsidRPr="0077168B">
        <w:t xml:space="preserve">owever, the </w:t>
      </w:r>
      <w:r w:rsidR="009707DC">
        <w:t>Representative</w:t>
      </w:r>
      <w:r w:rsidRPr="0077168B">
        <w:t xml:space="preserve"> for the person still receives a review</w:t>
      </w:r>
      <w:r>
        <w:t xml:space="preserve">. </w:t>
      </w:r>
    </w:p>
    <w:p w14:paraId="3457A17F" w14:textId="77777777" w:rsidR="008C4509" w:rsidRDefault="008C4509" w:rsidP="00956AE3"/>
    <w:p w14:paraId="2EE7AEFB" w14:textId="43E2F2AF" w:rsidR="00956AE3" w:rsidRDefault="00956AE3" w:rsidP="00956AE3">
      <w:r w:rsidRPr="0077168B">
        <w:t xml:space="preserve">Between July </w:t>
      </w:r>
      <w:r w:rsidR="008C4509">
        <w:t xml:space="preserve">and </w:t>
      </w:r>
      <w:r w:rsidR="00B45E1B">
        <w:t>December</w:t>
      </w:r>
      <w:r w:rsidR="00CB55BC">
        <w:t xml:space="preserve"> 2020</w:t>
      </w:r>
      <w:r w:rsidRPr="0077168B">
        <w:t xml:space="preserve">, </w:t>
      </w:r>
      <w:r w:rsidR="00B45E1B">
        <w:t>83</w:t>
      </w:r>
      <w:r w:rsidRPr="0077168B">
        <w:t xml:space="preserve"> </w:t>
      </w:r>
      <w:r w:rsidR="009707DC">
        <w:t>Representative</w:t>
      </w:r>
      <w:r w:rsidRPr="0077168B">
        <w:t xml:space="preserve">s were reviewed. Results are </w:t>
      </w:r>
      <w:r w:rsidR="00CB55BC">
        <w:t>displayed</w:t>
      </w:r>
      <w:r w:rsidRPr="007D6181">
        <w:t xml:space="preserve"> by region in Table </w:t>
      </w:r>
      <w:r w:rsidR="000F5FBE">
        <w:t>9</w:t>
      </w:r>
      <w:r w:rsidRPr="007D6181">
        <w:t xml:space="preserve"> and by standard in Table 1</w:t>
      </w:r>
      <w:r w:rsidR="000F5FBE">
        <w:t>0</w:t>
      </w:r>
      <w:r w:rsidRPr="007D6181">
        <w:t>.</w:t>
      </w:r>
      <w:r w:rsidR="0091571D">
        <w:t xml:space="preserve"> </w:t>
      </w:r>
      <w:r w:rsidR="000932DB">
        <w:t>Results for the 4</w:t>
      </w:r>
      <w:r w:rsidR="000932DB" w:rsidRPr="000932DB">
        <w:rPr>
          <w:vertAlign w:val="superscript"/>
        </w:rPr>
        <w:t>th</w:t>
      </w:r>
      <w:r w:rsidR="000932DB">
        <w:t xml:space="preserve"> quarter in Year 3 </w:t>
      </w:r>
      <w:r w:rsidR="00B45E1B">
        <w:t xml:space="preserve">(April – June 2020) </w:t>
      </w:r>
      <w:r w:rsidR="000932DB">
        <w:t xml:space="preserve">are presented as well. The number of Representatives </w:t>
      </w:r>
      <w:r w:rsidR="000932DB" w:rsidRPr="00707C0A">
        <w:t xml:space="preserve">reviewed in each region, for each time period, was relatively small so </w:t>
      </w:r>
      <w:r w:rsidR="00B45E1B">
        <w:t>trends</w:t>
      </w:r>
      <w:r w:rsidR="000932DB" w:rsidRPr="00707C0A">
        <w:t xml:space="preserve"> across time or regions </w:t>
      </w:r>
      <w:r w:rsidR="00B45E1B">
        <w:t>are tentative.</w:t>
      </w:r>
      <w:r w:rsidR="00D31F50">
        <w:t xml:space="preserve"> There are some differences to date this year when compared to the last quarter in the previous year. </w:t>
      </w:r>
      <w:r w:rsidR="00707C0A" w:rsidRPr="00B14923">
        <w:t xml:space="preserve">Representatives </w:t>
      </w:r>
      <w:r w:rsidR="00D31F50" w:rsidRPr="00B14923">
        <w:t xml:space="preserve">scored 13 points higher in maintaining signed and approved invoices for vendors but were less likely </w:t>
      </w:r>
      <w:r w:rsidR="00B14923" w:rsidRPr="00B14923">
        <w:t>to be in compliance with the Background Screening Clearinghouse.</w:t>
      </w:r>
      <w:r w:rsidR="00B14923">
        <w:t xml:space="preserve"> At 77.3 percent, the </w:t>
      </w:r>
      <w:r w:rsidR="00A77B6A">
        <w:t>background screening C</w:t>
      </w:r>
      <w:r w:rsidR="00B14923">
        <w:t>learinghouse standard showed the lowest score of all the review indicators</w:t>
      </w:r>
      <w:r w:rsidR="00A77B6A">
        <w:t>; however, the majority of directly hired employees (81.4%) and independent contractors (91.4%) had background screening documentation available for review</w:t>
      </w:r>
      <w:r w:rsidR="00B14923">
        <w:t xml:space="preserve">.  </w:t>
      </w:r>
    </w:p>
    <w:p w14:paraId="7484FCD0" w14:textId="510C1E2E" w:rsidR="007135F7" w:rsidRDefault="007135F7" w:rsidP="00956AE3"/>
    <w:p w14:paraId="58EEBC3A" w14:textId="77777777" w:rsidR="007135F7" w:rsidRPr="006354F5" w:rsidRDefault="007135F7" w:rsidP="00956AE3"/>
    <w:tbl>
      <w:tblPr>
        <w:tblW w:w="7920" w:type="dxa"/>
        <w:jc w:val="center"/>
        <w:tblLook w:val="04A0" w:firstRow="1" w:lastRow="0" w:firstColumn="1" w:lastColumn="0" w:noHBand="0" w:noVBand="1"/>
      </w:tblPr>
      <w:tblGrid>
        <w:gridCol w:w="1170"/>
        <w:gridCol w:w="1170"/>
        <w:gridCol w:w="1080"/>
        <w:gridCol w:w="1170"/>
        <w:gridCol w:w="1080"/>
        <w:gridCol w:w="1080"/>
        <w:gridCol w:w="1170"/>
      </w:tblGrid>
      <w:tr w:rsidR="00A90633" w:rsidRPr="00A90633" w14:paraId="32BF80DC" w14:textId="77777777" w:rsidTr="00CA6BE0">
        <w:trPr>
          <w:trHeight w:val="330"/>
          <w:tblHeader/>
          <w:jc w:val="center"/>
        </w:trPr>
        <w:tc>
          <w:tcPr>
            <w:tcW w:w="7920" w:type="dxa"/>
            <w:gridSpan w:val="7"/>
            <w:tcBorders>
              <w:top w:val="single" w:sz="8" w:space="0" w:color="auto"/>
              <w:left w:val="single" w:sz="8" w:space="0" w:color="auto"/>
              <w:bottom w:val="single" w:sz="4" w:space="0" w:color="auto"/>
              <w:right w:val="single" w:sz="8" w:space="0" w:color="000000"/>
            </w:tcBorders>
            <w:shd w:val="clear" w:color="000000" w:fill="1F4E79"/>
            <w:vAlign w:val="center"/>
            <w:hideMark/>
          </w:tcPr>
          <w:p w14:paraId="435F1BEF" w14:textId="2A22AF0F" w:rsidR="00A90633" w:rsidRPr="00A90633" w:rsidRDefault="00124557" w:rsidP="00AD44E4">
            <w:pPr>
              <w:spacing w:line="240" w:lineRule="auto"/>
              <w:jc w:val="center"/>
              <w:rPr>
                <w:rFonts w:ascii="Franklin Gothic Medium" w:eastAsia="Times New Roman" w:hAnsi="Franklin Gothic Medium" w:cs="Calibri"/>
                <w:color w:val="FFFFFF"/>
                <w:sz w:val="22"/>
              </w:rPr>
            </w:pPr>
            <w:r w:rsidRPr="001608A0">
              <w:rPr>
                <w:rFonts w:cstheme="minorHAnsi"/>
                <w:szCs w:val="24"/>
              </w:rPr>
              <w:t xml:space="preserve"> </w:t>
            </w:r>
            <w:r w:rsidR="00A90633" w:rsidRPr="00A90633">
              <w:rPr>
                <w:rFonts w:ascii="Franklin Gothic Medium" w:eastAsia="Times New Roman" w:hAnsi="Franklin Gothic Medium" w:cs="Calibri"/>
                <w:color w:val="FFFFFF"/>
                <w:sz w:val="22"/>
              </w:rPr>
              <w:t>Table 1</w:t>
            </w:r>
            <w:r w:rsidR="00AD44E4">
              <w:rPr>
                <w:rFonts w:ascii="Franklin Gothic Medium" w:eastAsia="Times New Roman" w:hAnsi="Franklin Gothic Medium" w:cs="Calibri"/>
                <w:color w:val="FFFFFF"/>
                <w:sz w:val="22"/>
              </w:rPr>
              <w:t>0</w:t>
            </w:r>
            <w:r w:rsidR="00A90633" w:rsidRPr="00A90633">
              <w:rPr>
                <w:rFonts w:ascii="Franklin Gothic Medium" w:eastAsia="Times New Roman" w:hAnsi="Franklin Gothic Medium" w:cs="Calibri"/>
                <w:color w:val="FFFFFF"/>
                <w:sz w:val="22"/>
              </w:rPr>
              <w:t>.  CDC+ Representative Record Review Results</w:t>
            </w:r>
          </w:p>
        </w:tc>
      </w:tr>
      <w:tr w:rsidR="008C4509" w:rsidRPr="00A90633" w14:paraId="0F2DABDC" w14:textId="77777777" w:rsidTr="007135F7">
        <w:trPr>
          <w:trHeight w:val="315"/>
          <w:tblHeader/>
          <w:jc w:val="center"/>
        </w:trPr>
        <w:tc>
          <w:tcPr>
            <w:tcW w:w="1170" w:type="dxa"/>
            <w:tcBorders>
              <w:top w:val="nil"/>
              <w:left w:val="single" w:sz="8" w:space="0" w:color="auto"/>
              <w:bottom w:val="single" w:sz="4" w:space="0" w:color="auto"/>
              <w:right w:val="nil"/>
            </w:tcBorders>
            <w:shd w:val="clear" w:color="auto" w:fill="FFE599" w:themeFill="accent4" w:themeFillTint="66"/>
            <w:noWrap/>
            <w:vAlign w:val="bottom"/>
            <w:hideMark/>
          </w:tcPr>
          <w:p w14:paraId="77BF3403" w14:textId="77777777" w:rsidR="008C4509" w:rsidRPr="00A90633" w:rsidRDefault="008C4509" w:rsidP="008C4509">
            <w:pPr>
              <w:spacing w:line="240" w:lineRule="auto"/>
              <w:rPr>
                <w:rFonts w:ascii="Calibri" w:eastAsia="Times New Roman" w:hAnsi="Calibri" w:cs="Calibri"/>
                <w:sz w:val="22"/>
              </w:rPr>
            </w:pPr>
            <w:r w:rsidRPr="00A90633">
              <w:rPr>
                <w:rFonts w:ascii="Calibri" w:eastAsia="Times New Roman" w:hAnsi="Calibri" w:cs="Calibri"/>
                <w:sz w:val="22"/>
              </w:rPr>
              <w:t> </w:t>
            </w:r>
          </w:p>
        </w:tc>
        <w:tc>
          <w:tcPr>
            <w:tcW w:w="3420" w:type="dxa"/>
            <w:gridSpan w:val="3"/>
            <w:tcBorders>
              <w:top w:val="single" w:sz="4" w:space="0" w:color="auto"/>
              <w:left w:val="double" w:sz="6" w:space="0" w:color="auto"/>
              <w:bottom w:val="single" w:sz="4" w:space="0" w:color="auto"/>
              <w:right w:val="double" w:sz="6" w:space="0" w:color="000000"/>
            </w:tcBorders>
            <w:shd w:val="clear" w:color="auto" w:fill="FFE599" w:themeFill="accent4" w:themeFillTint="66"/>
            <w:vAlign w:val="bottom"/>
            <w:hideMark/>
          </w:tcPr>
          <w:p w14:paraId="7D3B4ADA" w14:textId="3626EB44" w:rsidR="008C4509" w:rsidRPr="00A90633" w:rsidRDefault="008C4509" w:rsidP="008C4509">
            <w:pPr>
              <w:spacing w:line="240" w:lineRule="auto"/>
              <w:jc w:val="center"/>
              <w:rPr>
                <w:rFonts w:ascii="Franklin Gothic Medium" w:eastAsia="Times New Roman" w:hAnsi="Franklin Gothic Medium" w:cs="Calibri"/>
                <w:sz w:val="22"/>
              </w:rPr>
            </w:pPr>
            <w:r w:rsidRPr="00A90633">
              <w:rPr>
                <w:rFonts w:ascii="Franklin Gothic Medium" w:eastAsia="Times New Roman" w:hAnsi="Franklin Gothic Medium" w:cs="Calibri"/>
                <w:sz w:val="22"/>
              </w:rPr>
              <w:t>April - June 2020</w:t>
            </w:r>
            <w:r>
              <w:rPr>
                <w:rFonts w:ascii="Franklin Gothic Medium" w:eastAsia="Times New Roman" w:hAnsi="Franklin Gothic Medium" w:cs="Calibri"/>
                <w:sz w:val="22"/>
              </w:rPr>
              <w:t xml:space="preserve"> (Y3Q4)</w:t>
            </w:r>
          </w:p>
        </w:tc>
        <w:tc>
          <w:tcPr>
            <w:tcW w:w="3330" w:type="dxa"/>
            <w:gridSpan w:val="3"/>
            <w:tcBorders>
              <w:top w:val="single" w:sz="4" w:space="0" w:color="auto"/>
              <w:left w:val="nil"/>
              <w:bottom w:val="single" w:sz="4" w:space="0" w:color="auto"/>
              <w:right w:val="single" w:sz="8" w:space="0" w:color="000000"/>
            </w:tcBorders>
            <w:shd w:val="clear" w:color="auto" w:fill="FFE599" w:themeFill="accent4" w:themeFillTint="66"/>
            <w:noWrap/>
            <w:vAlign w:val="bottom"/>
            <w:hideMark/>
          </w:tcPr>
          <w:p w14:paraId="66B37F75" w14:textId="0C8F1EEA" w:rsidR="008C4509" w:rsidRPr="00A90633" w:rsidRDefault="008C4509" w:rsidP="00B45E1B">
            <w:pPr>
              <w:spacing w:line="240" w:lineRule="auto"/>
              <w:jc w:val="center"/>
              <w:rPr>
                <w:rFonts w:ascii="Calibri" w:eastAsia="Times New Roman" w:hAnsi="Calibri" w:cs="Calibri"/>
                <w:sz w:val="22"/>
              </w:rPr>
            </w:pPr>
            <w:r w:rsidRPr="00A90633">
              <w:rPr>
                <w:rFonts w:ascii="Franklin Gothic Medium" w:eastAsia="Times New Roman" w:hAnsi="Franklin Gothic Medium" w:cs="Calibri"/>
                <w:sz w:val="22"/>
              </w:rPr>
              <w:t>Ju</w:t>
            </w:r>
            <w:r w:rsidR="005D5F56">
              <w:rPr>
                <w:rFonts w:ascii="Franklin Gothic Medium" w:eastAsia="Times New Roman" w:hAnsi="Franklin Gothic Medium" w:cs="Calibri"/>
                <w:sz w:val="22"/>
              </w:rPr>
              <w:t>ly</w:t>
            </w:r>
            <w:r w:rsidR="00DF7BBC">
              <w:rPr>
                <w:rFonts w:ascii="Franklin Gothic Medium" w:eastAsia="Times New Roman" w:hAnsi="Franklin Gothic Medium" w:cs="Calibri"/>
                <w:sz w:val="22"/>
              </w:rPr>
              <w:t xml:space="preserve"> – </w:t>
            </w:r>
            <w:r w:rsidR="00B45E1B">
              <w:rPr>
                <w:rFonts w:ascii="Franklin Gothic Medium" w:eastAsia="Times New Roman" w:hAnsi="Franklin Gothic Medium" w:cs="Calibri"/>
                <w:sz w:val="22"/>
              </w:rPr>
              <w:t>December</w:t>
            </w:r>
            <w:r w:rsidR="00DF7BBC">
              <w:rPr>
                <w:rFonts w:ascii="Franklin Gothic Medium" w:eastAsia="Times New Roman" w:hAnsi="Franklin Gothic Medium" w:cs="Calibri"/>
                <w:sz w:val="22"/>
              </w:rPr>
              <w:t xml:space="preserve"> </w:t>
            </w:r>
            <w:r w:rsidRPr="00A90633">
              <w:rPr>
                <w:rFonts w:ascii="Franklin Gothic Medium" w:eastAsia="Times New Roman" w:hAnsi="Franklin Gothic Medium" w:cs="Calibri"/>
                <w:sz w:val="22"/>
              </w:rPr>
              <w:t>2020</w:t>
            </w:r>
            <w:r w:rsidR="00DF7BBC">
              <w:rPr>
                <w:rFonts w:ascii="Franklin Gothic Medium" w:eastAsia="Times New Roman" w:hAnsi="Franklin Gothic Medium" w:cs="Calibri"/>
                <w:sz w:val="22"/>
              </w:rPr>
              <w:t xml:space="preserve"> (Y4Q1</w:t>
            </w:r>
            <w:r w:rsidR="00B45E1B">
              <w:rPr>
                <w:rFonts w:ascii="Franklin Gothic Medium" w:eastAsia="Times New Roman" w:hAnsi="Franklin Gothic Medium" w:cs="Calibri"/>
                <w:sz w:val="22"/>
              </w:rPr>
              <w:t>-2</w:t>
            </w:r>
            <w:r>
              <w:rPr>
                <w:rFonts w:ascii="Franklin Gothic Medium" w:eastAsia="Times New Roman" w:hAnsi="Franklin Gothic Medium" w:cs="Calibri"/>
                <w:sz w:val="22"/>
              </w:rPr>
              <w:t>)</w:t>
            </w:r>
          </w:p>
        </w:tc>
      </w:tr>
      <w:tr w:rsidR="008C4509" w:rsidRPr="00A90633" w14:paraId="5D8CF397" w14:textId="77777777" w:rsidTr="007135F7">
        <w:trPr>
          <w:trHeight w:val="300"/>
          <w:tblHeader/>
          <w:jc w:val="center"/>
        </w:trPr>
        <w:tc>
          <w:tcPr>
            <w:tcW w:w="1170" w:type="dxa"/>
            <w:tcBorders>
              <w:top w:val="nil"/>
              <w:left w:val="single" w:sz="8" w:space="0" w:color="auto"/>
              <w:bottom w:val="single" w:sz="4" w:space="0" w:color="auto"/>
              <w:right w:val="nil"/>
            </w:tcBorders>
            <w:shd w:val="clear" w:color="auto" w:fill="FFE599" w:themeFill="accent4" w:themeFillTint="66"/>
            <w:vAlign w:val="center"/>
            <w:hideMark/>
          </w:tcPr>
          <w:p w14:paraId="6626D02A" w14:textId="77777777" w:rsidR="008C4509" w:rsidRPr="00A90633" w:rsidRDefault="008C4509" w:rsidP="008C4509">
            <w:pPr>
              <w:spacing w:line="240" w:lineRule="auto"/>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Region</w:t>
            </w:r>
          </w:p>
        </w:tc>
        <w:tc>
          <w:tcPr>
            <w:tcW w:w="1170" w:type="dxa"/>
            <w:tcBorders>
              <w:top w:val="nil"/>
              <w:left w:val="double" w:sz="6" w:space="0" w:color="auto"/>
              <w:bottom w:val="single" w:sz="4" w:space="0" w:color="auto"/>
              <w:right w:val="nil"/>
            </w:tcBorders>
            <w:shd w:val="clear" w:color="auto" w:fill="FFE599" w:themeFill="accent4" w:themeFillTint="66"/>
            <w:vAlign w:val="center"/>
            <w:hideMark/>
          </w:tcPr>
          <w:p w14:paraId="7A0CD2C4" w14:textId="5670BB49"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P</w:t>
            </w:r>
            <w:r>
              <w:rPr>
                <w:rFonts w:ascii="Franklin Gothic Medium" w:eastAsia="Times New Roman" w:hAnsi="Franklin Gothic Medium" w:cs="Calibri"/>
                <w:sz w:val="20"/>
                <w:szCs w:val="20"/>
              </w:rPr>
              <w:t>C</w:t>
            </w:r>
            <w:r w:rsidRPr="00A90633">
              <w:rPr>
                <w:rFonts w:ascii="Franklin Gothic Medium" w:eastAsia="Times New Roman" w:hAnsi="Franklin Gothic Medium" w:cs="Calibri"/>
                <w:sz w:val="20"/>
                <w:szCs w:val="20"/>
              </w:rPr>
              <w:t>Rs</w:t>
            </w:r>
          </w:p>
        </w:tc>
        <w:tc>
          <w:tcPr>
            <w:tcW w:w="1080" w:type="dxa"/>
            <w:tcBorders>
              <w:top w:val="nil"/>
              <w:left w:val="nil"/>
              <w:bottom w:val="single" w:sz="4" w:space="0" w:color="auto"/>
              <w:right w:val="nil"/>
            </w:tcBorders>
            <w:shd w:val="clear" w:color="auto" w:fill="FFE599" w:themeFill="accent4" w:themeFillTint="66"/>
            <w:vAlign w:val="center"/>
            <w:hideMark/>
          </w:tcPr>
          <w:p w14:paraId="58FE9E8A"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Indicators</w:t>
            </w:r>
          </w:p>
        </w:tc>
        <w:tc>
          <w:tcPr>
            <w:tcW w:w="1170" w:type="dxa"/>
            <w:tcBorders>
              <w:top w:val="nil"/>
              <w:left w:val="nil"/>
              <w:bottom w:val="single" w:sz="4" w:space="0" w:color="auto"/>
              <w:right w:val="double" w:sz="6" w:space="0" w:color="auto"/>
            </w:tcBorders>
            <w:shd w:val="clear" w:color="auto" w:fill="FFE599" w:themeFill="accent4" w:themeFillTint="66"/>
            <w:vAlign w:val="center"/>
            <w:hideMark/>
          </w:tcPr>
          <w:p w14:paraId="3B14FF5B"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Met</w:t>
            </w:r>
          </w:p>
        </w:tc>
        <w:tc>
          <w:tcPr>
            <w:tcW w:w="1080" w:type="dxa"/>
            <w:tcBorders>
              <w:top w:val="single" w:sz="4" w:space="0" w:color="auto"/>
              <w:left w:val="nil"/>
              <w:bottom w:val="single" w:sz="4" w:space="0" w:color="auto"/>
              <w:right w:val="nil"/>
            </w:tcBorders>
            <w:shd w:val="clear" w:color="auto" w:fill="FFE599" w:themeFill="accent4" w:themeFillTint="66"/>
            <w:vAlign w:val="center"/>
            <w:hideMark/>
          </w:tcPr>
          <w:p w14:paraId="2F951D20" w14:textId="2C937101"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P</w:t>
            </w:r>
            <w:r>
              <w:rPr>
                <w:rFonts w:ascii="Franklin Gothic Medium" w:eastAsia="Times New Roman" w:hAnsi="Franklin Gothic Medium" w:cs="Calibri"/>
                <w:sz w:val="20"/>
                <w:szCs w:val="20"/>
              </w:rPr>
              <w:t>C</w:t>
            </w:r>
            <w:r w:rsidRPr="00A90633">
              <w:rPr>
                <w:rFonts w:ascii="Franklin Gothic Medium" w:eastAsia="Times New Roman" w:hAnsi="Franklin Gothic Medium" w:cs="Calibri"/>
                <w:sz w:val="20"/>
                <w:szCs w:val="20"/>
              </w:rPr>
              <w:t>Rs</w:t>
            </w:r>
          </w:p>
        </w:tc>
        <w:tc>
          <w:tcPr>
            <w:tcW w:w="1080" w:type="dxa"/>
            <w:tcBorders>
              <w:top w:val="single" w:sz="4" w:space="0" w:color="auto"/>
              <w:left w:val="nil"/>
              <w:bottom w:val="single" w:sz="4" w:space="0" w:color="auto"/>
              <w:right w:val="nil"/>
            </w:tcBorders>
            <w:shd w:val="clear" w:color="auto" w:fill="FFE599" w:themeFill="accent4" w:themeFillTint="66"/>
            <w:vAlign w:val="center"/>
            <w:hideMark/>
          </w:tcPr>
          <w:p w14:paraId="068B3104"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Indicators</w:t>
            </w:r>
          </w:p>
        </w:tc>
        <w:tc>
          <w:tcPr>
            <w:tcW w:w="1170" w:type="dxa"/>
            <w:tcBorders>
              <w:top w:val="nil"/>
              <w:left w:val="nil"/>
              <w:bottom w:val="single" w:sz="4" w:space="0" w:color="auto"/>
              <w:right w:val="single" w:sz="8" w:space="0" w:color="auto"/>
            </w:tcBorders>
            <w:shd w:val="clear" w:color="auto" w:fill="FFE599" w:themeFill="accent4" w:themeFillTint="66"/>
            <w:vAlign w:val="center"/>
            <w:hideMark/>
          </w:tcPr>
          <w:p w14:paraId="24E41882"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Met</w:t>
            </w:r>
          </w:p>
        </w:tc>
      </w:tr>
      <w:tr w:rsidR="00B45E1B" w:rsidRPr="00A90633" w14:paraId="054E20DC" w14:textId="77777777" w:rsidTr="00B45E1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0369C2D3"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Northwest</w:t>
            </w:r>
          </w:p>
        </w:tc>
        <w:tc>
          <w:tcPr>
            <w:tcW w:w="1170" w:type="dxa"/>
            <w:tcBorders>
              <w:top w:val="single" w:sz="4" w:space="0" w:color="auto"/>
              <w:left w:val="double" w:sz="4" w:space="0" w:color="auto"/>
              <w:bottom w:val="single" w:sz="4" w:space="0" w:color="auto"/>
              <w:right w:val="nil"/>
            </w:tcBorders>
            <w:shd w:val="clear" w:color="auto" w:fill="auto"/>
            <w:vAlign w:val="bottom"/>
            <w:hideMark/>
          </w:tcPr>
          <w:p w14:paraId="0B63B966" w14:textId="11FE54F9"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w:t>
            </w:r>
          </w:p>
        </w:tc>
        <w:tc>
          <w:tcPr>
            <w:tcW w:w="1080" w:type="dxa"/>
            <w:tcBorders>
              <w:top w:val="nil"/>
              <w:left w:val="nil"/>
              <w:bottom w:val="single" w:sz="4" w:space="0" w:color="auto"/>
              <w:right w:val="nil"/>
            </w:tcBorders>
            <w:shd w:val="clear" w:color="auto" w:fill="auto"/>
            <w:vAlign w:val="bottom"/>
            <w:hideMark/>
          </w:tcPr>
          <w:p w14:paraId="0BCC3FFF" w14:textId="7C532D08"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14</w:t>
            </w:r>
          </w:p>
        </w:tc>
        <w:tc>
          <w:tcPr>
            <w:tcW w:w="1170" w:type="dxa"/>
            <w:tcBorders>
              <w:top w:val="nil"/>
              <w:left w:val="nil"/>
              <w:bottom w:val="single" w:sz="4" w:space="0" w:color="auto"/>
              <w:right w:val="double" w:sz="4" w:space="0" w:color="auto"/>
            </w:tcBorders>
            <w:shd w:val="clear" w:color="auto" w:fill="auto"/>
            <w:vAlign w:val="bottom"/>
            <w:hideMark/>
          </w:tcPr>
          <w:p w14:paraId="35BFC71F" w14:textId="23783E2A"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100%</w:t>
            </w:r>
          </w:p>
        </w:tc>
        <w:tc>
          <w:tcPr>
            <w:tcW w:w="1080" w:type="dxa"/>
            <w:tcBorders>
              <w:top w:val="single" w:sz="4" w:space="0" w:color="auto"/>
              <w:left w:val="double" w:sz="4" w:space="0" w:color="auto"/>
              <w:bottom w:val="single" w:sz="4" w:space="0" w:color="auto"/>
              <w:right w:val="nil"/>
            </w:tcBorders>
            <w:shd w:val="clear" w:color="auto" w:fill="auto"/>
            <w:noWrap/>
            <w:vAlign w:val="bottom"/>
          </w:tcPr>
          <w:p w14:paraId="1946AD8E" w14:textId="44455A5C"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2</w:t>
            </w:r>
          </w:p>
        </w:tc>
        <w:tc>
          <w:tcPr>
            <w:tcW w:w="1080" w:type="dxa"/>
            <w:tcBorders>
              <w:top w:val="nil"/>
              <w:left w:val="nil"/>
              <w:bottom w:val="single" w:sz="4" w:space="0" w:color="auto"/>
              <w:right w:val="nil"/>
            </w:tcBorders>
            <w:shd w:val="clear" w:color="auto" w:fill="auto"/>
            <w:noWrap/>
            <w:vAlign w:val="bottom"/>
          </w:tcPr>
          <w:p w14:paraId="477CEA64" w14:textId="662C67E2"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28</w:t>
            </w:r>
          </w:p>
        </w:tc>
        <w:tc>
          <w:tcPr>
            <w:tcW w:w="1170" w:type="dxa"/>
            <w:tcBorders>
              <w:top w:val="nil"/>
              <w:left w:val="nil"/>
              <w:bottom w:val="single" w:sz="4" w:space="0" w:color="auto"/>
              <w:right w:val="single" w:sz="8" w:space="0" w:color="auto"/>
            </w:tcBorders>
            <w:shd w:val="clear" w:color="auto" w:fill="auto"/>
            <w:noWrap/>
            <w:vAlign w:val="bottom"/>
          </w:tcPr>
          <w:p w14:paraId="1E38D4F3" w14:textId="2DADB1F9"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82.1%</w:t>
            </w:r>
          </w:p>
        </w:tc>
      </w:tr>
      <w:tr w:rsidR="00B45E1B" w:rsidRPr="00A90633" w14:paraId="2767113B" w14:textId="77777777" w:rsidTr="00B45E1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214F3C57"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Northeast</w:t>
            </w:r>
          </w:p>
        </w:tc>
        <w:tc>
          <w:tcPr>
            <w:tcW w:w="1170" w:type="dxa"/>
            <w:tcBorders>
              <w:top w:val="nil"/>
              <w:left w:val="double" w:sz="4" w:space="0" w:color="auto"/>
              <w:bottom w:val="single" w:sz="4" w:space="0" w:color="auto"/>
              <w:right w:val="nil"/>
            </w:tcBorders>
            <w:shd w:val="clear" w:color="auto" w:fill="auto"/>
            <w:vAlign w:val="bottom"/>
            <w:hideMark/>
          </w:tcPr>
          <w:p w14:paraId="77CA93B8" w14:textId="2758EAC9"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0</w:t>
            </w:r>
          </w:p>
        </w:tc>
        <w:tc>
          <w:tcPr>
            <w:tcW w:w="1080" w:type="dxa"/>
            <w:tcBorders>
              <w:top w:val="nil"/>
              <w:left w:val="nil"/>
              <w:bottom w:val="single" w:sz="4" w:space="0" w:color="auto"/>
              <w:right w:val="nil"/>
            </w:tcBorders>
            <w:shd w:val="clear" w:color="auto" w:fill="auto"/>
            <w:vAlign w:val="bottom"/>
            <w:hideMark/>
          </w:tcPr>
          <w:p w14:paraId="3191E9F0" w14:textId="76F2A0B5"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0</w:t>
            </w:r>
          </w:p>
        </w:tc>
        <w:tc>
          <w:tcPr>
            <w:tcW w:w="1170" w:type="dxa"/>
            <w:tcBorders>
              <w:top w:val="nil"/>
              <w:left w:val="nil"/>
              <w:bottom w:val="single" w:sz="4" w:space="0" w:color="auto"/>
              <w:right w:val="double" w:sz="4" w:space="0" w:color="auto"/>
            </w:tcBorders>
            <w:shd w:val="clear" w:color="auto" w:fill="auto"/>
            <w:vAlign w:val="bottom"/>
            <w:hideMark/>
          </w:tcPr>
          <w:p w14:paraId="45C86BD6" w14:textId="50F317DA"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NA</w:t>
            </w:r>
          </w:p>
        </w:tc>
        <w:tc>
          <w:tcPr>
            <w:tcW w:w="1080" w:type="dxa"/>
            <w:tcBorders>
              <w:top w:val="nil"/>
              <w:left w:val="double" w:sz="4" w:space="0" w:color="auto"/>
              <w:bottom w:val="single" w:sz="4" w:space="0" w:color="auto"/>
              <w:right w:val="nil"/>
            </w:tcBorders>
            <w:shd w:val="clear" w:color="auto" w:fill="auto"/>
            <w:noWrap/>
            <w:vAlign w:val="bottom"/>
          </w:tcPr>
          <w:p w14:paraId="34DDCDCE" w14:textId="5C40587C"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22</w:t>
            </w:r>
          </w:p>
        </w:tc>
        <w:tc>
          <w:tcPr>
            <w:tcW w:w="1080" w:type="dxa"/>
            <w:tcBorders>
              <w:top w:val="nil"/>
              <w:left w:val="nil"/>
              <w:bottom w:val="single" w:sz="4" w:space="0" w:color="auto"/>
              <w:right w:val="nil"/>
            </w:tcBorders>
            <w:shd w:val="clear" w:color="auto" w:fill="auto"/>
            <w:noWrap/>
            <w:vAlign w:val="bottom"/>
          </w:tcPr>
          <w:p w14:paraId="3C2D223E" w14:textId="451E5F02"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350</w:t>
            </w:r>
          </w:p>
        </w:tc>
        <w:tc>
          <w:tcPr>
            <w:tcW w:w="1170" w:type="dxa"/>
            <w:tcBorders>
              <w:top w:val="nil"/>
              <w:left w:val="nil"/>
              <w:bottom w:val="single" w:sz="4" w:space="0" w:color="auto"/>
              <w:right w:val="single" w:sz="8" w:space="0" w:color="auto"/>
            </w:tcBorders>
            <w:shd w:val="clear" w:color="auto" w:fill="auto"/>
            <w:noWrap/>
            <w:vAlign w:val="bottom"/>
          </w:tcPr>
          <w:p w14:paraId="2A87662A" w14:textId="174CA844"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88.3%</w:t>
            </w:r>
          </w:p>
        </w:tc>
      </w:tr>
      <w:tr w:rsidR="00B45E1B" w:rsidRPr="00A90633" w14:paraId="0FBA4288" w14:textId="77777777" w:rsidTr="00B45E1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380CD236"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Central</w:t>
            </w:r>
          </w:p>
        </w:tc>
        <w:tc>
          <w:tcPr>
            <w:tcW w:w="1170" w:type="dxa"/>
            <w:tcBorders>
              <w:top w:val="nil"/>
              <w:left w:val="double" w:sz="4" w:space="0" w:color="auto"/>
              <w:bottom w:val="single" w:sz="4" w:space="0" w:color="auto"/>
              <w:right w:val="nil"/>
            </w:tcBorders>
            <w:shd w:val="clear" w:color="auto" w:fill="auto"/>
            <w:vAlign w:val="bottom"/>
            <w:hideMark/>
          </w:tcPr>
          <w:p w14:paraId="5EE929EC" w14:textId="6E24944F"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23</w:t>
            </w:r>
          </w:p>
        </w:tc>
        <w:tc>
          <w:tcPr>
            <w:tcW w:w="1080" w:type="dxa"/>
            <w:tcBorders>
              <w:top w:val="nil"/>
              <w:left w:val="nil"/>
              <w:bottom w:val="single" w:sz="4" w:space="0" w:color="auto"/>
              <w:right w:val="nil"/>
            </w:tcBorders>
            <w:shd w:val="clear" w:color="auto" w:fill="auto"/>
            <w:vAlign w:val="bottom"/>
            <w:hideMark/>
          </w:tcPr>
          <w:p w14:paraId="31FA2770" w14:textId="064C7744"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365</w:t>
            </w:r>
          </w:p>
        </w:tc>
        <w:tc>
          <w:tcPr>
            <w:tcW w:w="1170" w:type="dxa"/>
            <w:tcBorders>
              <w:top w:val="nil"/>
              <w:left w:val="nil"/>
              <w:bottom w:val="single" w:sz="4" w:space="0" w:color="auto"/>
              <w:right w:val="double" w:sz="4" w:space="0" w:color="auto"/>
            </w:tcBorders>
            <w:shd w:val="clear" w:color="auto" w:fill="auto"/>
            <w:vAlign w:val="bottom"/>
            <w:hideMark/>
          </w:tcPr>
          <w:p w14:paraId="64C7D252" w14:textId="04A5B5F8"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95.6%</w:t>
            </w:r>
          </w:p>
        </w:tc>
        <w:tc>
          <w:tcPr>
            <w:tcW w:w="1080" w:type="dxa"/>
            <w:tcBorders>
              <w:top w:val="nil"/>
              <w:left w:val="double" w:sz="4" w:space="0" w:color="auto"/>
              <w:bottom w:val="single" w:sz="4" w:space="0" w:color="auto"/>
              <w:right w:val="nil"/>
            </w:tcBorders>
            <w:shd w:val="clear" w:color="auto" w:fill="auto"/>
            <w:noWrap/>
            <w:vAlign w:val="bottom"/>
          </w:tcPr>
          <w:p w14:paraId="60DC7D70" w14:textId="38BB3502"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22</w:t>
            </w:r>
          </w:p>
        </w:tc>
        <w:tc>
          <w:tcPr>
            <w:tcW w:w="1080" w:type="dxa"/>
            <w:tcBorders>
              <w:top w:val="nil"/>
              <w:left w:val="nil"/>
              <w:bottom w:val="single" w:sz="4" w:space="0" w:color="auto"/>
              <w:right w:val="nil"/>
            </w:tcBorders>
            <w:shd w:val="clear" w:color="auto" w:fill="auto"/>
            <w:noWrap/>
            <w:vAlign w:val="bottom"/>
          </w:tcPr>
          <w:p w14:paraId="05C50FE0" w14:textId="71ABF253"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352</w:t>
            </w:r>
          </w:p>
        </w:tc>
        <w:tc>
          <w:tcPr>
            <w:tcW w:w="1170" w:type="dxa"/>
            <w:tcBorders>
              <w:top w:val="nil"/>
              <w:left w:val="nil"/>
              <w:bottom w:val="single" w:sz="4" w:space="0" w:color="auto"/>
              <w:right w:val="single" w:sz="8" w:space="0" w:color="auto"/>
            </w:tcBorders>
            <w:shd w:val="clear" w:color="auto" w:fill="auto"/>
            <w:noWrap/>
            <w:vAlign w:val="bottom"/>
          </w:tcPr>
          <w:p w14:paraId="73FEC436" w14:textId="15575CA9"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98.9%</w:t>
            </w:r>
          </w:p>
        </w:tc>
      </w:tr>
      <w:tr w:rsidR="00B45E1B" w:rsidRPr="00A90633" w14:paraId="61AD5EAB" w14:textId="77777777" w:rsidTr="00B45E1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77971912"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Suncoast</w:t>
            </w:r>
          </w:p>
        </w:tc>
        <w:tc>
          <w:tcPr>
            <w:tcW w:w="1170" w:type="dxa"/>
            <w:tcBorders>
              <w:top w:val="nil"/>
              <w:left w:val="double" w:sz="4" w:space="0" w:color="auto"/>
              <w:bottom w:val="single" w:sz="4" w:space="0" w:color="auto"/>
              <w:right w:val="nil"/>
            </w:tcBorders>
            <w:shd w:val="clear" w:color="auto" w:fill="auto"/>
            <w:vAlign w:val="bottom"/>
            <w:hideMark/>
          </w:tcPr>
          <w:p w14:paraId="7AA9B42F" w14:textId="693A8AAF"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15</w:t>
            </w:r>
          </w:p>
        </w:tc>
        <w:tc>
          <w:tcPr>
            <w:tcW w:w="1080" w:type="dxa"/>
            <w:tcBorders>
              <w:top w:val="nil"/>
              <w:left w:val="nil"/>
              <w:bottom w:val="single" w:sz="4" w:space="0" w:color="auto"/>
              <w:right w:val="nil"/>
            </w:tcBorders>
            <w:shd w:val="clear" w:color="auto" w:fill="auto"/>
            <w:vAlign w:val="bottom"/>
            <w:hideMark/>
          </w:tcPr>
          <w:p w14:paraId="5B725799" w14:textId="1742D845"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243</w:t>
            </w:r>
          </w:p>
        </w:tc>
        <w:tc>
          <w:tcPr>
            <w:tcW w:w="1170" w:type="dxa"/>
            <w:tcBorders>
              <w:top w:val="nil"/>
              <w:left w:val="nil"/>
              <w:bottom w:val="single" w:sz="4" w:space="0" w:color="auto"/>
              <w:right w:val="double" w:sz="4" w:space="0" w:color="auto"/>
            </w:tcBorders>
            <w:shd w:val="clear" w:color="auto" w:fill="auto"/>
            <w:vAlign w:val="bottom"/>
            <w:hideMark/>
          </w:tcPr>
          <w:p w14:paraId="4C977168" w14:textId="2531A62D"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87.2%</w:t>
            </w:r>
          </w:p>
        </w:tc>
        <w:tc>
          <w:tcPr>
            <w:tcW w:w="1080" w:type="dxa"/>
            <w:tcBorders>
              <w:top w:val="nil"/>
              <w:left w:val="double" w:sz="4" w:space="0" w:color="auto"/>
              <w:bottom w:val="single" w:sz="4" w:space="0" w:color="auto"/>
              <w:right w:val="nil"/>
            </w:tcBorders>
            <w:shd w:val="clear" w:color="auto" w:fill="auto"/>
            <w:noWrap/>
            <w:vAlign w:val="bottom"/>
          </w:tcPr>
          <w:p w14:paraId="68E6810A" w14:textId="2B553DC2"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8</w:t>
            </w:r>
          </w:p>
        </w:tc>
        <w:tc>
          <w:tcPr>
            <w:tcW w:w="1080" w:type="dxa"/>
            <w:tcBorders>
              <w:top w:val="nil"/>
              <w:left w:val="nil"/>
              <w:bottom w:val="single" w:sz="4" w:space="0" w:color="auto"/>
              <w:right w:val="nil"/>
            </w:tcBorders>
            <w:shd w:val="clear" w:color="auto" w:fill="auto"/>
            <w:noWrap/>
            <w:vAlign w:val="bottom"/>
          </w:tcPr>
          <w:p w14:paraId="6DF149CD" w14:textId="7613EFE0"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117</w:t>
            </w:r>
          </w:p>
        </w:tc>
        <w:tc>
          <w:tcPr>
            <w:tcW w:w="1170" w:type="dxa"/>
            <w:tcBorders>
              <w:top w:val="nil"/>
              <w:left w:val="nil"/>
              <w:bottom w:val="single" w:sz="4" w:space="0" w:color="auto"/>
              <w:right w:val="single" w:sz="8" w:space="0" w:color="auto"/>
            </w:tcBorders>
            <w:shd w:val="clear" w:color="auto" w:fill="auto"/>
            <w:noWrap/>
            <w:vAlign w:val="bottom"/>
          </w:tcPr>
          <w:p w14:paraId="5CA93043" w14:textId="01152A4F"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89.7%</w:t>
            </w:r>
          </w:p>
        </w:tc>
      </w:tr>
      <w:tr w:rsidR="00B45E1B" w:rsidRPr="00A90633" w14:paraId="4313C07B" w14:textId="77777777" w:rsidTr="00B45E1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5315A847"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Southeast</w:t>
            </w:r>
          </w:p>
        </w:tc>
        <w:tc>
          <w:tcPr>
            <w:tcW w:w="1170" w:type="dxa"/>
            <w:tcBorders>
              <w:top w:val="nil"/>
              <w:left w:val="double" w:sz="4" w:space="0" w:color="auto"/>
              <w:bottom w:val="single" w:sz="4" w:space="0" w:color="auto"/>
              <w:right w:val="nil"/>
            </w:tcBorders>
            <w:shd w:val="clear" w:color="auto" w:fill="auto"/>
            <w:vAlign w:val="bottom"/>
            <w:hideMark/>
          </w:tcPr>
          <w:p w14:paraId="00E583B0" w14:textId="0BD638F2"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10</w:t>
            </w:r>
          </w:p>
        </w:tc>
        <w:tc>
          <w:tcPr>
            <w:tcW w:w="1080" w:type="dxa"/>
            <w:tcBorders>
              <w:top w:val="nil"/>
              <w:left w:val="nil"/>
              <w:bottom w:val="single" w:sz="4" w:space="0" w:color="auto"/>
              <w:right w:val="nil"/>
            </w:tcBorders>
            <w:shd w:val="clear" w:color="auto" w:fill="auto"/>
            <w:vAlign w:val="bottom"/>
            <w:hideMark/>
          </w:tcPr>
          <w:p w14:paraId="7FF9ACE2" w14:textId="7B8C7BD3"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153</w:t>
            </w:r>
          </w:p>
        </w:tc>
        <w:tc>
          <w:tcPr>
            <w:tcW w:w="1170" w:type="dxa"/>
            <w:tcBorders>
              <w:top w:val="nil"/>
              <w:left w:val="nil"/>
              <w:bottom w:val="single" w:sz="4" w:space="0" w:color="auto"/>
              <w:right w:val="double" w:sz="4" w:space="0" w:color="auto"/>
            </w:tcBorders>
            <w:shd w:val="clear" w:color="auto" w:fill="auto"/>
            <w:vAlign w:val="bottom"/>
            <w:hideMark/>
          </w:tcPr>
          <w:p w14:paraId="286A51EA" w14:textId="152C70BE"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94.8%</w:t>
            </w:r>
          </w:p>
        </w:tc>
        <w:tc>
          <w:tcPr>
            <w:tcW w:w="1080" w:type="dxa"/>
            <w:tcBorders>
              <w:top w:val="nil"/>
              <w:left w:val="double" w:sz="4" w:space="0" w:color="auto"/>
              <w:bottom w:val="single" w:sz="4" w:space="0" w:color="auto"/>
              <w:right w:val="nil"/>
            </w:tcBorders>
            <w:shd w:val="clear" w:color="auto" w:fill="auto"/>
            <w:noWrap/>
            <w:vAlign w:val="bottom"/>
          </w:tcPr>
          <w:p w14:paraId="11D54E1C" w14:textId="28B388B7"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17</w:t>
            </w:r>
          </w:p>
        </w:tc>
        <w:tc>
          <w:tcPr>
            <w:tcW w:w="1080" w:type="dxa"/>
            <w:tcBorders>
              <w:top w:val="nil"/>
              <w:left w:val="nil"/>
              <w:bottom w:val="single" w:sz="4" w:space="0" w:color="auto"/>
              <w:right w:val="nil"/>
            </w:tcBorders>
            <w:shd w:val="clear" w:color="auto" w:fill="auto"/>
            <w:noWrap/>
            <w:vAlign w:val="bottom"/>
          </w:tcPr>
          <w:p w14:paraId="3F224251" w14:textId="1F437AD4"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282</w:t>
            </w:r>
          </w:p>
        </w:tc>
        <w:tc>
          <w:tcPr>
            <w:tcW w:w="1170" w:type="dxa"/>
            <w:tcBorders>
              <w:top w:val="nil"/>
              <w:left w:val="nil"/>
              <w:bottom w:val="single" w:sz="4" w:space="0" w:color="auto"/>
              <w:right w:val="single" w:sz="8" w:space="0" w:color="auto"/>
            </w:tcBorders>
            <w:shd w:val="clear" w:color="auto" w:fill="auto"/>
            <w:noWrap/>
            <w:vAlign w:val="bottom"/>
          </w:tcPr>
          <w:p w14:paraId="2056F578" w14:textId="6713EC47"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93.3%</w:t>
            </w:r>
          </w:p>
        </w:tc>
      </w:tr>
      <w:tr w:rsidR="00B45E1B" w:rsidRPr="00A90633" w14:paraId="75B64577" w14:textId="77777777" w:rsidTr="00B45E1B">
        <w:trPr>
          <w:trHeight w:val="315"/>
          <w:jc w:val="center"/>
        </w:trPr>
        <w:tc>
          <w:tcPr>
            <w:tcW w:w="1170" w:type="dxa"/>
            <w:tcBorders>
              <w:top w:val="nil"/>
              <w:left w:val="single" w:sz="8" w:space="0" w:color="auto"/>
              <w:bottom w:val="double" w:sz="6" w:space="0" w:color="auto"/>
              <w:right w:val="double" w:sz="4" w:space="0" w:color="auto"/>
            </w:tcBorders>
            <w:shd w:val="clear" w:color="auto" w:fill="auto"/>
            <w:vAlign w:val="center"/>
            <w:hideMark/>
          </w:tcPr>
          <w:p w14:paraId="67CBF7E3" w14:textId="77777777" w:rsidR="00B45E1B" w:rsidRPr="00A90633" w:rsidRDefault="00B45E1B" w:rsidP="00B45E1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Southern</w:t>
            </w:r>
          </w:p>
        </w:tc>
        <w:tc>
          <w:tcPr>
            <w:tcW w:w="1170" w:type="dxa"/>
            <w:tcBorders>
              <w:top w:val="nil"/>
              <w:left w:val="double" w:sz="4" w:space="0" w:color="auto"/>
              <w:bottom w:val="double" w:sz="6" w:space="0" w:color="auto"/>
              <w:right w:val="nil"/>
            </w:tcBorders>
            <w:shd w:val="clear" w:color="auto" w:fill="auto"/>
            <w:vAlign w:val="bottom"/>
            <w:hideMark/>
          </w:tcPr>
          <w:p w14:paraId="16F1AB11" w14:textId="1502C2BC"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10</w:t>
            </w:r>
          </w:p>
        </w:tc>
        <w:tc>
          <w:tcPr>
            <w:tcW w:w="1080" w:type="dxa"/>
            <w:tcBorders>
              <w:top w:val="nil"/>
              <w:left w:val="nil"/>
              <w:bottom w:val="double" w:sz="6" w:space="0" w:color="auto"/>
              <w:right w:val="nil"/>
            </w:tcBorders>
            <w:shd w:val="clear" w:color="auto" w:fill="auto"/>
            <w:vAlign w:val="bottom"/>
            <w:hideMark/>
          </w:tcPr>
          <w:p w14:paraId="503C585B" w14:textId="515968E7"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163</w:t>
            </w:r>
          </w:p>
        </w:tc>
        <w:tc>
          <w:tcPr>
            <w:tcW w:w="1170" w:type="dxa"/>
            <w:tcBorders>
              <w:top w:val="single" w:sz="4" w:space="0" w:color="auto"/>
              <w:left w:val="nil"/>
              <w:bottom w:val="double" w:sz="6" w:space="0" w:color="auto"/>
              <w:right w:val="double" w:sz="4" w:space="0" w:color="auto"/>
            </w:tcBorders>
            <w:shd w:val="clear" w:color="auto" w:fill="auto"/>
            <w:vAlign w:val="bottom"/>
            <w:hideMark/>
          </w:tcPr>
          <w:p w14:paraId="36168934" w14:textId="7FA82BAC" w:rsidR="00B45E1B" w:rsidRPr="008C4509" w:rsidRDefault="00B45E1B" w:rsidP="00B45E1B">
            <w:pPr>
              <w:spacing w:line="240" w:lineRule="auto"/>
              <w:jc w:val="center"/>
              <w:rPr>
                <w:rFonts w:ascii="Calibri" w:eastAsia="Times New Roman" w:hAnsi="Calibri" w:cs="Calibri"/>
                <w:color w:val="000000"/>
                <w:sz w:val="20"/>
                <w:szCs w:val="20"/>
              </w:rPr>
            </w:pPr>
            <w:r w:rsidRPr="008C4509">
              <w:rPr>
                <w:rFonts w:ascii="Calibri" w:eastAsia="Times New Roman" w:hAnsi="Calibri" w:cs="Calibri"/>
                <w:color w:val="000000"/>
                <w:sz w:val="20"/>
                <w:szCs w:val="20"/>
              </w:rPr>
              <w:t>96.3%</w:t>
            </w:r>
          </w:p>
        </w:tc>
        <w:tc>
          <w:tcPr>
            <w:tcW w:w="1080" w:type="dxa"/>
            <w:tcBorders>
              <w:top w:val="nil"/>
              <w:left w:val="double" w:sz="4" w:space="0" w:color="auto"/>
              <w:bottom w:val="double" w:sz="6" w:space="0" w:color="auto"/>
              <w:right w:val="nil"/>
            </w:tcBorders>
            <w:shd w:val="clear" w:color="auto" w:fill="auto"/>
            <w:noWrap/>
            <w:vAlign w:val="bottom"/>
          </w:tcPr>
          <w:p w14:paraId="199A6A2F" w14:textId="67563FA2"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12</w:t>
            </w:r>
          </w:p>
        </w:tc>
        <w:tc>
          <w:tcPr>
            <w:tcW w:w="1080" w:type="dxa"/>
            <w:tcBorders>
              <w:top w:val="nil"/>
              <w:left w:val="nil"/>
              <w:bottom w:val="double" w:sz="6" w:space="0" w:color="auto"/>
              <w:right w:val="nil"/>
            </w:tcBorders>
            <w:shd w:val="clear" w:color="auto" w:fill="auto"/>
            <w:noWrap/>
            <w:vAlign w:val="bottom"/>
          </w:tcPr>
          <w:p w14:paraId="53E83BD4" w14:textId="7BE6DE9C" w:rsidR="00B45E1B" w:rsidRPr="00B45E1B" w:rsidRDefault="00B45E1B" w:rsidP="00B45E1B">
            <w:pPr>
              <w:spacing w:line="240" w:lineRule="auto"/>
              <w:jc w:val="center"/>
              <w:rPr>
                <w:rFonts w:ascii="Calibri" w:eastAsia="Times New Roman" w:hAnsi="Calibri" w:cs="Calibri"/>
                <w:color w:val="000000"/>
                <w:sz w:val="20"/>
                <w:szCs w:val="20"/>
              </w:rPr>
            </w:pPr>
            <w:r w:rsidRPr="00B45E1B">
              <w:rPr>
                <w:rFonts w:ascii="Calibri" w:eastAsia="Times New Roman" w:hAnsi="Calibri" w:cs="Calibri"/>
                <w:color w:val="000000"/>
                <w:sz w:val="20"/>
                <w:szCs w:val="20"/>
              </w:rPr>
              <w:t>186</w:t>
            </w:r>
          </w:p>
        </w:tc>
        <w:tc>
          <w:tcPr>
            <w:tcW w:w="1170" w:type="dxa"/>
            <w:tcBorders>
              <w:top w:val="single" w:sz="4" w:space="0" w:color="auto"/>
              <w:left w:val="nil"/>
              <w:bottom w:val="double" w:sz="6" w:space="0" w:color="auto"/>
              <w:right w:val="single" w:sz="8" w:space="0" w:color="auto"/>
            </w:tcBorders>
            <w:shd w:val="clear" w:color="auto" w:fill="auto"/>
            <w:noWrap/>
            <w:vAlign w:val="bottom"/>
          </w:tcPr>
          <w:p w14:paraId="0F4C1B0C" w14:textId="29FFFC43" w:rsidR="00B45E1B" w:rsidRPr="00B45E1B" w:rsidRDefault="00B45E1B" w:rsidP="00B45E1B">
            <w:pPr>
              <w:spacing w:line="240" w:lineRule="auto"/>
              <w:jc w:val="center"/>
              <w:rPr>
                <w:rFonts w:asciiTheme="minorHAnsi" w:eastAsia="Times New Roman" w:hAnsiTheme="minorHAnsi" w:cstheme="minorHAnsi"/>
                <w:color w:val="000000"/>
                <w:sz w:val="20"/>
                <w:szCs w:val="20"/>
              </w:rPr>
            </w:pPr>
            <w:r w:rsidRPr="00B45E1B">
              <w:rPr>
                <w:rFonts w:asciiTheme="minorHAnsi" w:hAnsiTheme="minorHAnsi"/>
                <w:sz w:val="20"/>
              </w:rPr>
              <w:t>93.0%</w:t>
            </w:r>
          </w:p>
        </w:tc>
      </w:tr>
      <w:tr w:rsidR="00B45E1B" w:rsidRPr="00A90633" w14:paraId="74A3F691" w14:textId="77777777" w:rsidTr="00B45E1B">
        <w:trPr>
          <w:trHeight w:val="330"/>
          <w:jc w:val="center"/>
        </w:trPr>
        <w:tc>
          <w:tcPr>
            <w:tcW w:w="1170" w:type="dxa"/>
            <w:tcBorders>
              <w:top w:val="nil"/>
              <w:left w:val="single" w:sz="8" w:space="0" w:color="auto"/>
              <w:bottom w:val="single" w:sz="8" w:space="0" w:color="auto"/>
              <w:right w:val="double" w:sz="4" w:space="0" w:color="auto"/>
            </w:tcBorders>
            <w:shd w:val="clear" w:color="auto" w:fill="auto"/>
            <w:vAlign w:val="center"/>
            <w:hideMark/>
          </w:tcPr>
          <w:p w14:paraId="6C93E994" w14:textId="77777777" w:rsidR="00B45E1B" w:rsidRPr="00A90633" w:rsidRDefault="00B45E1B" w:rsidP="00B45E1B">
            <w:pPr>
              <w:spacing w:line="240" w:lineRule="auto"/>
              <w:jc w:val="center"/>
              <w:rPr>
                <w:rFonts w:ascii="Calibri" w:eastAsia="Times New Roman" w:hAnsi="Calibri" w:cs="Calibri"/>
                <w:b/>
                <w:bCs/>
                <w:color w:val="000000"/>
                <w:sz w:val="20"/>
                <w:szCs w:val="20"/>
              </w:rPr>
            </w:pPr>
            <w:r w:rsidRPr="00A90633">
              <w:rPr>
                <w:rFonts w:ascii="Calibri" w:eastAsia="Times New Roman" w:hAnsi="Calibri" w:cs="Calibri"/>
                <w:b/>
                <w:bCs/>
                <w:color w:val="000000"/>
                <w:sz w:val="20"/>
                <w:szCs w:val="20"/>
              </w:rPr>
              <w:t>State</w:t>
            </w:r>
          </w:p>
        </w:tc>
        <w:tc>
          <w:tcPr>
            <w:tcW w:w="1170" w:type="dxa"/>
            <w:tcBorders>
              <w:top w:val="nil"/>
              <w:left w:val="double" w:sz="4" w:space="0" w:color="auto"/>
              <w:bottom w:val="single" w:sz="8" w:space="0" w:color="auto"/>
              <w:right w:val="nil"/>
            </w:tcBorders>
            <w:shd w:val="clear" w:color="auto" w:fill="auto"/>
            <w:vAlign w:val="bottom"/>
            <w:hideMark/>
          </w:tcPr>
          <w:p w14:paraId="0174BCA5" w14:textId="2FF9F33D" w:rsidR="00B45E1B" w:rsidRPr="008C4509" w:rsidRDefault="00B45E1B" w:rsidP="00B45E1B">
            <w:pPr>
              <w:spacing w:line="240" w:lineRule="auto"/>
              <w:jc w:val="center"/>
              <w:rPr>
                <w:rFonts w:ascii="Calibri" w:eastAsia="Times New Roman" w:hAnsi="Calibri" w:cs="Calibri"/>
                <w:b/>
                <w:bCs/>
                <w:color w:val="000000"/>
                <w:sz w:val="20"/>
                <w:szCs w:val="20"/>
              </w:rPr>
            </w:pPr>
            <w:r w:rsidRPr="008C4509">
              <w:rPr>
                <w:rFonts w:ascii="Calibri" w:eastAsia="Times New Roman" w:hAnsi="Calibri" w:cs="Calibri"/>
                <w:b/>
                <w:bCs/>
                <w:color w:val="000000"/>
                <w:sz w:val="20"/>
                <w:szCs w:val="20"/>
              </w:rPr>
              <w:t>59</w:t>
            </w:r>
          </w:p>
        </w:tc>
        <w:tc>
          <w:tcPr>
            <w:tcW w:w="1080" w:type="dxa"/>
            <w:tcBorders>
              <w:top w:val="nil"/>
              <w:left w:val="nil"/>
              <w:bottom w:val="single" w:sz="8" w:space="0" w:color="auto"/>
              <w:right w:val="nil"/>
            </w:tcBorders>
            <w:shd w:val="clear" w:color="auto" w:fill="auto"/>
            <w:vAlign w:val="bottom"/>
            <w:hideMark/>
          </w:tcPr>
          <w:p w14:paraId="7675AC60" w14:textId="35F1E7D9" w:rsidR="00B45E1B" w:rsidRPr="008C4509" w:rsidRDefault="00B45E1B" w:rsidP="00B45E1B">
            <w:pPr>
              <w:spacing w:line="240" w:lineRule="auto"/>
              <w:jc w:val="center"/>
              <w:rPr>
                <w:rFonts w:ascii="Calibri" w:eastAsia="Times New Roman" w:hAnsi="Calibri" w:cs="Calibri"/>
                <w:b/>
                <w:bCs/>
                <w:color w:val="000000"/>
                <w:sz w:val="20"/>
                <w:szCs w:val="20"/>
              </w:rPr>
            </w:pPr>
            <w:r w:rsidRPr="008C4509">
              <w:rPr>
                <w:rFonts w:ascii="Calibri" w:eastAsia="Times New Roman" w:hAnsi="Calibri" w:cs="Calibri"/>
                <w:b/>
                <w:bCs/>
                <w:color w:val="000000"/>
                <w:sz w:val="20"/>
                <w:szCs w:val="20"/>
              </w:rPr>
              <w:t>938</w:t>
            </w:r>
          </w:p>
        </w:tc>
        <w:tc>
          <w:tcPr>
            <w:tcW w:w="1170" w:type="dxa"/>
            <w:tcBorders>
              <w:top w:val="nil"/>
              <w:left w:val="nil"/>
              <w:bottom w:val="single" w:sz="8" w:space="0" w:color="auto"/>
              <w:right w:val="double" w:sz="4" w:space="0" w:color="auto"/>
            </w:tcBorders>
            <w:shd w:val="clear" w:color="auto" w:fill="auto"/>
            <w:vAlign w:val="bottom"/>
            <w:hideMark/>
          </w:tcPr>
          <w:p w14:paraId="1B62E60D" w14:textId="7DF30C7C" w:rsidR="00B45E1B" w:rsidRPr="008C4509" w:rsidRDefault="00B45E1B" w:rsidP="00B45E1B">
            <w:pPr>
              <w:spacing w:line="240" w:lineRule="auto"/>
              <w:jc w:val="center"/>
              <w:rPr>
                <w:rFonts w:ascii="Calibri" w:eastAsia="Times New Roman" w:hAnsi="Calibri" w:cs="Calibri"/>
                <w:b/>
                <w:bCs/>
                <w:color w:val="000000"/>
                <w:sz w:val="20"/>
                <w:szCs w:val="20"/>
              </w:rPr>
            </w:pPr>
            <w:r w:rsidRPr="008C4509">
              <w:rPr>
                <w:rFonts w:ascii="Calibri" w:eastAsia="Times New Roman" w:hAnsi="Calibri" w:cs="Calibri"/>
                <w:b/>
                <w:bCs/>
                <w:color w:val="000000"/>
                <w:sz w:val="20"/>
                <w:szCs w:val="20"/>
              </w:rPr>
              <w:t>93.5%</w:t>
            </w:r>
          </w:p>
        </w:tc>
        <w:tc>
          <w:tcPr>
            <w:tcW w:w="1080" w:type="dxa"/>
            <w:tcBorders>
              <w:top w:val="nil"/>
              <w:left w:val="double" w:sz="4" w:space="0" w:color="auto"/>
              <w:bottom w:val="single" w:sz="8" w:space="0" w:color="auto"/>
              <w:right w:val="nil"/>
            </w:tcBorders>
            <w:shd w:val="clear" w:color="auto" w:fill="auto"/>
            <w:noWrap/>
            <w:vAlign w:val="bottom"/>
          </w:tcPr>
          <w:p w14:paraId="3C203373" w14:textId="4AF05B40" w:rsidR="00B45E1B" w:rsidRPr="00B45E1B" w:rsidRDefault="00B45E1B" w:rsidP="00B45E1B">
            <w:pPr>
              <w:spacing w:line="240" w:lineRule="auto"/>
              <w:jc w:val="center"/>
              <w:rPr>
                <w:rFonts w:ascii="Calibri" w:eastAsia="Times New Roman" w:hAnsi="Calibri" w:cs="Calibri"/>
                <w:b/>
                <w:color w:val="000000"/>
                <w:sz w:val="20"/>
                <w:szCs w:val="20"/>
              </w:rPr>
            </w:pPr>
            <w:r w:rsidRPr="00B45E1B">
              <w:rPr>
                <w:rFonts w:ascii="Calibri" w:eastAsia="Times New Roman" w:hAnsi="Calibri" w:cs="Calibri"/>
                <w:b/>
                <w:color w:val="000000"/>
                <w:sz w:val="20"/>
                <w:szCs w:val="20"/>
              </w:rPr>
              <w:t>83</w:t>
            </w:r>
          </w:p>
        </w:tc>
        <w:tc>
          <w:tcPr>
            <w:tcW w:w="1080" w:type="dxa"/>
            <w:tcBorders>
              <w:top w:val="nil"/>
              <w:left w:val="nil"/>
              <w:bottom w:val="single" w:sz="8" w:space="0" w:color="auto"/>
              <w:right w:val="nil"/>
            </w:tcBorders>
            <w:shd w:val="clear" w:color="auto" w:fill="auto"/>
            <w:noWrap/>
            <w:vAlign w:val="bottom"/>
          </w:tcPr>
          <w:p w14:paraId="3A629B7E" w14:textId="6BE1DDAC" w:rsidR="00B45E1B" w:rsidRPr="00B45E1B" w:rsidRDefault="00B45E1B" w:rsidP="00B45E1B">
            <w:pPr>
              <w:spacing w:line="240" w:lineRule="auto"/>
              <w:jc w:val="center"/>
              <w:rPr>
                <w:rFonts w:ascii="Calibri" w:eastAsia="Times New Roman" w:hAnsi="Calibri" w:cs="Calibri"/>
                <w:b/>
                <w:color w:val="000000"/>
                <w:sz w:val="20"/>
                <w:szCs w:val="20"/>
              </w:rPr>
            </w:pPr>
            <w:r w:rsidRPr="00B45E1B">
              <w:rPr>
                <w:rFonts w:ascii="Calibri" w:eastAsia="Times New Roman" w:hAnsi="Calibri" w:cs="Calibri"/>
                <w:b/>
                <w:color w:val="000000"/>
                <w:sz w:val="20"/>
                <w:szCs w:val="20"/>
              </w:rPr>
              <w:t>1,315</w:t>
            </w:r>
          </w:p>
        </w:tc>
        <w:tc>
          <w:tcPr>
            <w:tcW w:w="1170" w:type="dxa"/>
            <w:tcBorders>
              <w:top w:val="nil"/>
              <w:left w:val="nil"/>
              <w:bottom w:val="single" w:sz="8" w:space="0" w:color="auto"/>
              <w:right w:val="single" w:sz="8" w:space="0" w:color="auto"/>
            </w:tcBorders>
            <w:shd w:val="clear" w:color="auto" w:fill="auto"/>
            <w:noWrap/>
            <w:vAlign w:val="bottom"/>
          </w:tcPr>
          <w:p w14:paraId="73F40D02" w14:textId="4FECE3ED" w:rsidR="00B45E1B" w:rsidRPr="00B45E1B" w:rsidRDefault="00B45E1B" w:rsidP="00B45E1B">
            <w:pPr>
              <w:spacing w:line="240" w:lineRule="auto"/>
              <w:jc w:val="center"/>
              <w:rPr>
                <w:rFonts w:asciiTheme="minorHAnsi" w:eastAsia="Times New Roman" w:hAnsiTheme="minorHAnsi" w:cstheme="minorHAnsi"/>
                <w:b/>
                <w:bCs/>
                <w:color w:val="000000"/>
                <w:sz w:val="20"/>
                <w:szCs w:val="20"/>
              </w:rPr>
            </w:pPr>
            <w:r w:rsidRPr="00B45E1B">
              <w:rPr>
                <w:rFonts w:asciiTheme="minorHAnsi" w:hAnsiTheme="minorHAnsi"/>
                <w:b/>
                <w:sz w:val="20"/>
              </w:rPr>
              <w:t>92.9%</w:t>
            </w:r>
          </w:p>
        </w:tc>
      </w:tr>
    </w:tbl>
    <w:p w14:paraId="772AF81C" w14:textId="1C0F1096" w:rsidR="00956AE3" w:rsidRDefault="00956AE3" w:rsidP="007135F7">
      <w:pPr>
        <w:pStyle w:val="ListParagraph"/>
        <w:spacing w:line="240" w:lineRule="auto"/>
        <w:ind w:left="0"/>
      </w:pPr>
      <w:r>
        <w:br w:type="textWrapping" w:clear="all"/>
      </w:r>
    </w:p>
    <w:p w14:paraId="08FC1054" w14:textId="77777777" w:rsidR="007135F7" w:rsidRDefault="007135F7" w:rsidP="007135F7">
      <w:pPr>
        <w:pStyle w:val="ListParagraph"/>
        <w:spacing w:line="240" w:lineRule="auto"/>
        <w:ind w:left="0"/>
      </w:pPr>
    </w:p>
    <w:tbl>
      <w:tblPr>
        <w:tblW w:w="9360" w:type="dxa"/>
        <w:tblInd w:w="-10" w:type="dxa"/>
        <w:tblLook w:val="04A0" w:firstRow="1" w:lastRow="0" w:firstColumn="1" w:lastColumn="0" w:noHBand="0" w:noVBand="1"/>
      </w:tblPr>
      <w:tblGrid>
        <w:gridCol w:w="5130"/>
        <w:gridCol w:w="990"/>
        <w:gridCol w:w="1260"/>
        <w:gridCol w:w="990"/>
        <w:gridCol w:w="990"/>
      </w:tblGrid>
      <w:tr w:rsidR="00CC6A11" w:rsidRPr="00CC6A11" w14:paraId="01C56794" w14:textId="77777777" w:rsidTr="00D401E4">
        <w:trPr>
          <w:trHeight w:val="360"/>
          <w:tblHeader/>
        </w:trPr>
        <w:tc>
          <w:tcPr>
            <w:tcW w:w="9360" w:type="dxa"/>
            <w:gridSpan w:val="5"/>
            <w:tcBorders>
              <w:top w:val="single" w:sz="8" w:space="0" w:color="auto"/>
              <w:left w:val="single" w:sz="8" w:space="0" w:color="auto"/>
              <w:bottom w:val="single" w:sz="4" w:space="0" w:color="auto"/>
              <w:right w:val="single" w:sz="8" w:space="0" w:color="000000"/>
            </w:tcBorders>
            <w:shd w:val="clear" w:color="000000" w:fill="215967"/>
            <w:noWrap/>
            <w:vAlign w:val="center"/>
            <w:hideMark/>
          </w:tcPr>
          <w:p w14:paraId="0DFEC482" w14:textId="469E0403" w:rsidR="00CC6A11" w:rsidRPr="00CC6A11" w:rsidRDefault="00CC6A11" w:rsidP="00D31F50">
            <w:pPr>
              <w:spacing w:line="240" w:lineRule="auto"/>
              <w:jc w:val="center"/>
              <w:rPr>
                <w:rFonts w:ascii="Franklin Gothic Medium" w:eastAsia="Times New Roman" w:hAnsi="Franklin Gothic Medium" w:cs="Calibri"/>
                <w:color w:val="FFFFFF"/>
                <w:sz w:val="22"/>
              </w:rPr>
            </w:pPr>
            <w:bookmarkStart w:id="39" w:name="_Toc369864677"/>
            <w:r w:rsidRPr="00CC6A11">
              <w:rPr>
                <w:rFonts w:ascii="Franklin Gothic Medium" w:eastAsia="Times New Roman" w:hAnsi="Franklin Gothic Medium" w:cs="Calibri"/>
                <w:color w:val="FFFFFF"/>
                <w:sz w:val="22"/>
              </w:rPr>
              <w:t>Table 1</w:t>
            </w:r>
            <w:r w:rsidR="00AD44E4">
              <w:rPr>
                <w:rFonts w:ascii="Franklin Gothic Medium" w:eastAsia="Times New Roman" w:hAnsi="Franklin Gothic Medium" w:cs="Calibri"/>
                <w:color w:val="FFFFFF"/>
                <w:sz w:val="22"/>
              </w:rPr>
              <w:t>1</w:t>
            </w:r>
            <w:r w:rsidRPr="00CC6A11">
              <w:rPr>
                <w:rFonts w:ascii="Franklin Gothic Medium" w:eastAsia="Times New Roman" w:hAnsi="Franklin Gothic Medium" w:cs="Calibri"/>
                <w:color w:val="FFFFFF"/>
                <w:sz w:val="22"/>
              </w:rPr>
              <w:t>. CDC+ Representative Results by Standard (</w:t>
            </w:r>
            <w:r w:rsidR="00D401E4">
              <w:rPr>
                <w:rFonts w:ascii="Franklin Gothic Medium" w:eastAsia="Times New Roman" w:hAnsi="Franklin Gothic Medium" w:cs="Calibri"/>
                <w:color w:val="FFFFFF"/>
                <w:sz w:val="22"/>
              </w:rPr>
              <w:t xml:space="preserve">April </w:t>
            </w:r>
            <w:r w:rsidR="00D31F50">
              <w:rPr>
                <w:rFonts w:ascii="Franklin Gothic Medium" w:eastAsia="Times New Roman" w:hAnsi="Franklin Gothic Medium" w:cs="Calibri"/>
                <w:color w:val="FFFFFF"/>
                <w:sz w:val="22"/>
              </w:rPr>
              <w:t>–</w:t>
            </w:r>
            <w:r w:rsidR="00D401E4">
              <w:rPr>
                <w:rFonts w:ascii="Franklin Gothic Medium" w:eastAsia="Times New Roman" w:hAnsi="Franklin Gothic Medium" w:cs="Calibri"/>
                <w:color w:val="FFFFFF"/>
                <w:sz w:val="22"/>
              </w:rPr>
              <w:t xml:space="preserve"> </w:t>
            </w:r>
            <w:r w:rsidR="00D31F50">
              <w:rPr>
                <w:rFonts w:ascii="Franklin Gothic Medium" w:eastAsia="Times New Roman" w:hAnsi="Franklin Gothic Medium" w:cs="Calibri"/>
                <w:color w:val="FFFFFF"/>
                <w:sz w:val="22"/>
              </w:rPr>
              <w:t xml:space="preserve">December </w:t>
            </w:r>
            <w:r w:rsidRPr="00CC6A11">
              <w:rPr>
                <w:rFonts w:ascii="Franklin Gothic Medium" w:eastAsia="Times New Roman" w:hAnsi="Franklin Gothic Medium" w:cs="Calibri"/>
                <w:color w:val="FFFFFF"/>
                <w:sz w:val="22"/>
              </w:rPr>
              <w:t>2020)</w:t>
            </w:r>
          </w:p>
        </w:tc>
      </w:tr>
      <w:tr w:rsidR="00412626" w:rsidRPr="00CC6A11" w14:paraId="3FF91AF5" w14:textId="77777777" w:rsidTr="007135F7">
        <w:trPr>
          <w:trHeight w:val="300"/>
          <w:tblHeader/>
        </w:trPr>
        <w:tc>
          <w:tcPr>
            <w:tcW w:w="5130" w:type="dxa"/>
            <w:tcBorders>
              <w:top w:val="nil"/>
              <w:left w:val="single" w:sz="8" w:space="0" w:color="auto"/>
              <w:right w:val="double" w:sz="4" w:space="0" w:color="auto"/>
            </w:tcBorders>
            <w:shd w:val="clear" w:color="auto" w:fill="FFE599" w:themeFill="accent4" w:themeFillTint="66"/>
            <w:noWrap/>
            <w:vAlign w:val="bottom"/>
            <w:hideMark/>
          </w:tcPr>
          <w:p w14:paraId="0D233CA9" w14:textId="77777777" w:rsidR="00CC6A11" w:rsidRPr="00CC6A11" w:rsidRDefault="00CC6A11" w:rsidP="00CC6A11">
            <w:pPr>
              <w:spacing w:line="240" w:lineRule="auto"/>
              <w:rPr>
                <w:rFonts w:ascii="Calibri" w:eastAsia="Times New Roman" w:hAnsi="Calibri" w:cs="Calibri"/>
                <w:color w:val="000000"/>
                <w:sz w:val="22"/>
              </w:rPr>
            </w:pPr>
            <w:r w:rsidRPr="00CC6A11">
              <w:rPr>
                <w:rFonts w:ascii="Calibri" w:eastAsia="Times New Roman" w:hAnsi="Calibri" w:cs="Calibri"/>
                <w:color w:val="000000"/>
                <w:sz w:val="22"/>
              </w:rPr>
              <w:t> </w:t>
            </w:r>
          </w:p>
        </w:tc>
        <w:tc>
          <w:tcPr>
            <w:tcW w:w="2250" w:type="dxa"/>
            <w:gridSpan w:val="2"/>
            <w:tcBorders>
              <w:top w:val="single" w:sz="4" w:space="0" w:color="auto"/>
              <w:left w:val="double" w:sz="4" w:space="0" w:color="auto"/>
              <w:bottom w:val="single" w:sz="4" w:space="0" w:color="auto"/>
              <w:right w:val="double" w:sz="4" w:space="0" w:color="auto"/>
            </w:tcBorders>
            <w:shd w:val="clear" w:color="auto" w:fill="FFE599" w:themeFill="accent4" w:themeFillTint="66"/>
            <w:noWrap/>
            <w:vAlign w:val="bottom"/>
            <w:hideMark/>
          </w:tcPr>
          <w:p w14:paraId="1BDAD31A" w14:textId="7862BEE1" w:rsidR="00CC6A11" w:rsidRPr="00CC6A11" w:rsidRDefault="00D401E4" w:rsidP="00D401E4">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Y3Q4</w:t>
            </w:r>
          </w:p>
        </w:tc>
        <w:tc>
          <w:tcPr>
            <w:tcW w:w="1980" w:type="dxa"/>
            <w:gridSpan w:val="2"/>
            <w:tcBorders>
              <w:top w:val="single" w:sz="4" w:space="0" w:color="auto"/>
              <w:left w:val="double" w:sz="4" w:space="0" w:color="auto"/>
              <w:bottom w:val="single" w:sz="4" w:space="0" w:color="auto"/>
              <w:right w:val="single" w:sz="8" w:space="0" w:color="000000"/>
            </w:tcBorders>
            <w:shd w:val="clear" w:color="auto" w:fill="FFE599" w:themeFill="accent4" w:themeFillTint="66"/>
            <w:noWrap/>
            <w:vAlign w:val="bottom"/>
            <w:hideMark/>
          </w:tcPr>
          <w:p w14:paraId="34E13D4A" w14:textId="67D8675A" w:rsidR="00CC6A11" w:rsidRPr="00CC6A11" w:rsidRDefault="00D401E4" w:rsidP="00D401E4">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Y4Q1</w:t>
            </w:r>
            <w:r w:rsidR="00D31F50">
              <w:rPr>
                <w:rFonts w:ascii="Franklin Gothic Medium" w:eastAsia="Times New Roman" w:hAnsi="Franklin Gothic Medium" w:cs="Calibri"/>
                <w:sz w:val="22"/>
              </w:rPr>
              <w:t>-2</w:t>
            </w:r>
          </w:p>
        </w:tc>
      </w:tr>
      <w:tr w:rsidR="00412626" w:rsidRPr="00CC6A11" w14:paraId="0B50A98C" w14:textId="77777777" w:rsidTr="007135F7">
        <w:trPr>
          <w:trHeight w:val="315"/>
          <w:tblHeader/>
        </w:trPr>
        <w:tc>
          <w:tcPr>
            <w:tcW w:w="5130" w:type="dxa"/>
            <w:tcBorders>
              <w:top w:val="nil"/>
              <w:left w:val="single" w:sz="8" w:space="0" w:color="auto"/>
              <w:bottom w:val="single" w:sz="4" w:space="0" w:color="auto"/>
              <w:right w:val="double" w:sz="4" w:space="0" w:color="auto"/>
            </w:tcBorders>
            <w:shd w:val="clear" w:color="auto" w:fill="FFE599" w:themeFill="accent4" w:themeFillTint="66"/>
            <w:noWrap/>
            <w:vAlign w:val="center"/>
            <w:hideMark/>
          </w:tcPr>
          <w:p w14:paraId="528C0DBF" w14:textId="65B52FBA" w:rsidR="00CC6A11" w:rsidRPr="00CC6A11" w:rsidRDefault="00412626" w:rsidP="00412626">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Standard</w:t>
            </w:r>
          </w:p>
        </w:tc>
        <w:tc>
          <w:tcPr>
            <w:tcW w:w="990" w:type="dxa"/>
            <w:tcBorders>
              <w:top w:val="nil"/>
              <w:left w:val="double" w:sz="4" w:space="0" w:color="auto"/>
              <w:bottom w:val="single" w:sz="4" w:space="0" w:color="auto"/>
              <w:right w:val="nil"/>
            </w:tcBorders>
            <w:shd w:val="clear" w:color="auto" w:fill="FFE599" w:themeFill="accent4" w:themeFillTint="66"/>
            <w:noWrap/>
            <w:vAlign w:val="center"/>
            <w:hideMark/>
          </w:tcPr>
          <w:p w14:paraId="61F8275C"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Number</w:t>
            </w:r>
          </w:p>
        </w:tc>
        <w:tc>
          <w:tcPr>
            <w:tcW w:w="1260" w:type="dxa"/>
            <w:tcBorders>
              <w:top w:val="nil"/>
              <w:left w:val="nil"/>
              <w:bottom w:val="single" w:sz="4" w:space="0" w:color="auto"/>
              <w:right w:val="double" w:sz="4" w:space="0" w:color="auto"/>
            </w:tcBorders>
            <w:shd w:val="clear" w:color="auto" w:fill="FFE599" w:themeFill="accent4" w:themeFillTint="66"/>
            <w:noWrap/>
            <w:vAlign w:val="center"/>
            <w:hideMark/>
          </w:tcPr>
          <w:p w14:paraId="080ADF80"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 Met</w:t>
            </w:r>
          </w:p>
        </w:tc>
        <w:tc>
          <w:tcPr>
            <w:tcW w:w="990" w:type="dxa"/>
            <w:tcBorders>
              <w:top w:val="single" w:sz="4" w:space="0" w:color="auto"/>
              <w:left w:val="double" w:sz="4" w:space="0" w:color="auto"/>
              <w:bottom w:val="single" w:sz="4" w:space="0" w:color="auto"/>
              <w:right w:val="nil"/>
            </w:tcBorders>
            <w:shd w:val="clear" w:color="auto" w:fill="FFE599" w:themeFill="accent4" w:themeFillTint="66"/>
            <w:noWrap/>
            <w:vAlign w:val="center"/>
            <w:hideMark/>
          </w:tcPr>
          <w:p w14:paraId="242CD445"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Number</w:t>
            </w:r>
          </w:p>
        </w:tc>
        <w:tc>
          <w:tcPr>
            <w:tcW w:w="990" w:type="dxa"/>
            <w:tcBorders>
              <w:top w:val="nil"/>
              <w:left w:val="nil"/>
              <w:bottom w:val="single" w:sz="4" w:space="0" w:color="auto"/>
              <w:right w:val="single" w:sz="8" w:space="0" w:color="auto"/>
            </w:tcBorders>
            <w:shd w:val="clear" w:color="auto" w:fill="FFE599" w:themeFill="accent4" w:themeFillTint="66"/>
            <w:noWrap/>
            <w:vAlign w:val="center"/>
            <w:hideMark/>
          </w:tcPr>
          <w:p w14:paraId="66D81954"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 Met</w:t>
            </w:r>
          </w:p>
        </w:tc>
      </w:tr>
      <w:tr w:rsidR="00D31F50" w:rsidRPr="00CC6A11" w14:paraId="25BDF2A1"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30852744" w14:textId="1DA457FF"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Complete and signed Participant/ Representative Agreement is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7F403983" w14:textId="36B1E37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5DEB4050" w14:textId="011E520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98.3%</w:t>
            </w:r>
          </w:p>
        </w:tc>
        <w:tc>
          <w:tcPr>
            <w:tcW w:w="990" w:type="dxa"/>
            <w:tcBorders>
              <w:top w:val="nil"/>
              <w:left w:val="double" w:sz="4" w:space="0" w:color="auto"/>
              <w:bottom w:val="single" w:sz="4" w:space="0" w:color="auto"/>
              <w:right w:val="nil"/>
            </w:tcBorders>
            <w:shd w:val="clear" w:color="auto" w:fill="auto"/>
            <w:noWrap/>
            <w:vAlign w:val="center"/>
            <w:hideMark/>
          </w:tcPr>
          <w:p w14:paraId="250F224B" w14:textId="481BBA51"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50A359EE" w14:textId="4BB04FBB"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96.4%</w:t>
            </w:r>
          </w:p>
        </w:tc>
      </w:tr>
      <w:tr w:rsidR="00D31F50" w:rsidRPr="00CC6A11" w14:paraId="1CC38168"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0311C4F0" w14:textId="0ED757FA"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Accurate signed and approved Timesheets for all Directly Hired Employees (DHE)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5BBCD260" w14:textId="0DFCABE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54</w:t>
            </w:r>
          </w:p>
        </w:tc>
        <w:tc>
          <w:tcPr>
            <w:tcW w:w="1260" w:type="dxa"/>
            <w:tcBorders>
              <w:top w:val="nil"/>
              <w:left w:val="nil"/>
              <w:bottom w:val="single" w:sz="4" w:space="0" w:color="auto"/>
              <w:right w:val="double" w:sz="4" w:space="0" w:color="auto"/>
            </w:tcBorders>
            <w:shd w:val="clear" w:color="auto" w:fill="auto"/>
            <w:noWrap/>
            <w:vAlign w:val="center"/>
            <w:hideMark/>
          </w:tcPr>
          <w:p w14:paraId="75DF86A3" w14:textId="55A3484D"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88.9%</w:t>
            </w:r>
          </w:p>
        </w:tc>
        <w:tc>
          <w:tcPr>
            <w:tcW w:w="990" w:type="dxa"/>
            <w:tcBorders>
              <w:top w:val="nil"/>
              <w:left w:val="double" w:sz="4" w:space="0" w:color="auto"/>
              <w:bottom w:val="single" w:sz="4" w:space="0" w:color="auto"/>
              <w:right w:val="nil"/>
            </w:tcBorders>
            <w:shd w:val="clear" w:color="auto" w:fill="auto"/>
            <w:noWrap/>
            <w:vAlign w:val="center"/>
            <w:hideMark/>
          </w:tcPr>
          <w:p w14:paraId="1B3D234A" w14:textId="02B66D90"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71</w:t>
            </w:r>
          </w:p>
        </w:tc>
        <w:tc>
          <w:tcPr>
            <w:tcW w:w="990" w:type="dxa"/>
            <w:tcBorders>
              <w:top w:val="nil"/>
              <w:left w:val="nil"/>
              <w:bottom w:val="single" w:sz="4" w:space="0" w:color="auto"/>
              <w:right w:val="single" w:sz="8" w:space="0" w:color="auto"/>
            </w:tcBorders>
            <w:shd w:val="clear" w:color="auto" w:fill="auto"/>
            <w:noWrap/>
            <w:vAlign w:val="center"/>
            <w:hideMark/>
          </w:tcPr>
          <w:p w14:paraId="137F7BF7" w14:textId="13C75D21"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88.7%</w:t>
            </w:r>
          </w:p>
        </w:tc>
      </w:tr>
      <w:tr w:rsidR="00D31F50" w:rsidRPr="00CC6A11" w14:paraId="19EE4B4F" w14:textId="77777777" w:rsidTr="007135F7">
        <w:trPr>
          <w:trHeight w:val="510"/>
        </w:trPr>
        <w:tc>
          <w:tcPr>
            <w:tcW w:w="5130" w:type="dxa"/>
            <w:tcBorders>
              <w:top w:val="nil"/>
              <w:left w:val="single" w:sz="8" w:space="0" w:color="auto"/>
              <w:bottom w:val="single" w:sz="4" w:space="0" w:color="auto"/>
              <w:right w:val="double" w:sz="4" w:space="0" w:color="auto"/>
            </w:tcBorders>
            <w:shd w:val="clear" w:color="auto" w:fill="D9D9D9" w:themeFill="background1" w:themeFillShade="D9"/>
            <w:vAlign w:val="center"/>
            <w:hideMark/>
          </w:tcPr>
          <w:p w14:paraId="134841FC" w14:textId="7B99523B"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Signed and approved Invoices for Vendor Payments are available for review.</w:t>
            </w:r>
          </w:p>
        </w:tc>
        <w:tc>
          <w:tcPr>
            <w:tcW w:w="990" w:type="dxa"/>
            <w:tcBorders>
              <w:top w:val="nil"/>
              <w:left w:val="double" w:sz="4" w:space="0" w:color="auto"/>
              <w:bottom w:val="single" w:sz="4" w:space="0" w:color="auto"/>
              <w:right w:val="nil"/>
            </w:tcBorders>
            <w:shd w:val="clear" w:color="auto" w:fill="D9D9D9" w:themeFill="background1" w:themeFillShade="D9"/>
            <w:noWrap/>
            <w:vAlign w:val="center"/>
            <w:hideMark/>
          </w:tcPr>
          <w:p w14:paraId="561813CC" w14:textId="04AFB055"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34</w:t>
            </w:r>
          </w:p>
        </w:tc>
        <w:tc>
          <w:tcPr>
            <w:tcW w:w="1260" w:type="dxa"/>
            <w:tcBorders>
              <w:top w:val="nil"/>
              <w:left w:val="nil"/>
              <w:bottom w:val="single" w:sz="4" w:space="0" w:color="auto"/>
              <w:right w:val="double" w:sz="4" w:space="0" w:color="auto"/>
            </w:tcBorders>
            <w:shd w:val="clear" w:color="auto" w:fill="D9D9D9" w:themeFill="background1" w:themeFillShade="D9"/>
            <w:noWrap/>
            <w:vAlign w:val="center"/>
            <w:hideMark/>
          </w:tcPr>
          <w:p w14:paraId="74BC5C3D" w14:textId="16BFEB0C"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cstheme="minorHAnsi"/>
                <w:sz w:val="20"/>
                <w:szCs w:val="20"/>
              </w:rPr>
              <w:t>79.4%</w:t>
            </w:r>
          </w:p>
        </w:tc>
        <w:tc>
          <w:tcPr>
            <w:tcW w:w="990" w:type="dxa"/>
            <w:tcBorders>
              <w:top w:val="nil"/>
              <w:left w:val="double" w:sz="4" w:space="0" w:color="auto"/>
              <w:bottom w:val="single" w:sz="4" w:space="0" w:color="auto"/>
              <w:right w:val="nil"/>
            </w:tcBorders>
            <w:shd w:val="clear" w:color="auto" w:fill="D9D9D9" w:themeFill="background1" w:themeFillShade="D9"/>
            <w:noWrap/>
            <w:vAlign w:val="center"/>
            <w:hideMark/>
          </w:tcPr>
          <w:p w14:paraId="792B75E9" w14:textId="305071E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54</w:t>
            </w:r>
          </w:p>
        </w:tc>
        <w:tc>
          <w:tcPr>
            <w:tcW w:w="990" w:type="dxa"/>
            <w:tcBorders>
              <w:top w:val="nil"/>
              <w:left w:val="nil"/>
              <w:bottom w:val="single" w:sz="4" w:space="0" w:color="auto"/>
              <w:right w:val="single" w:sz="8" w:space="0" w:color="auto"/>
            </w:tcBorders>
            <w:shd w:val="clear" w:color="auto" w:fill="D9D9D9" w:themeFill="background1" w:themeFillShade="D9"/>
            <w:noWrap/>
            <w:vAlign w:val="center"/>
            <w:hideMark/>
          </w:tcPr>
          <w:p w14:paraId="13575F43" w14:textId="2ADD29E5"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92.6%</w:t>
            </w:r>
          </w:p>
        </w:tc>
      </w:tr>
      <w:tr w:rsidR="00D31F50" w:rsidRPr="00CC6A11" w14:paraId="50AF4DBE"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65CBD17D" w14:textId="1CDDE576"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Signed and approved receipts/statement of “Goods and Services” for reimbursement items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5730A6AA" w14:textId="6A5B3170"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16</w:t>
            </w:r>
          </w:p>
        </w:tc>
        <w:tc>
          <w:tcPr>
            <w:tcW w:w="1260" w:type="dxa"/>
            <w:tcBorders>
              <w:top w:val="nil"/>
              <w:left w:val="nil"/>
              <w:bottom w:val="single" w:sz="4" w:space="0" w:color="auto"/>
              <w:right w:val="double" w:sz="4" w:space="0" w:color="auto"/>
            </w:tcBorders>
            <w:shd w:val="clear" w:color="auto" w:fill="auto"/>
            <w:noWrap/>
            <w:vAlign w:val="center"/>
            <w:hideMark/>
          </w:tcPr>
          <w:p w14:paraId="0076A413" w14:textId="79DDF960"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93.8%</w:t>
            </w:r>
          </w:p>
        </w:tc>
        <w:tc>
          <w:tcPr>
            <w:tcW w:w="990" w:type="dxa"/>
            <w:tcBorders>
              <w:top w:val="nil"/>
              <w:left w:val="double" w:sz="4" w:space="0" w:color="auto"/>
              <w:bottom w:val="single" w:sz="4" w:space="0" w:color="auto"/>
              <w:right w:val="nil"/>
            </w:tcBorders>
            <w:shd w:val="clear" w:color="auto" w:fill="auto"/>
            <w:noWrap/>
            <w:vAlign w:val="center"/>
            <w:hideMark/>
          </w:tcPr>
          <w:p w14:paraId="628117FC" w14:textId="0D956FF5"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24</w:t>
            </w:r>
          </w:p>
        </w:tc>
        <w:tc>
          <w:tcPr>
            <w:tcW w:w="990" w:type="dxa"/>
            <w:tcBorders>
              <w:top w:val="nil"/>
              <w:left w:val="nil"/>
              <w:bottom w:val="single" w:sz="4" w:space="0" w:color="auto"/>
              <w:right w:val="single" w:sz="8" w:space="0" w:color="auto"/>
            </w:tcBorders>
            <w:shd w:val="clear" w:color="auto" w:fill="auto"/>
            <w:noWrap/>
            <w:vAlign w:val="center"/>
            <w:hideMark/>
          </w:tcPr>
          <w:p w14:paraId="0D820966" w14:textId="7CDF69BA"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95.8%</w:t>
            </w:r>
          </w:p>
        </w:tc>
      </w:tr>
      <w:tr w:rsidR="00D31F50" w:rsidRPr="00CC6A11" w14:paraId="3C0D47C7"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70465AFF" w14:textId="51B9A8F4"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Complete Employee Packets for all Directly Hired Employees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561DD4D5" w14:textId="4385A85D"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54</w:t>
            </w:r>
          </w:p>
        </w:tc>
        <w:tc>
          <w:tcPr>
            <w:tcW w:w="1260" w:type="dxa"/>
            <w:tcBorders>
              <w:top w:val="nil"/>
              <w:left w:val="nil"/>
              <w:bottom w:val="single" w:sz="4" w:space="0" w:color="auto"/>
              <w:right w:val="double" w:sz="4" w:space="0" w:color="auto"/>
            </w:tcBorders>
            <w:shd w:val="clear" w:color="auto" w:fill="auto"/>
            <w:noWrap/>
            <w:vAlign w:val="center"/>
            <w:hideMark/>
          </w:tcPr>
          <w:p w14:paraId="517AD44E" w14:textId="59E99EFF"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98.1%</w:t>
            </w:r>
          </w:p>
        </w:tc>
        <w:tc>
          <w:tcPr>
            <w:tcW w:w="990" w:type="dxa"/>
            <w:tcBorders>
              <w:top w:val="nil"/>
              <w:left w:val="double" w:sz="4" w:space="0" w:color="auto"/>
              <w:bottom w:val="single" w:sz="4" w:space="0" w:color="auto"/>
              <w:right w:val="nil"/>
            </w:tcBorders>
            <w:shd w:val="clear" w:color="auto" w:fill="auto"/>
            <w:noWrap/>
            <w:vAlign w:val="center"/>
            <w:hideMark/>
          </w:tcPr>
          <w:p w14:paraId="702FA7DF" w14:textId="1FFC0A86"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70</w:t>
            </w:r>
          </w:p>
        </w:tc>
        <w:tc>
          <w:tcPr>
            <w:tcW w:w="990" w:type="dxa"/>
            <w:tcBorders>
              <w:top w:val="nil"/>
              <w:left w:val="nil"/>
              <w:bottom w:val="single" w:sz="4" w:space="0" w:color="auto"/>
              <w:right w:val="single" w:sz="8" w:space="0" w:color="auto"/>
            </w:tcBorders>
            <w:shd w:val="clear" w:color="auto" w:fill="auto"/>
            <w:noWrap/>
            <w:vAlign w:val="center"/>
            <w:hideMark/>
          </w:tcPr>
          <w:p w14:paraId="6F4819A8" w14:textId="5DD813F5"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92.9%</w:t>
            </w:r>
          </w:p>
        </w:tc>
      </w:tr>
      <w:tr w:rsidR="00D31F50" w:rsidRPr="00CC6A11" w14:paraId="64810E84"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64877FF9" w14:textId="69759DFF"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Complete Vendor Packets for all vendors and independent contractors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3D4555C3" w14:textId="76BFF805"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35</w:t>
            </w:r>
          </w:p>
        </w:tc>
        <w:tc>
          <w:tcPr>
            <w:tcW w:w="1260" w:type="dxa"/>
            <w:tcBorders>
              <w:top w:val="nil"/>
              <w:left w:val="nil"/>
              <w:bottom w:val="single" w:sz="4" w:space="0" w:color="auto"/>
              <w:right w:val="double" w:sz="4" w:space="0" w:color="auto"/>
            </w:tcBorders>
            <w:shd w:val="clear" w:color="auto" w:fill="auto"/>
            <w:noWrap/>
            <w:vAlign w:val="center"/>
            <w:hideMark/>
          </w:tcPr>
          <w:p w14:paraId="27F7FFAB" w14:textId="079A3B6A"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97.1%</w:t>
            </w:r>
          </w:p>
        </w:tc>
        <w:tc>
          <w:tcPr>
            <w:tcW w:w="990" w:type="dxa"/>
            <w:tcBorders>
              <w:top w:val="nil"/>
              <w:left w:val="double" w:sz="4" w:space="0" w:color="auto"/>
              <w:bottom w:val="single" w:sz="4" w:space="0" w:color="auto"/>
              <w:right w:val="nil"/>
            </w:tcBorders>
            <w:shd w:val="clear" w:color="auto" w:fill="auto"/>
            <w:noWrap/>
            <w:vAlign w:val="center"/>
            <w:hideMark/>
          </w:tcPr>
          <w:p w14:paraId="70181730" w14:textId="79AF352D"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65</w:t>
            </w:r>
          </w:p>
        </w:tc>
        <w:tc>
          <w:tcPr>
            <w:tcW w:w="990" w:type="dxa"/>
            <w:tcBorders>
              <w:top w:val="nil"/>
              <w:left w:val="nil"/>
              <w:bottom w:val="single" w:sz="4" w:space="0" w:color="auto"/>
              <w:right w:val="single" w:sz="8" w:space="0" w:color="auto"/>
            </w:tcBorders>
            <w:shd w:val="clear" w:color="auto" w:fill="auto"/>
            <w:noWrap/>
            <w:vAlign w:val="center"/>
            <w:hideMark/>
          </w:tcPr>
          <w:p w14:paraId="673E84FF" w14:textId="3B27F507"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98.5%</w:t>
            </w:r>
          </w:p>
        </w:tc>
      </w:tr>
      <w:tr w:rsidR="00D31F50" w:rsidRPr="00CC6A11" w14:paraId="24DB00A4" w14:textId="77777777" w:rsidTr="007135F7">
        <w:trPr>
          <w:trHeight w:val="510"/>
        </w:trPr>
        <w:tc>
          <w:tcPr>
            <w:tcW w:w="5130" w:type="dxa"/>
            <w:tcBorders>
              <w:top w:val="nil"/>
              <w:left w:val="single" w:sz="8" w:space="0" w:color="auto"/>
              <w:bottom w:val="single" w:sz="4" w:space="0" w:color="auto"/>
              <w:right w:val="double" w:sz="4" w:space="0" w:color="auto"/>
            </w:tcBorders>
            <w:shd w:val="clear" w:color="auto" w:fill="D9D9D9" w:themeFill="background1" w:themeFillShade="D9"/>
            <w:vAlign w:val="center"/>
            <w:hideMark/>
          </w:tcPr>
          <w:p w14:paraId="4616BCAA" w14:textId="571F058D"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The CDC+ Representative maintains an Employee/Contractor Roster within the Department of Children and Families/Agency for Persons with Disabilities Background Screening Clearinghouse.</w:t>
            </w:r>
          </w:p>
        </w:tc>
        <w:tc>
          <w:tcPr>
            <w:tcW w:w="990" w:type="dxa"/>
            <w:tcBorders>
              <w:top w:val="nil"/>
              <w:left w:val="double" w:sz="4" w:space="0" w:color="auto"/>
              <w:bottom w:val="single" w:sz="4" w:space="0" w:color="auto"/>
              <w:right w:val="nil"/>
            </w:tcBorders>
            <w:shd w:val="clear" w:color="auto" w:fill="D9D9D9" w:themeFill="background1" w:themeFillShade="D9"/>
            <w:noWrap/>
            <w:vAlign w:val="center"/>
            <w:hideMark/>
          </w:tcPr>
          <w:p w14:paraId="71509002" w14:textId="74983504"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54</w:t>
            </w:r>
          </w:p>
        </w:tc>
        <w:tc>
          <w:tcPr>
            <w:tcW w:w="1260" w:type="dxa"/>
            <w:tcBorders>
              <w:top w:val="nil"/>
              <w:left w:val="nil"/>
              <w:bottom w:val="single" w:sz="4" w:space="0" w:color="auto"/>
              <w:right w:val="double" w:sz="4" w:space="0" w:color="auto"/>
            </w:tcBorders>
            <w:shd w:val="clear" w:color="auto" w:fill="D9D9D9" w:themeFill="background1" w:themeFillShade="D9"/>
            <w:noWrap/>
            <w:vAlign w:val="center"/>
            <w:hideMark/>
          </w:tcPr>
          <w:p w14:paraId="3AB19D28" w14:textId="0EC9F8AB"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85.2%</w:t>
            </w:r>
          </w:p>
        </w:tc>
        <w:tc>
          <w:tcPr>
            <w:tcW w:w="990" w:type="dxa"/>
            <w:tcBorders>
              <w:top w:val="nil"/>
              <w:left w:val="double" w:sz="4" w:space="0" w:color="auto"/>
              <w:bottom w:val="single" w:sz="4" w:space="0" w:color="auto"/>
              <w:right w:val="nil"/>
            </w:tcBorders>
            <w:shd w:val="clear" w:color="auto" w:fill="D9D9D9" w:themeFill="background1" w:themeFillShade="D9"/>
            <w:noWrap/>
            <w:vAlign w:val="center"/>
            <w:hideMark/>
          </w:tcPr>
          <w:p w14:paraId="4AE6C7E5" w14:textId="4C1759DE"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75</w:t>
            </w:r>
          </w:p>
        </w:tc>
        <w:tc>
          <w:tcPr>
            <w:tcW w:w="990" w:type="dxa"/>
            <w:tcBorders>
              <w:top w:val="nil"/>
              <w:left w:val="nil"/>
              <w:bottom w:val="single" w:sz="4" w:space="0" w:color="auto"/>
              <w:right w:val="single" w:sz="8" w:space="0" w:color="auto"/>
            </w:tcBorders>
            <w:shd w:val="clear" w:color="auto" w:fill="D9D9D9" w:themeFill="background1" w:themeFillShade="D9"/>
            <w:noWrap/>
            <w:vAlign w:val="center"/>
            <w:hideMark/>
          </w:tcPr>
          <w:p w14:paraId="128F7728" w14:textId="3A5BE57E"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77.3%</w:t>
            </w:r>
          </w:p>
        </w:tc>
      </w:tr>
      <w:tr w:rsidR="00D31F50" w:rsidRPr="00CC6A11" w14:paraId="7646640F"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00B45585" w14:textId="0B8CE9CA"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Completed and signed Job Descriptions for each Directly Hired Employee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21417CCD" w14:textId="6533819B"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54</w:t>
            </w:r>
          </w:p>
        </w:tc>
        <w:tc>
          <w:tcPr>
            <w:tcW w:w="1260" w:type="dxa"/>
            <w:tcBorders>
              <w:top w:val="nil"/>
              <w:left w:val="nil"/>
              <w:bottom w:val="single" w:sz="4" w:space="0" w:color="auto"/>
              <w:right w:val="double" w:sz="4" w:space="0" w:color="auto"/>
            </w:tcBorders>
            <w:shd w:val="clear" w:color="auto" w:fill="auto"/>
            <w:noWrap/>
            <w:vAlign w:val="center"/>
            <w:hideMark/>
          </w:tcPr>
          <w:p w14:paraId="685D81C3" w14:textId="6A6C4E79"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96.3%</w:t>
            </w:r>
          </w:p>
        </w:tc>
        <w:tc>
          <w:tcPr>
            <w:tcW w:w="990" w:type="dxa"/>
            <w:tcBorders>
              <w:top w:val="nil"/>
              <w:left w:val="double" w:sz="4" w:space="0" w:color="auto"/>
              <w:bottom w:val="single" w:sz="4" w:space="0" w:color="auto"/>
              <w:right w:val="nil"/>
            </w:tcBorders>
            <w:shd w:val="clear" w:color="auto" w:fill="auto"/>
            <w:noWrap/>
            <w:vAlign w:val="center"/>
            <w:hideMark/>
          </w:tcPr>
          <w:p w14:paraId="66481182" w14:textId="35FC6CF8"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71</w:t>
            </w:r>
          </w:p>
        </w:tc>
        <w:tc>
          <w:tcPr>
            <w:tcW w:w="990" w:type="dxa"/>
            <w:tcBorders>
              <w:top w:val="nil"/>
              <w:left w:val="nil"/>
              <w:bottom w:val="single" w:sz="4" w:space="0" w:color="auto"/>
              <w:right w:val="single" w:sz="8" w:space="0" w:color="auto"/>
            </w:tcBorders>
            <w:shd w:val="clear" w:color="auto" w:fill="auto"/>
            <w:noWrap/>
            <w:vAlign w:val="center"/>
            <w:hideMark/>
          </w:tcPr>
          <w:p w14:paraId="75D48D87" w14:textId="304638FA"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94.4%</w:t>
            </w:r>
          </w:p>
        </w:tc>
      </w:tr>
      <w:tr w:rsidR="00D31F50" w:rsidRPr="00CC6A11" w14:paraId="05678B51"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05798292" w14:textId="4ADD371F"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All applicable signed and approved Purchasing Plans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2192DCE7" w14:textId="11B57839"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1A3156CC" w14:textId="4A611653"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98.3%</w:t>
            </w:r>
          </w:p>
        </w:tc>
        <w:tc>
          <w:tcPr>
            <w:tcW w:w="990" w:type="dxa"/>
            <w:tcBorders>
              <w:top w:val="nil"/>
              <w:left w:val="double" w:sz="4" w:space="0" w:color="auto"/>
              <w:bottom w:val="single" w:sz="4" w:space="0" w:color="auto"/>
              <w:right w:val="nil"/>
            </w:tcBorders>
            <w:shd w:val="clear" w:color="auto" w:fill="auto"/>
            <w:noWrap/>
            <w:vAlign w:val="center"/>
            <w:hideMark/>
          </w:tcPr>
          <w:p w14:paraId="71DB9185" w14:textId="3C306032"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81</w:t>
            </w:r>
          </w:p>
        </w:tc>
        <w:tc>
          <w:tcPr>
            <w:tcW w:w="990" w:type="dxa"/>
            <w:tcBorders>
              <w:top w:val="nil"/>
              <w:left w:val="nil"/>
              <w:bottom w:val="single" w:sz="4" w:space="0" w:color="auto"/>
              <w:right w:val="single" w:sz="8" w:space="0" w:color="auto"/>
            </w:tcBorders>
            <w:shd w:val="clear" w:color="auto" w:fill="auto"/>
            <w:noWrap/>
            <w:vAlign w:val="center"/>
            <w:hideMark/>
          </w:tcPr>
          <w:p w14:paraId="0F6A8B1D" w14:textId="781B0BD8"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96.3%</w:t>
            </w:r>
          </w:p>
        </w:tc>
      </w:tr>
      <w:tr w:rsidR="00D31F50" w:rsidRPr="00CC6A11" w14:paraId="60105C6F"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7058433E" w14:textId="2A1E39CD"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All applicable signed and approved Quick Updates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051890CC" w14:textId="0390E98D"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28</w:t>
            </w:r>
          </w:p>
        </w:tc>
        <w:tc>
          <w:tcPr>
            <w:tcW w:w="1260" w:type="dxa"/>
            <w:tcBorders>
              <w:top w:val="nil"/>
              <w:left w:val="nil"/>
              <w:bottom w:val="single" w:sz="4" w:space="0" w:color="auto"/>
              <w:right w:val="double" w:sz="4" w:space="0" w:color="auto"/>
            </w:tcBorders>
            <w:shd w:val="clear" w:color="auto" w:fill="auto"/>
            <w:noWrap/>
            <w:vAlign w:val="center"/>
            <w:hideMark/>
          </w:tcPr>
          <w:p w14:paraId="1A778B8C" w14:textId="342ED03C"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100%</w:t>
            </w:r>
          </w:p>
        </w:tc>
        <w:tc>
          <w:tcPr>
            <w:tcW w:w="990" w:type="dxa"/>
            <w:tcBorders>
              <w:top w:val="nil"/>
              <w:left w:val="double" w:sz="4" w:space="0" w:color="auto"/>
              <w:bottom w:val="single" w:sz="4" w:space="0" w:color="auto"/>
              <w:right w:val="nil"/>
            </w:tcBorders>
            <w:shd w:val="clear" w:color="auto" w:fill="auto"/>
            <w:noWrap/>
            <w:vAlign w:val="center"/>
            <w:hideMark/>
          </w:tcPr>
          <w:p w14:paraId="77313E7E" w14:textId="0CF80B96"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31</w:t>
            </w:r>
          </w:p>
        </w:tc>
        <w:tc>
          <w:tcPr>
            <w:tcW w:w="990" w:type="dxa"/>
            <w:tcBorders>
              <w:top w:val="nil"/>
              <w:left w:val="nil"/>
              <w:bottom w:val="single" w:sz="4" w:space="0" w:color="auto"/>
              <w:right w:val="single" w:sz="8" w:space="0" w:color="auto"/>
            </w:tcBorders>
            <w:shd w:val="clear" w:color="auto" w:fill="auto"/>
            <w:noWrap/>
            <w:vAlign w:val="center"/>
            <w:hideMark/>
          </w:tcPr>
          <w:p w14:paraId="3737504D" w14:textId="2D60FEB8"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96.8%</w:t>
            </w:r>
          </w:p>
        </w:tc>
      </w:tr>
      <w:tr w:rsidR="00D31F50" w:rsidRPr="00CC6A11" w14:paraId="46DFE176" w14:textId="77777777" w:rsidTr="00D31F50">
        <w:trPr>
          <w:trHeight w:val="375"/>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6EB6EC95" w14:textId="598583F3"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Copies of Support Plan(s) are available for entire period of review.</w:t>
            </w:r>
          </w:p>
        </w:tc>
        <w:tc>
          <w:tcPr>
            <w:tcW w:w="990" w:type="dxa"/>
            <w:tcBorders>
              <w:top w:val="nil"/>
              <w:left w:val="double" w:sz="4" w:space="0" w:color="auto"/>
              <w:bottom w:val="single" w:sz="4" w:space="0" w:color="auto"/>
              <w:right w:val="nil"/>
            </w:tcBorders>
            <w:shd w:val="clear" w:color="auto" w:fill="auto"/>
            <w:noWrap/>
            <w:vAlign w:val="center"/>
            <w:hideMark/>
          </w:tcPr>
          <w:p w14:paraId="7A9EFD4C" w14:textId="1A00AD5C"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40683F7A" w14:textId="691EA093"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98.3%</w:t>
            </w:r>
          </w:p>
        </w:tc>
        <w:tc>
          <w:tcPr>
            <w:tcW w:w="990" w:type="dxa"/>
            <w:tcBorders>
              <w:top w:val="nil"/>
              <w:left w:val="double" w:sz="4" w:space="0" w:color="auto"/>
              <w:bottom w:val="single" w:sz="4" w:space="0" w:color="auto"/>
              <w:right w:val="nil"/>
            </w:tcBorders>
            <w:shd w:val="clear" w:color="auto" w:fill="auto"/>
            <w:noWrap/>
            <w:vAlign w:val="center"/>
            <w:hideMark/>
          </w:tcPr>
          <w:p w14:paraId="7A57F053" w14:textId="32C6606E"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1AABAB86" w14:textId="359A6B9F"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98.8%</w:t>
            </w:r>
          </w:p>
        </w:tc>
      </w:tr>
      <w:tr w:rsidR="00D31F50" w:rsidRPr="00CC6A11" w14:paraId="71200F69" w14:textId="77777777" w:rsidTr="00D31F50">
        <w:trPr>
          <w:trHeight w:val="30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15D94509" w14:textId="67546024"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Copies of approved Cost Plan(s) are available for entire period of review.</w:t>
            </w:r>
          </w:p>
        </w:tc>
        <w:tc>
          <w:tcPr>
            <w:tcW w:w="990" w:type="dxa"/>
            <w:tcBorders>
              <w:top w:val="nil"/>
              <w:left w:val="double" w:sz="4" w:space="0" w:color="auto"/>
              <w:bottom w:val="single" w:sz="4" w:space="0" w:color="auto"/>
              <w:right w:val="nil"/>
            </w:tcBorders>
            <w:shd w:val="clear" w:color="auto" w:fill="auto"/>
            <w:noWrap/>
            <w:vAlign w:val="center"/>
            <w:hideMark/>
          </w:tcPr>
          <w:p w14:paraId="4B3A2397" w14:textId="6148D546"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10742FF9" w14:textId="2AC93F63"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98.3%</w:t>
            </w:r>
          </w:p>
        </w:tc>
        <w:tc>
          <w:tcPr>
            <w:tcW w:w="990" w:type="dxa"/>
            <w:tcBorders>
              <w:top w:val="nil"/>
              <w:left w:val="double" w:sz="4" w:space="0" w:color="auto"/>
              <w:bottom w:val="single" w:sz="4" w:space="0" w:color="auto"/>
              <w:right w:val="nil"/>
            </w:tcBorders>
            <w:shd w:val="clear" w:color="auto" w:fill="auto"/>
            <w:noWrap/>
            <w:vAlign w:val="center"/>
            <w:hideMark/>
          </w:tcPr>
          <w:p w14:paraId="54612E4F" w14:textId="4323DEDC"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2F3A7826" w14:textId="52EF1DCF"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97.6%</w:t>
            </w:r>
          </w:p>
        </w:tc>
      </w:tr>
      <w:tr w:rsidR="00D31F50" w:rsidRPr="00CC6A11" w14:paraId="090F39DD" w14:textId="77777777" w:rsidTr="00B14923">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75FC2587" w14:textId="373CF454"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Emergency Backup Plan is complete and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6538ABF2" w14:textId="7F4A59F0"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4A293F27" w14:textId="3B80689B"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86.4%</w:t>
            </w:r>
          </w:p>
        </w:tc>
        <w:tc>
          <w:tcPr>
            <w:tcW w:w="990" w:type="dxa"/>
            <w:tcBorders>
              <w:top w:val="nil"/>
              <w:left w:val="double" w:sz="4" w:space="0" w:color="auto"/>
              <w:bottom w:val="single" w:sz="4" w:space="0" w:color="auto"/>
              <w:right w:val="nil"/>
            </w:tcBorders>
            <w:shd w:val="clear" w:color="auto" w:fill="auto"/>
            <w:noWrap/>
            <w:vAlign w:val="center"/>
            <w:hideMark/>
          </w:tcPr>
          <w:p w14:paraId="2B6885A6" w14:textId="1AA813BD"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63DBF9E9" w14:textId="48950CCA"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95.2%</w:t>
            </w:r>
          </w:p>
        </w:tc>
      </w:tr>
      <w:tr w:rsidR="00D31F50" w:rsidRPr="00CC6A11" w14:paraId="01D82622" w14:textId="77777777" w:rsidTr="00D31F50">
        <w:trPr>
          <w:trHeight w:val="30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282B7B13" w14:textId="2639AA3F"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lastRenderedPageBreak/>
              <w:t>Corrective Action Plan (if applicable) is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271D4CB0" w14:textId="7B45B9D9"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4</w:t>
            </w:r>
          </w:p>
        </w:tc>
        <w:tc>
          <w:tcPr>
            <w:tcW w:w="1260" w:type="dxa"/>
            <w:tcBorders>
              <w:top w:val="nil"/>
              <w:left w:val="nil"/>
              <w:bottom w:val="single" w:sz="4" w:space="0" w:color="auto"/>
              <w:right w:val="double" w:sz="4" w:space="0" w:color="auto"/>
            </w:tcBorders>
            <w:shd w:val="clear" w:color="auto" w:fill="auto"/>
            <w:noWrap/>
            <w:vAlign w:val="center"/>
            <w:hideMark/>
          </w:tcPr>
          <w:p w14:paraId="2A13CC0A" w14:textId="6D01E385"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100%</w:t>
            </w:r>
          </w:p>
        </w:tc>
        <w:tc>
          <w:tcPr>
            <w:tcW w:w="990" w:type="dxa"/>
            <w:tcBorders>
              <w:top w:val="nil"/>
              <w:left w:val="double" w:sz="4" w:space="0" w:color="auto"/>
              <w:bottom w:val="single" w:sz="4" w:space="0" w:color="auto"/>
              <w:right w:val="nil"/>
            </w:tcBorders>
            <w:shd w:val="clear" w:color="auto" w:fill="auto"/>
            <w:noWrap/>
            <w:vAlign w:val="center"/>
            <w:hideMark/>
          </w:tcPr>
          <w:p w14:paraId="548755C7" w14:textId="457B741B"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5</w:t>
            </w:r>
          </w:p>
        </w:tc>
        <w:tc>
          <w:tcPr>
            <w:tcW w:w="990" w:type="dxa"/>
            <w:tcBorders>
              <w:top w:val="nil"/>
              <w:left w:val="nil"/>
              <w:bottom w:val="single" w:sz="4" w:space="0" w:color="auto"/>
              <w:right w:val="single" w:sz="8" w:space="0" w:color="auto"/>
            </w:tcBorders>
            <w:shd w:val="clear" w:color="auto" w:fill="auto"/>
            <w:noWrap/>
            <w:vAlign w:val="center"/>
            <w:hideMark/>
          </w:tcPr>
          <w:p w14:paraId="66F28B55" w14:textId="5E38A8FA"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80.0%</w:t>
            </w:r>
          </w:p>
        </w:tc>
      </w:tr>
      <w:tr w:rsidR="00D31F50" w:rsidRPr="00CC6A11" w14:paraId="6FFC0B12" w14:textId="77777777" w:rsidTr="00D31F50">
        <w:trPr>
          <w:trHeight w:val="30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5C3B8931" w14:textId="2CC6D017"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Monthly Statements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730B0866" w14:textId="083E0AB6"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58</w:t>
            </w:r>
          </w:p>
        </w:tc>
        <w:tc>
          <w:tcPr>
            <w:tcW w:w="1260" w:type="dxa"/>
            <w:tcBorders>
              <w:top w:val="nil"/>
              <w:left w:val="nil"/>
              <w:bottom w:val="single" w:sz="4" w:space="0" w:color="auto"/>
              <w:right w:val="double" w:sz="4" w:space="0" w:color="auto"/>
            </w:tcBorders>
            <w:shd w:val="clear" w:color="auto" w:fill="auto"/>
            <w:noWrap/>
            <w:vAlign w:val="center"/>
            <w:hideMark/>
          </w:tcPr>
          <w:p w14:paraId="094E1B9B" w14:textId="2F69A911"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98.3%</w:t>
            </w:r>
          </w:p>
        </w:tc>
        <w:tc>
          <w:tcPr>
            <w:tcW w:w="990" w:type="dxa"/>
            <w:tcBorders>
              <w:top w:val="nil"/>
              <w:left w:val="double" w:sz="4" w:space="0" w:color="auto"/>
              <w:bottom w:val="single" w:sz="4" w:space="0" w:color="auto"/>
              <w:right w:val="nil"/>
            </w:tcBorders>
            <w:shd w:val="clear" w:color="auto" w:fill="auto"/>
            <w:noWrap/>
            <w:vAlign w:val="center"/>
            <w:hideMark/>
          </w:tcPr>
          <w:p w14:paraId="1485C82D" w14:textId="2F4C48D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82</w:t>
            </w:r>
          </w:p>
        </w:tc>
        <w:tc>
          <w:tcPr>
            <w:tcW w:w="990" w:type="dxa"/>
            <w:tcBorders>
              <w:top w:val="nil"/>
              <w:left w:val="nil"/>
              <w:bottom w:val="single" w:sz="4" w:space="0" w:color="auto"/>
              <w:right w:val="single" w:sz="8" w:space="0" w:color="auto"/>
            </w:tcBorders>
            <w:shd w:val="clear" w:color="auto" w:fill="auto"/>
            <w:noWrap/>
            <w:vAlign w:val="center"/>
            <w:hideMark/>
          </w:tcPr>
          <w:p w14:paraId="6B5D2908" w14:textId="1D3281A7"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97.6%</w:t>
            </w:r>
          </w:p>
        </w:tc>
      </w:tr>
      <w:tr w:rsidR="00D31F50" w:rsidRPr="00CC6A11" w14:paraId="6C80A261" w14:textId="77777777" w:rsidTr="00B14923">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3341926C" w14:textId="7736E6C5"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Documentation is available to support the reconciliation of Monthly Statements.</w:t>
            </w:r>
          </w:p>
        </w:tc>
        <w:tc>
          <w:tcPr>
            <w:tcW w:w="990" w:type="dxa"/>
            <w:tcBorders>
              <w:top w:val="nil"/>
              <w:left w:val="double" w:sz="4" w:space="0" w:color="auto"/>
              <w:bottom w:val="single" w:sz="4" w:space="0" w:color="auto"/>
              <w:right w:val="nil"/>
            </w:tcBorders>
            <w:shd w:val="clear" w:color="auto" w:fill="auto"/>
            <w:noWrap/>
            <w:vAlign w:val="center"/>
            <w:hideMark/>
          </w:tcPr>
          <w:p w14:paraId="759B0DD3" w14:textId="22CE125E"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586E5AA0" w14:textId="0711DD58"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91.5%</w:t>
            </w:r>
          </w:p>
        </w:tc>
        <w:tc>
          <w:tcPr>
            <w:tcW w:w="990" w:type="dxa"/>
            <w:tcBorders>
              <w:top w:val="nil"/>
              <w:left w:val="double" w:sz="4" w:space="0" w:color="auto"/>
              <w:bottom w:val="single" w:sz="4" w:space="0" w:color="auto"/>
              <w:right w:val="nil"/>
            </w:tcBorders>
            <w:shd w:val="clear" w:color="auto" w:fill="auto"/>
            <w:noWrap/>
            <w:vAlign w:val="center"/>
            <w:hideMark/>
          </w:tcPr>
          <w:p w14:paraId="1C979973" w14:textId="3F0FDFDC"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7EE684C6" w14:textId="078369E4"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84.3%</w:t>
            </w:r>
          </w:p>
        </w:tc>
      </w:tr>
      <w:tr w:rsidR="00D31F50" w:rsidRPr="00CC6A11" w14:paraId="4B9DEAA0"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1DE24639" w14:textId="03439556"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The Participant obtains services consistent with stated/documented needs and goals.</w:t>
            </w:r>
          </w:p>
        </w:tc>
        <w:tc>
          <w:tcPr>
            <w:tcW w:w="990" w:type="dxa"/>
            <w:tcBorders>
              <w:top w:val="nil"/>
              <w:left w:val="double" w:sz="4" w:space="0" w:color="auto"/>
              <w:bottom w:val="single" w:sz="4" w:space="0" w:color="auto"/>
              <w:right w:val="nil"/>
            </w:tcBorders>
            <w:shd w:val="clear" w:color="auto" w:fill="auto"/>
            <w:noWrap/>
            <w:vAlign w:val="center"/>
            <w:hideMark/>
          </w:tcPr>
          <w:p w14:paraId="0CACAA3D" w14:textId="56C2A525"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570B9C1C" w14:textId="68AF4261"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96.6%</w:t>
            </w:r>
          </w:p>
        </w:tc>
        <w:tc>
          <w:tcPr>
            <w:tcW w:w="990" w:type="dxa"/>
            <w:tcBorders>
              <w:top w:val="nil"/>
              <w:left w:val="double" w:sz="4" w:space="0" w:color="auto"/>
              <w:bottom w:val="single" w:sz="4" w:space="0" w:color="auto"/>
              <w:right w:val="nil"/>
            </w:tcBorders>
            <w:shd w:val="clear" w:color="auto" w:fill="auto"/>
            <w:noWrap/>
            <w:vAlign w:val="center"/>
            <w:hideMark/>
          </w:tcPr>
          <w:p w14:paraId="7370AF9E" w14:textId="65A8BA98"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450E2B3F" w14:textId="32C28DA1"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95.2%</w:t>
            </w:r>
          </w:p>
        </w:tc>
      </w:tr>
      <w:tr w:rsidR="00D31F50" w:rsidRPr="00CC6A11" w14:paraId="46C0FD43" w14:textId="77777777" w:rsidTr="00D31F50">
        <w:trPr>
          <w:trHeight w:val="503"/>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043ED4B2" w14:textId="61752C3F"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The Participant makes purchases consistent with the Purchasing Plan.</w:t>
            </w:r>
          </w:p>
        </w:tc>
        <w:tc>
          <w:tcPr>
            <w:tcW w:w="990" w:type="dxa"/>
            <w:tcBorders>
              <w:top w:val="nil"/>
              <w:left w:val="double" w:sz="4" w:space="0" w:color="auto"/>
              <w:bottom w:val="single" w:sz="4" w:space="0" w:color="auto"/>
              <w:right w:val="nil"/>
            </w:tcBorders>
            <w:shd w:val="clear" w:color="auto" w:fill="auto"/>
            <w:noWrap/>
            <w:vAlign w:val="center"/>
            <w:hideMark/>
          </w:tcPr>
          <w:p w14:paraId="79725899" w14:textId="19CD754E"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59</w:t>
            </w:r>
          </w:p>
        </w:tc>
        <w:tc>
          <w:tcPr>
            <w:tcW w:w="1260" w:type="dxa"/>
            <w:tcBorders>
              <w:top w:val="nil"/>
              <w:left w:val="nil"/>
              <w:bottom w:val="single" w:sz="4" w:space="0" w:color="auto"/>
              <w:right w:val="double" w:sz="4" w:space="0" w:color="auto"/>
            </w:tcBorders>
            <w:shd w:val="clear" w:color="auto" w:fill="auto"/>
            <w:noWrap/>
            <w:vAlign w:val="center"/>
            <w:hideMark/>
          </w:tcPr>
          <w:p w14:paraId="32BDDEAB" w14:textId="5DB258C1"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93.2%</w:t>
            </w:r>
          </w:p>
        </w:tc>
        <w:tc>
          <w:tcPr>
            <w:tcW w:w="990" w:type="dxa"/>
            <w:tcBorders>
              <w:top w:val="nil"/>
              <w:left w:val="double" w:sz="4" w:space="0" w:color="auto"/>
              <w:bottom w:val="single" w:sz="4" w:space="0" w:color="auto"/>
              <w:right w:val="nil"/>
            </w:tcBorders>
            <w:shd w:val="clear" w:color="auto" w:fill="auto"/>
            <w:noWrap/>
            <w:vAlign w:val="center"/>
            <w:hideMark/>
          </w:tcPr>
          <w:p w14:paraId="39140DFA" w14:textId="6C41FAA2"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83</w:t>
            </w:r>
          </w:p>
        </w:tc>
        <w:tc>
          <w:tcPr>
            <w:tcW w:w="990" w:type="dxa"/>
            <w:tcBorders>
              <w:top w:val="nil"/>
              <w:left w:val="nil"/>
              <w:bottom w:val="single" w:sz="4" w:space="0" w:color="auto"/>
              <w:right w:val="single" w:sz="8" w:space="0" w:color="auto"/>
            </w:tcBorders>
            <w:shd w:val="clear" w:color="auto" w:fill="auto"/>
            <w:noWrap/>
            <w:vAlign w:val="center"/>
            <w:hideMark/>
          </w:tcPr>
          <w:p w14:paraId="51691114" w14:textId="21D1CDF8"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95.2%</w:t>
            </w:r>
          </w:p>
        </w:tc>
      </w:tr>
      <w:tr w:rsidR="00D31F50" w:rsidRPr="00CC6A11" w14:paraId="61654EDB"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74C0DABD" w14:textId="1F11B8B5"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Background screening results for all Directly Hired Employees (DHE’s) who render direct care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259477FA" w14:textId="4FBC221A"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55</w:t>
            </w:r>
          </w:p>
        </w:tc>
        <w:tc>
          <w:tcPr>
            <w:tcW w:w="1260" w:type="dxa"/>
            <w:tcBorders>
              <w:top w:val="nil"/>
              <w:left w:val="nil"/>
              <w:bottom w:val="single" w:sz="4" w:space="0" w:color="auto"/>
              <w:right w:val="double" w:sz="4" w:space="0" w:color="auto"/>
            </w:tcBorders>
            <w:shd w:val="clear" w:color="auto" w:fill="auto"/>
            <w:noWrap/>
            <w:vAlign w:val="center"/>
            <w:hideMark/>
          </w:tcPr>
          <w:p w14:paraId="4BCB7A47" w14:textId="157A9330"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81.8%</w:t>
            </w:r>
          </w:p>
        </w:tc>
        <w:tc>
          <w:tcPr>
            <w:tcW w:w="990" w:type="dxa"/>
            <w:tcBorders>
              <w:top w:val="nil"/>
              <w:left w:val="double" w:sz="4" w:space="0" w:color="auto"/>
              <w:bottom w:val="single" w:sz="4" w:space="0" w:color="auto"/>
              <w:right w:val="nil"/>
            </w:tcBorders>
            <w:shd w:val="clear" w:color="auto" w:fill="auto"/>
            <w:noWrap/>
            <w:vAlign w:val="center"/>
            <w:hideMark/>
          </w:tcPr>
          <w:p w14:paraId="581EC212" w14:textId="389D6133"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70</w:t>
            </w:r>
          </w:p>
        </w:tc>
        <w:tc>
          <w:tcPr>
            <w:tcW w:w="990" w:type="dxa"/>
            <w:tcBorders>
              <w:top w:val="nil"/>
              <w:left w:val="nil"/>
              <w:bottom w:val="single" w:sz="4" w:space="0" w:color="auto"/>
              <w:right w:val="single" w:sz="8" w:space="0" w:color="auto"/>
            </w:tcBorders>
            <w:shd w:val="clear" w:color="auto" w:fill="auto"/>
            <w:noWrap/>
            <w:vAlign w:val="center"/>
            <w:hideMark/>
          </w:tcPr>
          <w:p w14:paraId="2F0802EF" w14:textId="4B514BFB"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81.4%</w:t>
            </w:r>
          </w:p>
        </w:tc>
      </w:tr>
      <w:tr w:rsidR="00D31F50" w:rsidRPr="00CC6A11" w14:paraId="6C3F8FE6" w14:textId="77777777" w:rsidTr="00D31F50">
        <w:trPr>
          <w:trHeight w:val="510"/>
        </w:trPr>
        <w:tc>
          <w:tcPr>
            <w:tcW w:w="5130" w:type="dxa"/>
            <w:tcBorders>
              <w:top w:val="nil"/>
              <w:left w:val="single" w:sz="8" w:space="0" w:color="auto"/>
              <w:bottom w:val="single" w:sz="4" w:space="0" w:color="auto"/>
              <w:right w:val="double" w:sz="4" w:space="0" w:color="auto"/>
            </w:tcBorders>
            <w:shd w:val="clear" w:color="auto" w:fill="auto"/>
            <w:vAlign w:val="center"/>
            <w:hideMark/>
          </w:tcPr>
          <w:p w14:paraId="068F2511" w14:textId="237E49A9" w:rsidR="00D31F50" w:rsidRPr="00707C0A" w:rsidRDefault="00D31F50" w:rsidP="00D31F50">
            <w:pPr>
              <w:spacing w:line="240" w:lineRule="auto"/>
              <w:rPr>
                <w:rFonts w:asciiTheme="minorHAnsi" w:eastAsia="Times New Roman" w:hAnsiTheme="minorHAnsi" w:cstheme="minorHAnsi"/>
                <w:sz w:val="20"/>
                <w:szCs w:val="20"/>
              </w:rPr>
            </w:pPr>
            <w:r w:rsidRPr="00707C0A">
              <w:rPr>
                <w:rFonts w:asciiTheme="minorHAnsi" w:hAnsiTheme="minorHAnsi" w:cstheme="minorHAnsi"/>
                <w:sz w:val="20"/>
                <w:szCs w:val="20"/>
              </w:rPr>
              <w:t>Background screening results for all Independent Contractors who render direct care are available for review.</w:t>
            </w:r>
          </w:p>
        </w:tc>
        <w:tc>
          <w:tcPr>
            <w:tcW w:w="990" w:type="dxa"/>
            <w:tcBorders>
              <w:top w:val="nil"/>
              <w:left w:val="double" w:sz="4" w:space="0" w:color="auto"/>
              <w:bottom w:val="single" w:sz="4" w:space="0" w:color="auto"/>
              <w:right w:val="nil"/>
            </w:tcBorders>
            <w:shd w:val="clear" w:color="auto" w:fill="auto"/>
            <w:noWrap/>
            <w:vAlign w:val="center"/>
            <w:hideMark/>
          </w:tcPr>
          <w:p w14:paraId="3C8DBA2B" w14:textId="4CC4BB42"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20</w:t>
            </w:r>
          </w:p>
        </w:tc>
        <w:tc>
          <w:tcPr>
            <w:tcW w:w="1260" w:type="dxa"/>
            <w:tcBorders>
              <w:top w:val="nil"/>
              <w:left w:val="nil"/>
              <w:bottom w:val="single" w:sz="4" w:space="0" w:color="auto"/>
              <w:right w:val="double" w:sz="4" w:space="0" w:color="auto"/>
            </w:tcBorders>
            <w:shd w:val="clear" w:color="auto" w:fill="auto"/>
            <w:noWrap/>
            <w:vAlign w:val="center"/>
            <w:hideMark/>
          </w:tcPr>
          <w:p w14:paraId="242BD7EB" w14:textId="7022895D" w:rsidR="00D31F50" w:rsidRPr="00707C0A" w:rsidRDefault="00D31F50" w:rsidP="00D31F50">
            <w:pPr>
              <w:spacing w:line="240" w:lineRule="auto"/>
              <w:jc w:val="center"/>
              <w:rPr>
                <w:rFonts w:asciiTheme="minorHAnsi" w:eastAsia="Times New Roman" w:hAnsiTheme="minorHAnsi" w:cstheme="minorHAnsi"/>
                <w:color w:val="000000"/>
                <w:sz w:val="20"/>
                <w:szCs w:val="20"/>
              </w:rPr>
            </w:pPr>
            <w:r w:rsidRPr="00707C0A">
              <w:rPr>
                <w:rFonts w:asciiTheme="minorHAnsi" w:hAnsiTheme="minorHAnsi" w:cstheme="minorHAnsi"/>
                <w:sz w:val="20"/>
                <w:szCs w:val="20"/>
              </w:rPr>
              <w:t>95.0%</w:t>
            </w:r>
          </w:p>
        </w:tc>
        <w:tc>
          <w:tcPr>
            <w:tcW w:w="990" w:type="dxa"/>
            <w:tcBorders>
              <w:top w:val="nil"/>
              <w:left w:val="double" w:sz="4" w:space="0" w:color="auto"/>
              <w:bottom w:val="single" w:sz="4" w:space="0" w:color="auto"/>
              <w:right w:val="nil"/>
            </w:tcBorders>
            <w:shd w:val="clear" w:color="auto" w:fill="auto"/>
            <w:noWrap/>
            <w:vAlign w:val="center"/>
            <w:hideMark/>
          </w:tcPr>
          <w:p w14:paraId="4107131C" w14:textId="7EC53E72"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35</w:t>
            </w:r>
          </w:p>
        </w:tc>
        <w:tc>
          <w:tcPr>
            <w:tcW w:w="990" w:type="dxa"/>
            <w:tcBorders>
              <w:top w:val="nil"/>
              <w:left w:val="nil"/>
              <w:bottom w:val="single" w:sz="4" w:space="0" w:color="auto"/>
              <w:right w:val="single" w:sz="8" w:space="0" w:color="auto"/>
            </w:tcBorders>
            <w:shd w:val="clear" w:color="auto" w:fill="auto"/>
            <w:noWrap/>
            <w:vAlign w:val="center"/>
            <w:hideMark/>
          </w:tcPr>
          <w:p w14:paraId="4774F09D" w14:textId="1902F60A" w:rsidR="00D31F50" w:rsidRPr="00D31F50" w:rsidRDefault="00D31F50" w:rsidP="00D31F50">
            <w:pPr>
              <w:spacing w:line="240" w:lineRule="auto"/>
              <w:jc w:val="center"/>
              <w:rPr>
                <w:rFonts w:asciiTheme="minorHAnsi" w:eastAsia="Times New Roman" w:hAnsiTheme="minorHAnsi" w:cstheme="minorHAnsi"/>
                <w:color w:val="000000"/>
                <w:sz w:val="20"/>
                <w:szCs w:val="20"/>
              </w:rPr>
            </w:pPr>
            <w:r w:rsidRPr="00D31F50">
              <w:rPr>
                <w:rFonts w:asciiTheme="minorHAnsi" w:hAnsiTheme="minorHAnsi"/>
                <w:sz w:val="20"/>
                <w:szCs w:val="20"/>
              </w:rPr>
              <w:t>91.4%</w:t>
            </w:r>
          </w:p>
        </w:tc>
      </w:tr>
      <w:tr w:rsidR="00D31F50" w:rsidRPr="00CC6A11" w14:paraId="6EB1437B" w14:textId="77777777" w:rsidTr="00D31F50">
        <w:trPr>
          <w:trHeight w:val="315"/>
        </w:trPr>
        <w:tc>
          <w:tcPr>
            <w:tcW w:w="5130" w:type="dxa"/>
            <w:tcBorders>
              <w:top w:val="nil"/>
              <w:left w:val="single" w:sz="8" w:space="0" w:color="auto"/>
              <w:bottom w:val="single" w:sz="8" w:space="0" w:color="auto"/>
              <w:right w:val="double" w:sz="4" w:space="0" w:color="auto"/>
            </w:tcBorders>
            <w:shd w:val="clear" w:color="000000" w:fill="D8E4BC"/>
            <w:noWrap/>
            <w:vAlign w:val="bottom"/>
            <w:hideMark/>
          </w:tcPr>
          <w:p w14:paraId="5D8054BA" w14:textId="77777777" w:rsidR="00D31F50" w:rsidRPr="00CC6A11" w:rsidRDefault="00D31F50" w:rsidP="00D31F50">
            <w:pPr>
              <w:spacing w:line="240" w:lineRule="auto"/>
              <w:rPr>
                <w:rFonts w:ascii="Calibri" w:eastAsia="Times New Roman" w:hAnsi="Calibri" w:cs="Calibri"/>
                <w:b/>
                <w:bCs/>
                <w:sz w:val="20"/>
                <w:szCs w:val="20"/>
              </w:rPr>
            </w:pPr>
            <w:r w:rsidRPr="00CC6A11">
              <w:rPr>
                <w:rFonts w:ascii="Calibri" w:eastAsia="Times New Roman" w:hAnsi="Calibri" w:cs="Calibri"/>
                <w:b/>
                <w:bCs/>
                <w:sz w:val="20"/>
                <w:szCs w:val="20"/>
              </w:rPr>
              <w:t>Average CDC+ Representative Record Review Score</w:t>
            </w:r>
          </w:p>
        </w:tc>
        <w:tc>
          <w:tcPr>
            <w:tcW w:w="990" w:type="dxa"/>
            <w:tcBorders>
              <w:top w:val="nil"/>
              <w:left w:val="double" w:sz="4" w:space="0" w:color="auto"/>
              <w:bottom w:val="single" w:sz="8" w:space="0" w:color="auto"/>
              <w:right w:val="nil"/>
            </w:tcBorders>
            <w:shd w:val="clear" w:color="000000" w:fill="D8E4BC"/>
            <w:noWrap/>
            <w:vAlign w:val="bottom"/>
            <w:hideMark/>
          </w:tcPr>
          <w:p w14:paraId="1F3F4C3F" w14:textId="1C8890E8" w:rsidR="00D31F50" w:rsidRPr="00D31F50" w:rsidRDefault="00D31F50" w:rsidP="00D31F50">
            <w:pPr>
              <w:spacing w:line="240" w:lineRule="auto"/>
              <w:jc w:val="center"/>
              <w:rPr>
                <w:rFonts w:ascii="Calibri" w:eastAsia="Times New Roman" w:hAnsi="Calibri" w:cs="Calibri"/>
                <w:b/>
                <w:bCs/>
                <w:color w:val="000000"/>
                <w:sz w:val="20"/>
              </w:rPr>
            </w:pPr>
            <w:r w:rsidRPr="00D31F50">
              <w:rPr>
                <w:rFonts w:ascii="Calibri" w:eastAsia="Times New Roman" w:hAnsi="Calibri" w:cs="Calibri"/>
                <w:b/>
                <w:bCs/>
                <w:color w:val="000000"/>
                <w:sz w:val="20"/>
              </w:rPr>
              <w:t>938</w:t>
            </w:r>
          </w:p>
        </w:tc>
        <w:tc>
          <w:tcPr>
            <w:tcW w:w="1260" w:type="dxa"/>
            <w:tcBorders>
              <w:top w:val="nil"/>
              <w:left w:val="nil"/>
              <w:bottom w:val="single" w:sz="8" w:space="0" w:color="auto"/>
              <w:right w:val="double" w:sz="4" w:space="0" w:color="auto"/>
            </w:tcBorders>
            <w:shd w:val="clear" w:color="000000" w:fill="D8E4BC"/>
            <w:noWrap/>
            <w:vAlign w:val="bottom"/>
            <w:hideMark/>
          </w:tcPr>
          <w:p w14:paraId="5A5CDD35" w14:textId="3CF04DC4" w:rsidR="00D31F50" w:rsidRPr="00D31F50" w:rsidRDefault="00D31F50" w:rsidP="00D31F50">
            <w:pPr>
              <w:spacing w:line="240" w:lineRule="auto"/>
              <w:jc w:val="center"/>
              <w:rPr>
                <w:rFonts w:ascii="Calibri" w:eastAsia="Times New Roman" w:hAnsi="Calibri" w:cs="Calibri"/>
                <w:b/>
                <w:bCs/>
                <w:color w:val="000000"/>
                <w:sz w:val="20"/>
              </w:rPr>
            </w:pPr>
            <w:r w:rsidRPr="00D31F50">
              <w:rPr>
                <w:rFonts w:ascii="Calibri" w:eastAsia="Times New Roman" w:hAnsi="Calibri" w:cs="Calibri"/>
                <w:b/>
                <w:bCs/>
                <w:color w:val="000000"/>
                <w:sz w:val="20"/>
              </w:rPr>
              <w:t>93.5%</w:t>
            </w:r>
          </w:p>
        </w:tc>
        <w:tc>
          <w:tcPr>
            <w:tcW w:w="990" w:type="dxa"/>
            <w:tcBorders>
              <w:top w:val="nil"/>
              <w:left w:val="double" w:sz="4" w:space="0" w:color="auto"/>
              <w:bottom w:val="single" w:sz="8" w:space="0" w:color="auto"/>
              <w:right w:val="nil"/>
            </w:tcBorders>
            <w:shd w:val="clear" w:color="000000" w:fill="D8E4BC"/>
            <w:noWrap/>
            <w:vAlign w:val="bottom"/>
            <w:hideMark/>
          </w:tcPr>
          <w:p w14:paraId="379F2FAB" w14:textId="3D67DB76" w:rsidR="00D31F50" w:rsidRPr="00D31F50" w:rsidRDefault="00D31F50" w:rsidP="00D31F50">
            <w:pPr>
              <w:spacing w:line="240" w:lineRule="auto"/>
              <w:jc w:val="center"/>
              <w:rPr>
                <w:rFonts w:asciiTheme="minorHAnsi" w:eastAsia="Times New Roman" w:hAnsiTheme="minorHAnsi" w:cs="Calibri"/>
                <w:b/>
                <w:bCs/>
                <w:color w:val="000000"/>
                <w:sz w:val="20"/>
                <w:szCs w:val="20"/>
              </w:rPr>
            </w:pPr>
            <w:r w:rsidRPr="00D31F50">
              <w:rPr>
                <w:rFonts w:asciiTheme="minorHAnsi" w:eastAsia="Times New Roman" w:hAnsiTheme="minorHAnsi" w:cs="Calibri"/>
                <w:b/>
                <w:bCs/>
                <w:color w:val="000000"/>
                <w:sz w:val="20"/>
                <w:szCs w:val="20"/>
              </w:rPr>
              <w:t>1,315</w:t>
            </w:r>
          </w:p>
        </w:tc>
        <w:tc>
          <w:tcPr>
            <w:tcW w:w="990" w:type="dxa"/>
            <w:tcBorders>
              <w:top w:val="single" w:sz="4" w:space="0" w:color="auto"/>
              <w:left w:val="nil"/>
              <w:bottom w:val="single" w:sz="8" w:space="0" w:color="auto"/>
              <w:right w:val="single" w:sz="8" w:space="0" w:color="auto"/>
            </w:tcBorders>
            <w:shd w:val="clear" w:color="000000" w:fill="D8E4BC"/>
            <w:noWrap/>
            <w:vAlign w:val="bottom"/>
            <w:hideMark/>
          </w:tcPr>
          <w:p w14:paraId="70F47ECC" w14:textId="6AF88B98" w:rsidR="00D31F50" w:rsidRPr="00D31F50" w:rsidRDefault="00D31F50" w:rsidP="00D31F50">
            <w:pPr>
              <w:spacing w:line="240" w:lineRule="auto"/>
              <w:jc w:val="center"/>
              <w:rPr>
                <w:rFonts w:asciiTheme="minorHAnsi" w:eastAsia="Times New Roman" w:hAnsiTheme="minorHAnsi" w:cs="Calibri"/>
                <w:b/>
                <w:bCs/>
                <w:color w:val="000000"/>
                <w:sz w:val="20"/>
                <w:szCs w:val="20"/>
              </w:rPr>
            </w:pPr>
            <w:r w:rsidRPr="00D31F50">
              <w:rPr>
                <w:rFonts w:asciiTheme="minorHAnsi" w:hAnsiTheme="minorHAnsi"/>
                <w:b/>
                <w:sz w:val="20"/>
                <w:szCs w:val="20"/>
              </w:rPr>
              <w:t>92.9%</w:t>
            </w:r>
          </w:p>
        </w:tc>
      </w:tr>
    </w:tbl>
    <w:p w14:paraId="7DBCCF54" w14:textId="77777777" w:rsidR="00956AE3" w:rsidRDefault="00956AE3" w:rsidP="00CC6A11">
      <w:pPr>
        <w:spacing w:line="240" w:lineRule="auto"/>
      </w:pPr>
    </w:p>
    <w:p w14:paraId="5C166145" w14:textId="77777777" w:rsidR="00956AE3" w:rsidRPr="004015D6" w:rsidRDefault="00956AE3" w:rsidP="00956AE3">
      <w:pPr>
        <w:pStyle w:val="Heading3"/>
        <w:rPr>
          <w:rStyle w:val="Heading3Char"/>
          <w:b/>
          <w:bCs/>
        </w:rPr>
      </w:pPr>
      <w:bookmarkStart w:id="40" w:name="_Toc64285533"/>
      <w:bookmarkEnd w:id="39"/>
      <w:r w:rsidRPr="004015D6">
        <w:rPr>
          <w:rStyle w:val="Heading3Char"/>
          <w:b/>
          <w:bCs/>
        </w:rPr>
        <w:t>PCR Summary Results</w:t>
      </w:r>
      <w:bookmarkEnd w:id="40"/>
    </w:p>
    <w:p w14:paraId="619E7B9E" w14:textId="214CC1B7" w:rsidR="00956AE3" w:rsidRDefault="00956AE3" w:rsidP="00956AE3">
      <w:pPr>
        <w:tabs>
          <w:tab w:val="left" w:pos="7096"/>
        </w:tabs>
      </w:pPr>
      <w:r w:rsidRPr="005966C7">
        <w:t xml:space="preserve">A summary of scores from the PCR components is </w:t>
      </w:r>
      <w:r w:rsidR="009707DC" w:rsidRPr="005966C7">
        <w:t>present</w:t>
      </w:r>
      <w:r w:rsidRPr="005966C7">
        <w:t>ed in the following figure.</w:t>
      </w:r>
      <w:r w:rsidR="001C3D6D" w:rsidRPr="005966C7">
        <w:t xml:space="preserve"> </w:t>
      </w:r>
      <w:r w:rsidRPr="005966C7">
        <w:t xml:space="preserve">Average scores </w:t>
      </w:r>
      <w:r w:rsidR="0079312D" w:rsidRPr="005966C7">
        <w:t>we</w:t>
      </w:r>
      <w:r w:rsidRPr="005966C7">
        <w:t xml:space="preserve">re relatively high across all the areas. My Life Interview outcomes </w:t>
      </w:r>
      <w:r w:rsidR="0079312D" w:rsidRPr="005966C7">
        <w:t>we</w:t>
      </w:r>
      <w:r w:rsidRPr="005966C7">
        <w:t>re low</w:t>
      </w:r>
      <w:r w:rsidR="0079312D" w:rsidRPr="005966C7">
        <w:t>e</w:t>
      </w:r>
      <w:r w:rsidR="001C3D6D" w:rsidRPr="005966C7">
        <w:t>r</w:t>
      </w:r>
      <w:r w:rsidRPr="005966C7">
        <w:t xml:space="preserve"> </w:t>
      </w:r>
      <w:r w:rsidR="0079312D" w:rsidRPr="005966C7">
        <w:t xml:space="preserve">compared to all other areas, and the CDC+ </w:t>
      </w:r>
      <w:r w:rsidR="00AA1589" w:rsidRPr="005966C7">
        <w:t>Consultant</w:t>
      </w:r>
      <w:r w:rsidR="0079312D" w:rsidRPr="005966C7">
        <w:t xml:space="preserve"> Record Review was the </w:t>
      </w:r>
      <w:r w:rsidR="005966C7">
        <w:t>low</w:t>
      </w:r>
      <w:r w:rsidR="0079312D" w:rsidRPr="005966C7">
        <w:t>est scoring record review area</w:t>
      </w:r>
      <w:r w:rsidRPr="005966C7">
        <w:t>.</w:t>
      </w:r>
      <w:r w:rsidR="00516260">
        <w:t xml:space="preserve"> </w:t>
      </w:r>
    </w:p>
    <w:p w14:paraId="1D852FC0" w14:textId="77777777" w:rsidR="007135F7" w:rsidRDefault="007135F7" w:rsidP="007135F7">
      <w:pPr>
        <w:pStyle w:val="ListParagraph"/>
        <w:spacing w:line="240" w:lineRule="auto"/>
        <w:ind w:left="0"/>
      </w:pPr>
    </w:p>
    <w:p w14:paraId="32403578" w14:textId="4B38D31F" w:rsidR="007135F7" w:rsidRDefault="007135F7">
      <w:pPr>
        <w:spacing w:after="160" w:line="259" w:lineRule="auto"/>
      </w:pPr>
      <w:r>
        <w:br w:type="page"/>
      </w:r>
    </w:p>
    <w:p w14:paraId="5E0834B6" w14:textId="77777777" w:rsidR="007135F7" w:rsidRDefault="007135F7" w:rsidP="007135F7">
      <w:pPr>
        <w:pStyle w:val="ListParagraph"/>
        <w:spacing w:line="240" w:lineRule="auto"/>
        <w:ind w:left="0"/>
      </w:pPr>
    </w:p>
    <w:p w14:paraId="55E7F63D" w14:textId="188F4CC7" w:rsidR="00956AE3" w:rsidRDefault="00193CE3" w:rsidP="00E83435">
      <w:pPr>
        <w:spacing w:after="160" w:line="259" w:lineRule="auto"/>
        <w:rPr>
          <w:rFonts w:ascii="Franklin Gothic Medium" w:hAnsi="Franklin Gothic Medium"/>
          <w:sz w:val="22"/>
        </w:rPr>
      </w:pPr>
      <w:r w:rsidRPr="00062919">
        <w:rPr>
          <w:rFonts w:ascii="Franklin Gothic Medium" w:hAnsi="Franklin Gothic Medium"/>
        </w:rPr>
        <w:t>F</w:t>
      </w:r>
      <w:r w:rsidR="00956AE3" w:rsidRPr="00F84742">
        <w:rPr>
          <w:rFonts w:ascii="Franklin Gothic Medium" w:hAnsi="Franklin Gothic Medium"/>
          <w:sz w:val="22"/>
        </w:rPr>
        <w:t>igure 1</w:t>
      </w:r>
      <w:r w:rsidR="00AD44E4">
        <w:rPr>
          <w:rFonts w:ascii="Franklin Gothic Medium" w:hAnsi="Franklin Gothic Medium"/>
          <w:sz w:val="22"/>
        </w:rPr>
        <w:t>0</w:t>
      </w:r>
      <w:r w:rsidR="00956AE3" w:rsidRPr="00F84742">
        <w:rPr>
          <w:rFonts w:ascii="Franklin Gothic Medium" w:hAnsi="Franklin Gothic Medium"/>
          <w:sz w:val="22"/>
        </w:rPr>
        <w:t>. PCR Summary</w:t>
      </w:r>
    </w:p>
    <w:p w14:paraId="3EDE55A1" w14:textId="62D61623" w:rsidR="00956AE3" w:rsidRDefault="00956AE3" w:rsidP="00956AE3">
      <w:pPr>
        <w:tabs>
          <w:tab w:val="left" w:pos="7096"/>
        </w:tabs>
        <w:spacing w:line="240" w:lineRule="auto"/>
        <w:rPr>
          <w:rFonts w:ascii="Franklin Gothic Medium" w:hAnsi="Franklin Gothic Medium"/>
          <w:sz w:val="22"/>
        </w:rPr>
      </w:pPr>
      <w:r>
        <w:rPr>
          <w:noProof/>
        </w:rPr>
        <w:drawing>
          <wp:inline distT="0" distB="0" distL="0" distR="0" wp14:anchorId="27F3F0F1" wp14:editId="2241A0C9">
            <wp:extent cx="5943600" cy="2553005"/>
            <wp:effectExtent l="0" t="0" r="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16FA7DFE" w14:textId="77777777" w:rsidR="00956AE3" w:rsidRPr="00F84742" w:rsidRDefault="00956AE3" w:rsidP="00956AE3">
      <w:pPr>
        <w:tabs>
          <w:tab w:val="left" w:pos="7096"/>
        </w:tabs>
        <w:rPr>
          <w:rFonts w:ascii="Franklin Gothic Medium" w:hAnsi="Franklin Gothic Medium"/>
          <w:sz w:val="22"/>
        </w:rPr>
      </w:pPr>
    </w:p>
    <w:p w14:paraId="2412AD8D" w14:textId="77777777" w:rsidR="00B71C89" w:rsidRDefault="00B71C89" w:rsidP="00B71C89">
      <w:pPr>
        <w:pStyle w:val="Heading3"/>
      </w:pPr>
      <w:bookmarkStart w:id="41" w:name="_Toc64285534"/>
      <w:r>
        <w:t>Health Summary</w:t>
      </w:r>
      <w:bookmarkEnd w:id="41"/>
    </w:p>
    <w:p w14:paraId="7B98BA22" w14:textId="77777777" w:rsidR="00B71C89" w:rsidRDefault="00B71C89" w:rsidP="00B71C89">
      <w:r>
        <w:rPr>
          <w:noProof/>
        </w:rPr>
        <w:drawing>
          <wp:anchor distT="0" distB="0" distL="114300" distR="114300" simplePos="0" relativeHeight="251692087" behindDoc="0" locked="0" layoutInCell="1" allowOverlap="1" wp14:anchorId="12E3CC09" wp14:editId="481726F2">
            <wp:simplePos x="0" y="0"/>
            <wp:positionH relativeFrom="margin">
              <wp:align>left</wp:align>
            </wp:positionH>
            <wp:positionV relativeFrom="paragraph">
              <wp:posOffset>108585</wp:posOffset>
            </wp:positionV>
            <wp:extent cx="1320165" cy="923925"/>
            <wp:effectExtent l="0" t="0" r="0" b="9525"/>
            <wp:wrapSquare wrapText="bothSides"/>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7">
                      <a:extLst>
                        <a:ext uri="{BEBA8EAE-BF5A-486C-A8C5-ECC9F3942E4B}">
                          <a14:imgProps xmlns:a14="http://schemas.microsoft.com/office/drawing/2010/main">
                            <a14:imgLayer r:embed="rId58">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320165" cy="9239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9D0E16">
        <w:t xml:space="preserve"> </w:t>
      </w:r>
      <w:r w:rsidRPr="00714917">
        <w:t xml:space="preserve">During the PCR, </w:t>
      </w:r>
      <w:r>
        <w:t>Qlarant</w:t>
      </w:r>
      <w:r w:rsidRPr="00714917">
        <w:t xml:space="preserve"> </w:t>
      </w:r>
      <w:r>
        <w:t>QAR</w:t>
      </w:r>
      <w:r w:rsidRPr="00714917">
        <w:t xml:space="preserve">s utilize an extensive Health Summary tool to help </w:t>
      </w:r>
      <w:r>
        <w:t>capture facets of</w:t>
      </w:r>
      <w:r w:rsidRPr="00714917">
        <w:t xml:space="preserve"> the </w:t>
      </w:r>
      <w:r>
        <w:t>person</w:t>
      </w:r>
      <w:r w:rsidRPr="00714917">
        <w:t>’s health status, such as a need for adaptive equipment; if visits have been made to the doctor or dentist; if the person has been hospitalized or been to the emergency room; and type and number of</w:t>
      </w:r>
      <w:r w:rsidRPr="003649E9">
        <w:t xml:space="preserve"> </w:t>
      </w:r>
      <w:r>
        <w:t>medications</w:t>
      </w:r>
      <w:r w:rsidRPr="003649E9">
        <w:t xml:space="preserve"> the person is taking.</w:t>
      </w:r>
      <w:r>
        <w:t xml:space="preserve"> </w:t>
      </w:r>
    </w:p>
    <w:p w14:paraId="2D29A83C" w14:textId="77777777" w:rsidR="00B71C89" w:rsidRDefault="00B71C89" w:rsidP="00B71C89"/>
    <w:p w14:paraId="3227BF45" w14:textId="77777777" w:rsidR="00B71C89" w:rsidRDefault="00B71C89" w:rsidP="00B71C89">
      <w:r>
        <w:rPr>
          <w:noProof/>
        </w:rPr>
        <w:drawing>
          <wp:anchor distT="0" distB="0" distL="114300" distR="114300" simplePos="0" relativeHeight="251694135" behindDoc="0" locked="0" layoutInCell="1" allowOverlap="1" wp14:anchorId="3B3DFC2A" wp14:editId="53FFA076">
            <wp:simplePos x="0" y="0"/>
            <wp:positionH relativeFrom="margin">
              <wp:posOffset>2870200</wp:posOffset>
            </wp:positionH>
            <wp:positionV relativeFrom="paragraph">
              <wp:posOffset>20320</wp:posOffset>
            </wp:positionV>
            <wp:extent cx="3410585" cy="2384425"/>
            <wp:effectExtent l="0" t="0" r="0" b="0"/>
            <wp:wrapSquare wrapText="bothSides"/>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t xml:space="preserve">Figure 11 </w:t>
      </w:r>
      <w:r w:rsidRPr="000C55D3">
        <w:t>show</w:t>
      </w:r>
      <w:r>
        <w:t>s</w:t>
      </w:r>
      <w:r w:rsidRPr="000C55D3">
        <w:t xml:space="preserve"> the percent of </w:t>
      </w:r>
      <w:r>
        <w:t>people</w:t>
      </w:r>
      <w:r w:rsidRPr="000C55D3">
        <w:t xml:space="preserve"> receiving services</w:t>
      </w:r>
      <w:r>
        <w:t xml:space="preserve"> by waiver type and</w:t>
      </w:r>
      <w:r w:rsidRPr="000C55D3">
        <w:t xml:space="preserve"> t</w:t>
      </w:r>
      <w:r>
        <w:t>he number of medications taken.</w:t>
      </w:r>
      <w:r w:rsidRPr="00E32649">
        <w:rPr>
          <w:rStyle w:val="FootnoteReference"/>
        </w:rPr>
        <w:footnoteReference w:id="8"/>
      </w:r>
      <w:r>
        <w:t xml:space="preserve"> The pattern to date is similar to previous years, with approximately 40 to 42 percent of people on the Waiver using five or more </w:t>
      </w:r>
      <w:r w:rsidRPr="00015C79">
        <w:t>medications</w:t>
      </w:r>
      <w:r>
        <w:t xml:space="preserve">, compared to about one quarter of people using CDC+. </w:t>
      </w:r>
    </w:p>
    <w:p w14:paraId="39E179C2" w14:textId="77777777" w:rsidR="00B71C89" w:rsidRDefault="00B71C89" w:rsidP="00B71C89">
      <w:pPr>
        <w:spacing w:line="240" w:lineRule="auto"/>
      </w:pPr>
    </w:p>
    <w:p w14:paraId="1A08CA17" w14:textId="77777777" w:rsidR="00B71C89" w:rsidRDefault="00B71C89" w:rsidP="00B71C89">
      <w:r w:rsidRPr="00317729">
        <w:t>Additional analysis is presented by region in Table 1</w:t>
      </w:r>
      <w:r>
        <w:t>2</w:t>
      </w:r>
      <w:r w:rsidRPr="00317729">
        <w:t xml:space="preserve">. </w:t>
      </w:r>
      <w:r>
        <w:t>Data to date indicate the use of multiple medications for Waiver recipients is relatively lower in the Southeast, compared to other regions. However, the current Southeast rate of 34.0 percent represents an increase from last year (4</w:t>
      </w:r>
      <w:r w:rsidRPr="00502E4D">
        <w:rPr>
          <w:vertAlign w:val="superscript"/>
        </w:rPr>
        <w:t>th</w:t>
      </w:r>
      <w:r>
        <w:t xml:space="preserve"> Quarter only) of approximately six percentage points. The data also show increases of seven and nine points in the Northwest and Northeast respectively. </w:t>
      </w:r>
    </w:p>
    <w:p w14:paraId="5E3D9A30" w14:textId="77777777" w:rsidR="00B71C89" w:rsidRDefault="00B71C89" w:rsidP="00B71C89"/>
    <w:tbl>
      <w:tblPr>
        <w:tblW w:w="9090" w:type="dxa"/>
        <w:tblInd w:w="-10" w:type="dxa"/>
        <w:tblLook w:val="04A0" w:firstRow="1" w:lastRow="0" w:firstColumn="1" w:lastColumn="0" w:noHBand="0" w:noVBand="1"/>
      </w:tblPr>
      <w:tblGrid>
        <w:gridCol w:w="1167"/>
        <w:gridCol w:w="993"/>
        <w:gridCol w:w="1080"/>
        <w:gridCol w:w="900"/>
        <w:gridCol w:w="1080"/>
        <w:gridCol w:w="810"/>
        <w:gridCol w:w="1080"/>
        <w:gridCol w:w="900"/>
        <w:gridCol w:w="1080"/>
      </w:tblGrid>
      <w:tr w:rsidR="00B71C89" w:rsidRPr="000A79E2" w14:paraId="4BBACB53" w14:textId="77777777" w:rsidTr="00552E30">
        <w:trPr>
          <w:trHeight w:val="315"/>
          <w:tblHeader/>
        </w:trPr>
        <w:tc>
          <w:tcPr>
            <w:tcW w:w="9090" w:type="dxa"/>
            <w:gridSpan w:val="9"/>
            <w:tcBorders>
              <w:top w:val="single" w:sz="8" w:space="0" w:color="auto"/>
              <w:left w:val="single" w:sz="8" w:space="0" w:color="auto"/>
              <w:bottom w:val="single" w:sz="4" w:space="0" w:color="auto"/>
              <w:right w:val="single" w:sz="8" w:space="0" w:color="000000"/>
            </w:tcBorders>
            <w:shd w:val="clear" w:color="auto" w:fill="1F4E79" w:themeFill="accent1" w:themeFillShade="80"/>
            <w:noWrap/>
            <w:vAlign w:val="center"/>
            <w:hideMark/>
          </w:tcPr>
          <w:p w14:paraId="7C51085D" w14:textId="77777777" w:rsidR="00B71C89" w:rsidRPr="000A79E2" w:rsidRDefault="00B71C89" w:rsidP="00F94347">
            <w:pPr>
              <w:spacing w:line="240" w:lineRule="auto"/>
              <w:jc w:val="center"/>
              <w:rPr>
                <w:rFonts w:ascii="Franklin Gothic Medium" w:eastAsia="Times New Roman" w:hAnsi="Franklin Gothic Medium" w:cs="Calibri"/>
                <w:color w:val="FFFFFF"/>
                <w:sz w:val="22"/>
              </w:rPr>
            </w:pPr>
            <w:r w:rsidRPr="000A79E2">
              <w:rPr>
                <w:rFonts w:ascii="Franklin Gothic Medium" w:eastAsia="Times New Roman" w:hAnsi="Franklin Gothic Medium" w:cs="Calibri"/>
                <w:color w:val="FFFFFF"/>
                <w:sz w:val="22"/>
              </w:rPr>
              <w:t>Table 1</w:t>
            </w:r>
            <w:r>
              <w:rPr>
                <w:rFonts w:ascii="Franklin Gothic Medium" w:eastAsia="Times New Roman" w:hAnsi="Franklin Gothic Medium" w:cs="Calibri"/>
                <w:color w:val="FFFFFF"/>
                <w:sz w:val="22"/>
              </w:rPr>
              <w:t>2</w:t>
            </w:r>
            <w:r w:rsidRPr="000A79E2">
              <w:rPr>
                <w:rFonts w:ascii="Franklin Gothic Medium" w:eastAsia="Times New Roman" w:hAnsi="Franklin Gothic Medium" w:cs="Calibri"/>
                <w:color w:val="FFFFFF"/>
                <w:sz w:val="22"/>
              </w:rPr>
              <w:t>.  Taking 5+ Medications by Region</w:t>
            </w:r>
          </w:p>
        </w:tc>
      </w:tr>
      <w:tr w:rsidR="00B71C89" w:rsidRPr="000A79E2" w14:paraId="7D4FE24A" w14:textId="77777777" w:rsidTr="00552E30">
        <w:trPr>
          <w:trHeight w:val="300"/>
          <w:tblHeader/>
        </w:trPr>
        <w:tc>
          <w:tcPr>
            <w:tcW w:w="1167" w:type="dxa"/>
            <w:tcBorders>
              <w:top w:val="nil"/>
              <w:left w:val="single" w:sz="8" w:space="0" w:color="auto"/>
              <w:bottom w:val="single" w:sz="4" w:space="0" w:color="auto"/>
              <w:right w:val="nil"/>
            </w:tcBorders>
            <w:shd w:val="clear" w:color="auto" w:fill="1F4E79" w:themeFill="accent1" w:themeFillShade="80"/>
            <w:noWrap/>
            <w:vAlign w:val="bottom"/>
            <w:hideMark/>
          </w:tcPr>
          <w:p w14:paraId="58170C96"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 </w:t>
            </w:r>
          </w:p>
        </w:tc>
        <w:tc>
          <w:tcPr>
            <w:tcW w:w="4053" w:type="dxa"/>
            <w:gridSpan w:val="4"/>
            <w:tcBorders>
              <w:top w:val="single" w:sz="4" w:space="0" w:color="auto"/>
              <w:left w:val="nil"/>
              <w:bottom w:val="single" w:sz="4" w:space="0" w:color="auto"/>
              <w:right w:val="nil"/>
            </w:tcBorders>
            <w:shd w:val="clear" w:color="auto" w:fill="1F4E79" w:themeFill="accent1" w:themeFillShade="80"/>
            <w:noWrap/>
            <w:vAlign w:val="center"/>
            <w:hideMark/>
          </w:tcPr>
          <w:p w14:paraId="074AC3BE" w14:textId="77777777" w:rsidR="00B71C89" w:rsidRPr="000A79E2" w:rsidRDefault="00B71C89" w:rsidP="00F94347">
            <w:pPr>
              <w:spacing w:line="240" w:lineRule="auto"/>
              <w:jc w:val="center"/>
              <w:rPr>
                <w:rFonts w:ascii="Calibri" w:eastAsia="Times New Roman" w:hAnsi="Calibri" w:cs="Calibri"/>
                <w:color w:val="FFFFFF"/>
                <w:sz w:val="22"/>
              </w:rPr>
            </w:pPr>
            <w:r w:rsidRPr="000A79E2">
              <w:rPr>
                <w:rFonts w:ascii="Calibri" w:eastAsia="Times New Roman" w:hAnsi="Calibri" w:cs="Calibri"/>
                <w:color w:val="FFFFFF"/>
                <w:sz w:val="22"/>
              </w:rPr>
              <w:t>Waiver</w:t>
            </w:r>
          </w:p>
        </w:tc>
        <w:tc>
          <w:tcPr>
            <w:tcW w:w="3870" w:type="dxa"/>
            <w:gridSpan w:val="4"/>
            <w:tcBorders>
              <w:top w:val="single" w:sz="4" w:space="0" w:color="auto"/>
              <w:left w:val="nil"/>
              <w:bottom w:val="single" w:sz="4" w:space="0" w:color="auto"/>
              <w:right w:val="single" w:sz="8" w:space="0" w:color="000000"/>
            </w:tcBorders>
            <w:shd w:val="clear" w:color="auto" w:fill="1F4E79" w:themeFill="accent1" w:themeFillShade="80"/>
            <w:noWrap/>
            <w:vAlign w:val="center"/>
            <w:hideMark/>
          </w:tcPr>
          <w:p w14:paraId="5A43FD0E" w14:textId="77777777" w:rsidR="00B71C89" w:rsidRPr="000A79E2" w:rsidRDefault="00B71C89" w:rsidP="00F94347">
            <w:pPr>
              <w:spacing w:line="240" w:lineRule="auto"/>
              <w:jc w:val="center"/>
              <w:rPr>
                <w:rFonts w:ascii="Calibri" w:eastAsia="Times New Roman" w:hAnsi="Calibri" w:cs="Calibri"/>
                <w:color w:val="FFFFFF"/>
                <w:sz w:val="22"/>
              </w:rPr>
            </w:pPr>
            <w:r w:rsidRPr="000A79E2">
              <w:rPr>
                <w:rFonts w:ascii="Calibri" w:eastAsia="Times New Roman" w:hAnsi="Calibri" w:cs="Calibri"/>
                <w:color w:val="FFFFFF"/>
                <w:sz w:val="22"/>
              </w:rPr>
              <w:t>CDC+</w:t>
            </w:r>
          </w:p>
        </w:tc>
      </w:tr>
      <w:tr w:rsidR="00B71C89" w:rsidRPr="000A79E2" w14:paraId="54B47F63" w14:textId="77777777" w:rsidTr="00F94347">
        <w:trPr>
          <w:trHeight w:val="300"/>
          <w:tblHeader/>
        </w:trPr>
        <w:tc>
          <w:tcPr>
            <w:tcW w:w="1167" w:type="dxa"/>
            <w:tcBorders>
              <w:top w:val="single" w:sz="4" w:space="0" w:color="auto"/>
              <w:left w:val="single" w:sz="8" w:space="0" w:color="auto"/>
              <w:right w:val="nil"/>
            </w:tcBorders>
            <w:shd w:val="clear" w:color="auto" w:fill="EDEDED" w:themeFill="accent3" w:themeFillTint="33"/>
            <w:noWrap/>
            <w:vAlign w:val="center"/>
            <w:hideMark/>
          </w:tcPr>
          <w:p w14:paraId="7CA939C6" w14:textId="77777777" w:rsidR="00B71C89" w:rsidRPr="000A79E2" w:rsidRDefault="00B71C89" w:rsidP="00F94347">
            <w:pPr>
              <w:spacing w:line="240" w:lineRule="auto"/>
              <w:rPr>
                <w:rFonts w:ascii="Calibri" w:eastAsia="Times New Roman" w:hAnsi="Calibri" w:cs="Calibri"/>
                <w:color w:val="FFFFFF"/>
                <w:sz w:val="22"/>
              </w:rPr>
            </w:pPr>
            <w:r w:rsidRPr="000A79E2">
              <w:rPr>
                <w:rFonts w:ascii="Calibri" w:eastAsia="Times New Roman" w:hAnsi="Calibri" w:cs="Calibri"/>
                <w:color w:val="FFFFFF"/>
                <w:sz w:val="22"/>
              </w:rPr>
              <w:t> </w:t>
            </w:r>
          </w:p>
        </w:tc>
        <w:tc>
          <w:tcPr>
            <w:tcW w:w="2073" w:type="dxa"/>
            <w:gridSpan w:val="2"/>
            <w:tcBorders>
              <w:top w:val="single" w:sz="4" w:space="0" w:color="auto"/>
              <w:left w:val="double" w:sz="6" w:space="0" w:color="auto"/>
              <w:bottom w:val="single" w:sz="4" w:space="0" w:color="auto"/>
              <w:right w:val="nil"/>
            </w:tcBorders>
            <w:shd w:val="clear" w:color="auto" w:fill="EDEDED" w:themeFill="accent3" w:themeFillTint="33"/>
            <w:noWrap/>
            <w:vAlign w:val="bottom"/>
            <w:hideMark/>
          </w:tcPr>
          <w:p w14:paraId="031A5BBE" w14:textId="77777777" w:rsidR="00B71C89" w:rsidRPr="0031710F" w:rsidRDefault="00B71C89" w:rsidP="00F94347">
            <w:pPr>
              <w:spacing w:line="240" w:lineRule="auto"/>
              <w:jc w:val="center"/>
              <w:rPr>
                <w:rFonts w:ascii="Calibri" w:eastAsia="Times New Roman" w:hAnsi="Calibri" w:cs="Calibri"/>
                <w:color w:val="000000"/>
                <w:sz w:val="22"/>
              </w:rPr>
            </w:pPr>
            <w:r w:rsidRPr="0031710F">
              <w:rPr>
                <w:rFonts w:ascii="Calibri" w:eastAsia="Times New Roman" w:hAnsi="Calibri" w:cs="Calibri"/>
                <w:color w:val="000000"/>
                <w:sz w:val="22"/>
              </w:rPr>
              <w:t>Y3Q4</w:t>
            </w:r>
          </w:p>
        </w:tc>
        <w:tc>
          <w:tcPr>
            <w:tcW w:w="1980" w:type="dxa"/>
            <w:gridSpan w:val="2"/>
            <w:tcBorders>
              <w:top w:val="single" w:sz="4" w:space="0" w:color="auto"/>
              <w:left w:val="nil"/>
              <w:bottom w:val="single" w:sz="4" w:space="0" w:color="auto"/>
              <w:right w:val="double" w:sz="6" w:space="0" w:color="000000"/>
            </w:tcBorders>
            <w:shd w:val="clear" w:color="auto" w:fill="EDEDED" w:themeFill="accent3" w:themeFillTint="33"/>
            <w:noWrap/>
            <w:vAlign w:val="bottom"/>
            <w:hideMark/>
          </w:tcPr>
          <w:p w14:paraId="253E3069" w14:textId="77777777" w:rsidR="00B71C89" w:rsidRPr="0031710F" w:rsidRDefault="00B71C89" w:rsidP="00F94347">
            <w:pPr>
              <w:spacing w:line="240" w:lineRule="auto"/>
              <w:jc w:val="center"/>
              <w:rPr>
                <w:rFonts w:ascii="Calibri" w:eastAsia="Times New Roman" w:hAnsi="Calibri" w:cs="Calibri"/>
                <w:color w:val="000000"/>
                <w:sz w:val="22"/>
              </w:rPr>
            </w:pPr>
            <w:r w:rsidRPr="0031710F">
              <w:rPr>
                <w:rFonts w:ascii="Calibri" w:eastAsia="Times New Roman" w:hAnsi="Calibri" w:cs="Calibri"/>
                <w:color w:val="000000"/>
                <w:sz w:val="22"/>
              </w:rPr>
              <w:t>Y4Q1</w:t>
            </w:r>
            <w:r>
              <w:rPr>
                <w:rFonts w:ascii="Calibri" w:eastAsia="Times New Roman" w:hAnsi="Calibri" w:cs="Calibri"/>
                <w:color w:val="000000"/>
                <w:sz w:val="22"/>
              </w:rPr>
              <w:t>-2</w:t>
            </w:r>
          </w:p>
        </w:tc>
        <w:tc>
          <w:tcPr>
            <w:tcW w:w="1890" w:type="dxa"/>
            <w:gridSpan w:val="2"/>
            <w:tcBorders>
              <w:top w:val="single" w:sz="4" w:space="0" w:color="auto"/>
              <w:left w:val="nil"/>
              <w:bottom w:val="single" w:sz="4" w:space="0" w:color="auto"/>
              <w:right w:val="nil"/>
            </w:tcBorders>
            <w:shd w:val="clear" w:color="auto" w:fill="EDEDED" w:themeFill="accent3" w:themeFillTint="33"/>
            <w:noWrap/>
            <w:vAlign w:val="bottom"/>
            <w:hideMark/>
          </w:tcPr>
          <w:p w14:paraId="5DD40250" w14:textId="77777777" w:rsidR="00B71C89" w:rsidRPr="0031710F" w:rsidRDefault="00B71C89" w:rsidP="00F94347">
            <w:pPr>
              <w:spacing w:line="240" w:lineRule="auto"/>
              <w:jc w:val="center"/>
              <w:rPr>
                <w:rFonts w:asciiTheme="minorHAnsi" w:eastAsia="Times New Roman" w:hAnsiTheme="minorHAnsi" w:cstheme="minorHAnsi"/>
                <w:color w:val="000000"/>
                <w:sz w:val="22"/>
              </w:rPr>
            </w:pPr>
            <w:r w:rsidRPr="0031710F">
              <w:rPr>
                <w:rFonts w:asciiTheme="minorHAnsi" w:hAnsiTheme="minorHAnsi" w:cstheme="minorHAnsi"/>
                <w:sz w:val="22"/>
              </w:rPr>
              <w:t>Y3Q4</w:t>
            </w:r>
          </w:p>
        </w:tc>
        <w:tc>
          <w:tcPr>
            <w:tcW w:w="1980" w:type="dxa"/>
            <w:gridSpan w:val="2"/>
            <w:tcBorders>
              <w:top w:val="single" w:sz="4" w:space="0" w:color="auto"/>
              <w:left w:val="nil"/>
              <w:bottom w:val="single" w:sz="4" w:space="0" w:color="auto"/>
              <w:right w:val="single" w:sz="8" w:space="0" w:color="000000"/>
            </w:tcBorders>
            <w:shd w:val="clear" w:color="auto" w:fill="EDEDED" w:themeFill="accent3" w:themeFillTint="33"/>
            <w:noWrap/>
            <w:vAlign w:val="bottom"/>
            <w:hideMark/>
          </w:tcPr>
          <w:p w14:paraId="2969A38F" w14:textId="77777777" w:rsidR="00B71C89" w:rsidRPr="0031710F" w:rsidRDefault="00B71C89" w:rsidP="00F94347">
            <w:pPr>
              <w:spacing w:line="240" w:lineRule="auto"/>
              <w:jc w:val="center"/>
              <w:rPr>
                <w:rFonts w:asciiTheme="minorHAnsi" w:eastAsia="Times New Roman" w:hAnsiTheme="minorHAnsi" w:cstheme="minorHAnsi"/>
                <w:color w:val="000000"/>
                <w:sz w:val="22"/>
              </w:rPr>
            </w:pPr>
            <w:r w:rsidRPr="0031710F">
              <w:rPr>
                <w:rFonts w:asciiTheme="minorHAnsi" w:hAnsiTheme="minorHAnsi" w:cstheme="minorHAnsi"/>
                <w:sz w:val="22"/>
              </w:rPr>
              <w:t>Y4Q1</w:t>
            </w:r>
            <w:r>
              <w:rPr>
                <w:rFonts w:asciiTheme="minorHAnsi" w:hAnsiTheme="minorHAnsi" w:cstheme="minorHAnsi"/>
                <w:sz w:val="22"/>
              </w:rPr>
              <w:t>-2</w:t>
            </w:r>
          </w:p>
        </w:tc>
      </w:tr>
      <w:tr w:rsidR="00B71C89" w:rsidRPr="000A79E2" w14:paraId="568FD1BC" w14:textId="77777777" w:rsidTr="00F94347">
        <w:trPr>
          <w:trHeight w:val="600"/>
          <w:tblHeader/>
        </w:trPr>
        <w:tc>
          <w:tcPr>
            <w:tcW w:w="1167" w:type="dxa"/>
            <w:tcBorders>
              <w:left w:val="single" w:sz="8" w:space="0" w:color="auto"/>
              <w:bottom w:val="single" w:sz="4" w:space="0" w:color="auto"/>
              <w:right w:val="nil"/>
            </w:tcBorders>
            <w:shd w:val="clear" w:color="auto" w:fill="EDEDED" w:themeFill="accent3" w:themeFillTint="33"/>
            <w:noWrap/>
            <w:vAlign w:val="bottom"/>
            <w:hideMark/>
          </w:tcPr>
          <w:p w14:paraId="2B87DC06" w14:textId="77777777" w:rsidR="00B71C89" w:rsidRPr="000A79E2" w:rsidRDefault="00B71C89" w:rsidP="00F94347">
            <w:pPr>
              <w:spacing w:line="240" w:lineRule="auto"/>
              <w:rPr>
                <w:rFonts w:ascii="Calibri" w:eastAsia="Times New Roman" w:hAnsi="Calibri" w:cs="Calibri"/>
                <w:sz w:val="22"/>
              </w:rPr>
            </w:pPr>
            <w:r w:rsidRPr="000A79E2">
              <w:rPr>
                <w:rFonts w:ascii="Calibri" w:eastAsia="Times New Roman" w:hAnsi="Calibri" w:cs="Calibri"/>
                <w:sz w:val="22"/>
              </w:rPr>
              <w:t>Region</w:t>
            </w:r>
          </w:p>
        </w:tc>
        <w:tc>
          <w:tcPr>
            <w:tcW w:w="993" w:type="dxa"/>
            <w:tcBorders>
              <w:top w:val="nil"/>
              <w:left w:val="double" w:sz="6" w:space="0" w:color="auto"/>
              <w:bottom w:val="single" w:sz="4" w:space="0" w:color="auto"/>
              <w:right w:val="nil"/>
            </w:tcBorders>
            <w:shd w:val="clear" w:color="auto" w:fill="EDEDED" w:themeFill="accent3" w:themeFillTint="33"/>
            <w:noWrap/>
            <w:vAlign w:val="bottom"/>
            <w:hideMark/>
          </w:tcPr>
          <w:p w14:paraId="16108A9B"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080" w:type="dxa"/>
            <w:tcBorders>
              <w:top w:val="nil"/>
              <w:left w:val="nil"/>
              <w:bottom w:val="single" w:sz="4" w:space="0" w:color="auto"/>
              <w:right w:val="nil"/>
            </w:tcBorders>
            <w:shd w:val="clear" w:color="auto" w:fill="EDEDED" w:themeFill="accent3" w:themeFillTint="33"/>
            <w:vAlign w:val="bottom"/>
            <w:hideMark/>
          </w:tcPr>
          <w:p w14:paraId="13A2072C"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900" w:type="dxa"/>
            <w:tcBorders>
              <w:top w:val="nil"/>
              <w:left w:val="single" w:sz="4" w:space="0" w:color="auto"/>
              <w:bottom w:val="single" w:sz="4" w:space="0" w:color="auto"/>
              <w:right w:val="nil"/>
            </w:tcBorders>
            <w:shd w:val="clear" w:color="auto" w:fill="EDEDED" w:themeFill="accent3" w:themeFillTint="33"/>
            <w:noWrap/>
            <w:vAlign w:val="bottom"/>
            <w:hideMark/>
          </w:tcPr>
          <w:p w14:paraId="49F9D290"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080" w:type="dxa"/>
            <w:tcBorders>
              <w:top w:val="nil"/>
              <w:left w:val="nil"/>
              <w:bottom w:val="single" w:sz="4" w:space="0" w:color="auto"/>
              <w:right w:val="double" w:sz="6" w:space="0" w:color="auto"/>
            </w:tcBorders>
            <w:shd w:val="clear" w:color="auto" w:fill="EDEDED" w:themeFill="accent3" w:themeFillTint="33"/>
            <w:vAlign w:val="bottom"/>
            <w:hideMark/>
          </w:tcPr>
          <w:p w14:paraId="100FC544"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810" w:type="dxa"/>
            <w:tcBorders>
              <w:top w:val="nil"/>
              <w:left w:val="nil"/>
              <w:bottom w:val="single" w:sz="4" w:space="0" w:color="auto"/>
              <w:right w:val="nil"/>
            </w:tcBorders>
            <w:shd w:val="clear" w:color="auto" w:fill="EDEDED" w:themeFill="accent3" w:themeFillTint="33"/>
            <w:noWrap/>
            <w:vAlign w:val="bottom"/>
            <w:hideMark/>
          </w:tcPr>
          <w:p w14:paraId="480F8B35"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080" w:type="dxa"/>
            <w:tcBorders>
              <w:top w:val="nil"/>
              <w:left w:val="nil"/>
              <w:bottom w:val="single" w:sz="4" w:space="0" w:color="auto"/>
              <w:right w:val="single" w:sz="8" w:space="0" w:color="auto"/>
            </w:tcBorders>
            <w:shd w:val="clear" w:color="auto" w:fill="EDEDED" w:themeFill="accent3" w:themeFillTint="33"/>
            <w:vAlign w:val="bottom"/>
            <w:hideMark/>
          </w:tcPr>
          <w:p w14:paraId="175C515D"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900" w:type="dxa"/>
            <w:tcBorders>
              <w:top w:val="nil"/>
              <w:left w:val="single" w:sz="8" w:space="0" w:color="auto"/>
              <w:bottom w:val="single" w:sz="4" w:space="0" w:color="auto"/>
              <w:right w:val="nil"/>
            </w:tcBorders>
            <w:shd w:val="clear" w:color="auto" w:fill="EDEDED" w:themeFill="accent3" w:themeFillTint="33"/>
            <w:noWrap/>
            <w:vAlign w:val="bottom"/>
            <w:hideMark/>
          </w:tcPr>
          <w:p w14:paraId="4BAA1FD8"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080" w:type="dxa"/>
            <w:tcBorders>
              <w:top w:val="nil"/>
              <w:left w:val="nil"/>
              <w:bottom w:val="single" w:sz="4" w:space="0" w:color="auto"/>
              <w:right w:val="single" w:sz="8" w:space="0" w:color="auto"/>
            </w:tcBorders>
            <w:shd w:val="clear" w:color="auto" w:fill="EDEDED" w:themeFill="accent3" w:themeFillTint="33"/>
            <w:vAlign w:val="bottom"/>
            <w:hideMark/>
          </w:tcPr>
          <w:p w14:paraId="5894911C" w14:textId="77777777" w:rsidR="00B71C89" w:rsidRPr="000A79E2" w:rsidRDefault="00B71C89" w:rsidP="00F94347">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r>
      <w:tr w:rsidR="00B71C89" w:rsidRPr="000A79E2" w14:paraId="512CC218" w14:textId="77777777" w:rsidTr="00F94347">
        <w:trPr>
          <w:trHeight w:val="300"/>
        </w:trPr>
        <w:tc>
          <w:tcPr>
            <w:tcW w:w="1167" w:type="dxa"/>
            <w:tcBorders>
              <w:top w:val="nil"/>
              <w:left w:val="single" w:sz="8" w:space="0" w:color="auto"/>
              <w:bottom w:val="single" w:sz="4" w:space="0" w:color="auto"/>
              <w:right w:val="nil"/>
            </w:tcBorders>
            <w:shd w:val="clear" w:color="auto" w:fill="auto"/>
            <w:noWrap/>
            <w:vAlign w:val="bottom"/>
            <w:hideMark/>
          </w:tcPr>
          <w:p w14:paraId="666E0F15"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Northwest</w:t>
            </w:r>
          </w:p>
        </w:tc>
        <w:tc>
          <w:tcPr>
            <w:tcW w:w="993" w:type="dxa"/>
            <w:tcBorders>
              <w:top w:val="nil"/>
              <w:left w:val="double" w:sz="6" w:space="0" w:color="auto"/>
              <w:bottom w:val="single" w:sz="4" w:space="0" w:color="auto"/>
              <w:right w:val="nil"/>
            </w:tcBorders>
            <w:shd w:val="clear" w:color="auto" w:fill="auto"/>
            <w:noWrap/>
            <w:vAlign w:val="bottom"/>
            <w:hideMark/>
          </w:tcPr>
          <w:p w14:paraId="27458726"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21</w:t>
            </w:r>
          </w:p>
        </w:tc>
        <w:tc>
          <w:tcPr>
            <w:tcW w:w="1080" w:type="dxa"/>
            <w:tcBorders>
              <w:top w:val="nil"/>
              <w:left w:val="nil"/>
              <w:bottom w:val="single" w:sz="4" w:space="0" w:color="auto"/>
              <w:right w:val="nil"/>
            </w:tcBorders>
            <w:shd w:val="clear" w:color="auto" w:fill="auto"/>
            <w:noWrap/>
            <w:vAlign w:val="bottom"/>
            <w:hideMark/>
          </w:tcPr>
          <w:p w14:paraId="315E9393"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33.3%</w:t>
            </w:r>
          </w:p>
        </w:tc>
        <w:tc>
          <w:tcPr>
            <w:tcW w:w="900" w:type="dxa"/>
            <w:tcBorders>
              <w:top w:val="nil"/>
              <w:left w:val="single" w:sz="4" w:space="0" w:color="auto"/>
              <w:bottom w:val="single" w:sz="4" w:space="0" w:color="auto"/>
              <w:right w:val="nil"/>
            </w:tcBorders>
            <w:shd w:val="clear" w:color="auto" w:fill="auto"/>
            <w:noWrap/>
            <w:vAlign w:val="bottom"/>
          </w:tcPr>
          <w:p w14:paraId="14502EEB"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32</w:t>
            </w:r>
          </w:p>
        </w:tc>
        <w:tc>
          <w:tcPr>
            <w:tcW w:w="1080" w:type="dxa"/>
            <w:tcBorders>
              <w:top w:val="nil"/>
              <w:left w:val="nil"/>
              <w:bottom w:val="single" w:sz="4" w:space="0" w:color="auto"/>
              <w:right w:val="double" w:sz="6" w:space="0" w:color="auto"/>
            </w:tcBorders>
            <w:shd w:val="clear" w:color="auto" w:fill="auto"/>
            <w:noWrap/>
            <w:vAlign w:val="bottom"/>
          </w:tcPr>
          <w:p w14:paraId="6324AFE8"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40.6%</w:t>
            </w:r>
          </w:p>
        </w:tc>
        <w:tc>
          <w:tcPr>
            <w:tcW w:w="810" w:type="dxa"/>
            <w:tcBorders>
              <w:top w:val="nil"/>
              <w:left w:val="nil"/>
              <w:bottom w:val="single" w:sz="4" w:space="0" w:color="auto"/>
              <w:right w:val="nil"/>
            </w:tcBorders>
            <w:shd w:val="clear" w:color="auto" w:fill="auto"/>
            <w:noWrap/>
            <w:vAlign w:val="bottom"/>
          </w:tcPr>
          <w:p w14:paraId="117D3C83"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0</w:t>
            </w:r>
          </w:p>
        </w:tc>
        <w:tc>
          <w:tcPr>
            <w:tcW w:w="1080" w:type="dxa"/>
            <w:tcBorders>
              <w:top w:val="nil"/>
              <w:left w:val="nil"/>
              <w:bottom w:val="single" w:sz="4" w:space="0" w:color="auto"/>
              <w:right w:val="single" w:sz="8" w:space="0" w:color="auto"/>
            </w:tcBorders>
            <w:shd w:val="clear" w:color="auto" w:fill="auto"/>
            <w:noWrap/>
            <w:vAlign w:val="bottom"/>
          </w:tcPr>
          <w:p w14:paraId="0C873048"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w:t>
            </w:r>
          </w:p>
        </w:tc>
        <w:tc>
          <w:tcPr>
            <w:tcW w:w="900" w:type="dxa"/>
            <w:tcBorders>
              <w:top w:val="nil"/>
              <w:left w:val="single" w:sz="8" w:space="0" w:color="auto"/>
              <w:bottom w:val="single" w:sz="4" w:space="0" w:color="auto"/>
              <w:right w:val="nil"/>
            </w:tcBorders>
            <w:shd w:val="clear" w:color="auto" w:fill="auto"/>
            <w:noWrap/>
            <w:vAlign w:val="bottom"/>
          </w:tcPr>
          <w:p w14:paraId="3953E098"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2</w:t>
            </w:r>
          </w:p>
        </w:tc>
        <w:tc>
          <w:tcPr>
            <w:tcW w:w="1080" w:type="dxa"/>
            <w:tcBorders>
              <w:top w:val="nil"/>
              <w:left w:val="nil"/>
              <w:bottom w:val="single" w:sz="4" w:space="0" w:color="auto"/>
              <w:right w:val="single" w:sz="8" w:space="0" w:color="auto"/>
            </w:tcBorders>
            <w:shd w:val="clear" w:color="auto" w:fill="auto"/>
            <w:noWrap/>
            <w:vAlign w:val="bottom"/>
          </w:tcPr>
          <w:p w14:paraId="61DC0806"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0.0%</w:t>
            </w:r>
          </w:p>
        </w:tc>
      </w:tr>
      <w:tr w:rsidR="00B71C89" w:rsidRPr="000A79E2" w14:paraId="0C5EA233" w14:textId="77777777" w:rsidTr="00F94347">
        <w:trPr>
          <w:trHeight w:val="300"/>
        </w:trPr>
        <w:tc>
          <w:tcPr>
            <w:tcW w:w="1167" w:type="dxa"/>
            <w:tcBorders>
              <w:top w:val="nil"/>
              <w:left w:val="single" w:sz="8" w:space="0" w:color="auto"/>
              <w:bottom w:val="single" w:sz="4" w:space="0" w:color="auto"/>
              <w:right w:val="nil"/>
            </w:tcBorders>
            <w:shd w:val="clear" w:color="auto" w:fill="auto"/>
            <w:noWrap/>
            <w:vAlign w:val="bottom"/>
            <w:hideMark/>
          </w:tcPr>
          <w:p w14:paraId="3D1EEC7C"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Northeast</w:t>
            </w:r>
          </w:p>
        </w:tc>
        <w:tc>
          <w:tcPr>
            <w:tcW w:w="993" w:type="dxa"/>
            <w:tcBorders>
              <w:top w:val="nil"/>
              <w:left w:val="double" w:sz="6" w:space="0" w:color="auto"/>
              <w:bottom w:val="single" w:sz="4" w:space="0" w:color="auto"/>
              <w:right w:val="nil"/>
            </w:tcBorders>
            <w:shd w:val="clear" w:color="auto" w:fill="auto"/>
            <w:noWrap/>
            <w:vAlign w:val="bottom"/>
            <w:hideMark/>
          </w:tcPr>
          <w:p w14:paraId="66631BC0"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39</w:t>
            </w:r>
          </w:p>
        </w:tc>
        <w:tc>
          <w:tcPr>
            <w:tcW w:w="1080" w:type="dxa"/>
            <w:tcBorders>
              <w:top w:val="nil"/>
              <w:left w:val="nil"/>
              <w:bottom w:val="single" w:sz="4" w:space="0" w:color="auto"/>
              <w:right w:val="nil"/>
            </w:tcBorders>
            <w:shd w:val="clear" w:color="auto" w:fill="auto"/>
            <w:noWrap/>
            <w:vAlign w:val="bottom"/>
            <w:hideMark/>
          </w:tcPr>
          <w:p w14:paraId="032C7244"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35.9%</w:t>
            </w:r>
          </w:p>
        </w:tc>
        <w:tc>
          <w:tcPr>
            <w:tcW w:w="900" w:type="dxa"/>
            <w:tcBorders>
              <w:top w:val="nil"/>
              <w:left w:val="single" w:sz="4" w:space="0" w:color="auto"/>
              <w:bottom w:val="single" w:sz="4" w:space="0" w:color="auto"/>
              <w:right w:val="nil"/>
            </w:tcBorders>
            <w:shd w:val="clear" w:color="auto" w:fill="auto"/>
            <w:noWrap/>
            <w:vAlign w:val="bottom"/>
          </w:tcPr>
          <w:p w14:paraId="5B284230"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118</w:t>
            </w:r>
          </w:p>
        </w:tc>
        <w:tc>
          <w:tcPr>
            <w:tcW w:w="1080" w:type="dxa"/>
            <w:tcBorders>
              <w:top w:val="nil"/>
              <w:left w:val="nil"/>
              <w:bottom w:val="single" w:sz="4" w:space="0" w:color="auto"/>
              <w:right w:val="double" w:sz="6" w:space="0" w:color="auto"/>
            </w:tcBorders>
            <w:shd w:val="clear" w:color="auto" w:fill="auto"/>
            <w:noWrap/>
            <w:vAlign w:val="bottom"/>
          </w:tcPr>
          <w:p w14:paraId="32802114"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44.9%</w:t>
            </w:r>
          </w:p>
        </w:tc>
        <w:tc>
          <w:tcPr>
            <w:tcW w:w="810" w:type="dxa"/>
            <w:tcBorders>
              <w:top w:val="nil"/>
              <w:left w:val="nil"/>
              <w:bottom w:val="single" w:sz="4" w:space="0" w:color="auto"/>
              <w:right w:val="nil"/>
            </w:tcBorders>
            <w:shd w:val="clear" w:color="auto" w:fill="auto"/>
            <w:noWrap/>
            <w:vAlign w:val="bottom"/>
          </w:tcPr>
          <w:p w14:paraId="7881CD7C"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0</w:t>
            </w:r>
          </w:p>
        </w:tc>
        <w:tc>
          <w:tcPr>
            <w:tcW w:w="1080" w:type="dxa"/>
            <w:tcBorders>
              <w:top w:val="nil"/>
              <w:left w:val="nil"/>
              <w:bottom w:val="single" w:sz="4" w:space="0" w:color="auto"/>
              <w:right w:val="single" w:sz="8" w:space="0" w:color="auto"/>
            </w:tcBorders>
            <w:shd w:val="clear" w:color="auto" w:fill="auto"/>
            <w:noWrap/>
            <w:vAlign w:val="bottom"/>
          </w:tcPr>
          <w:p w14:paraId="26B50A5B"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 xml:space="preserve">- </w:t>
            </w:r>
          </w:p>
        </w:tc>
        <w:tc>
          <w:tcPr>
            <w:tcW w:w="900" w:type="dxa"/>
            <w:tcBorders>
              <w:top w:val="nil"/>
              <w:left w:val="single" w:sz="8" w:space="0" w:color="auto"/>
              <w:bottom w:val="single" w:sz="4" w:space="0" w:color="auto"/>
              <w:right w:val="nil"/>
            </w:tcBorders>
            <w:shd w:val="clear" w:color="auto" w:fill="auto"/>
            <w:noWrap/>
            <w:vAlign w:val="bottom"/>
          </w:tcPr>
          <w:p w14:paraId="0A5B05BA"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18</w:t>
            </w:r>
          </w:p>
        </w:tc>
        <w:tc>
          <w:tcPr>
            <w:tcW w:w="1080" w:type="dxa"/>
            <w:tcBorders>
              <w:top w:val="nil"/>
              <w:left w:val="nil"/>
              <w:bottom w:val="single" w:sz="4" w:space="0" w:color="auto"/>
              <w:right w:val="single" w:sz="8" w:space="0" w:color="auto"/>
            </w:tcBorders>
            <w:shd w:val="clear" w:color="auto" w:fill="auto"/>
            <w:noWrap/>
            <w:vAlign w:val="bottom"/>
          </w:tcPr>
          <w:p w14:paraId="60F75AAE"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44.4%</w:t>
            </w:r>
          </w:p>
        </w:tc>
      </w:tr>
      <w:tr w:rsidR="00B71C89" w:rsidRPr="000A79E2" w14:paraId="543E270F" w14:textId="77777777" w:rsidTr="00F94347">
        <w:trPr>
          <w:trHeight w:val="300"/>
        </w:trPr>
        <w:tc>
          <w:tcPr>
            <w:tcW w:w="1167" w:type="dxa"/>
            <w:tcBorders>
              <w:top w:val="nil"/>
              <w:left w:val="single" w:sz="8" w:space="0" w:color="auto"/>
              <w:bottom w:val="single" w:sz="4" w:space="0" w:color="auto"/>
              <w:right w:val="nil"/>
            </w:tcBorders>
            <w:shd w:val="clear" w:color="auto" w:fill="auto"/>
            <w:noWrap/>
            <w:vAlign w:val="bottom"/>
            <w:hideMark/>
          </w:tcPr>
          <w:p w14:paraId="258141F7"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Central</w:t>
            </w:r>
          </w:p>
        </w:tc>
        <w:tc>
          <w:tcPr>
            <w:tcW w:w="993" w:type="dxa"/>
            <w:tcBorders>
              <w:top w:val="nil"/>
              <w:left w:val="double" w:sz="6" w:space="0" w:color="auto"/>
              <w:bottom w:val="single" w:sz="4" w:space="0" w:color="auto"/>
              <w:right w:val="nil"/>
            </w:tcBorders>
            <w:shd w:val="clear" w:color="auto" w:fill="auto"/>
            <w:noWrap/>
            <w:vAlign w:val="bottom"/>
            <w:hideMark/>
          </w:tcPr>
          <w:p w14:paraId="6ACC667D"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103</w:t>
            </w:r>
          </w:p>
        </w:tc>
        <w:tc>
          <w:tcPr>
            <w:tcW w:w="1080" w:type="dxa"/>
            <w:tcBorders>
              <w:top w:val="nil"/>
              <w:left w:val="nil"/>
              <w:bottom w:val="single" w:sz="4" w:space="0" w:color="auto"/>
              <w:right w:val="nil"/>
            </w:tcBorders>
            <w:shd w:val="clear" w:color="auto" w:fill="auto"/>
            <w:noWrap/>
            <w:vAlign w:val="bottom"/>
            <w:hideMark/>
          </w:tcPr>
          <w:p w14:paraId="3E84A75F"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51.5%</w:t>
            </w:r>
          </w:p>
        </w:tc>
        <w:tc>
          <w:tcPr>
            <w:tcW w:w="900" w:type="dxa"/>
            <w:tcBorders>
              <w:top w:val="nil"/>
              <w:left w:val="single" w:sz="4" w:space="0" w:color="auto"/>
              <w:bottom w:val="single" w:sz="4" w:space="0" w:color="auto"/>
              <w:right w:val="nil"/>
            </w:tcBorders>
            <w:shd w:val="clear" w:color="auto" w:fill="auto"/>
            <w:noWrap/>
            <w:vAlign w:val="bottom"/>
          </w:tcPr>
          <w:p w14:paraId="0215B8F6"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93</w:t>
            </w:r>
          </w:p>
        </w:tc>
        <w:tc>
          <w:tcPr>
            <w:tcW w:w="1080" w:type="dxa"/>
            <w:tcBorders>
              <w:top w:val="nil"/>
              <w:left w:val="nil"/>
              <w:bottom w:val="single" w:sz="4" w:space="0" w:color="auto"/>
              <w:right w:val="double" w:sz="6" w:space="0" w:color="auto"/>
            </w:tcBorders>
            <w:shd w:val="clear" w:color="auto" w:fill="auto"/>
            <w:noWrap/>
            <w:vAlign w:val="bottom"/>
          </w:tcPr>
          <w:p w14:paraId="166579DB"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45.2%</w:t>
            </w:r>
          </w:p>
        </w:tc>
        <w:tc>
          <w:tcPr>
            <w:tcW w:w="810" w:type="dxa"/>
            <w:tcBorders>
              <w:top w:val="nil"/>
              <w:left w:val="nil"/>
              <w:bottom w:val="single" w:sz="4" w:space="0" w:color="auto"/>
              <w:right w:val="nil"/>
            </w:tcBorders>
            <w:shd w:val="clear" w:color="auto" w:fill="auto"/>
            <w:noWrap/>
            <w:vAlign w:val="bottom"/>
          </w:tcPr>
          <w:p w14:paraId="4E007AC9"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13</w:t>
            </w:r>
          </w:p>
        </w:tc>
        <w:tc>
          <w:tcPr>
            <w:tcW w:w="1080" w:type="dxa"/>
            <w:tcBorders>
              <w:top w:val="nil"/>
              <w:left w:val="nil"/>
              <w:bottom w:val="single" w:sz="4" w:space="0" w:color="auto"/>
              <w:right w:val="single" w:sz="8" w:space="0" w:color="auto"/>
            </w:tcBorders>
            <w:shd w:val="clear" w:color="auto" w:fill="auto"/>
            <w:noWrap/>
            <w:vAlign w:val="bottom"/>
          </w:tcPr>
          <w:p w14:paraId="037352A8"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23.1%</w:t>
            </w:r>
          </w:p>
        </w:tc>
        <w:tc>
          <w:tcPr>
            <w:tcW w:w="900" w:type="dxa"/>
            <w:tcBorders>
              <w:top w:val="nil"/>
              <w:left w:val="single" w:sz="8" w:space="0" w:color="auto"/>
              <w:bottom w:val="single" w:sz="4" w:space="0" w:color="auto"/>
              <w:right w:val="nil"/>
            </w:tcBorders>
            <w:shd w:val="clear" w:color="auto" w:fill="auto"/>
            <w:noWrap/>
            <w:vAlign w:val="bottom"/>
          </w:tcPr>
          <w:p w14:paraId="7A369E24"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20</w:t>
            </w:r>
          </w:p>
        </w:tc>
        <w:tc>
          <w:tcPr>
            <w:tcW w:w="1080" w:type="dxa"/>
            <w:tcBorders>
              <w:top w:val="nil"/>
              <w:left w:val="nil"/>
              <w:bottom w:val="single" w:sz="4" w:space="0" w:color="auto"/>
              <w:right w:val="single" w:sz="8" w:space="0" w:color="auto"/>
            </w:tcBorders>
            <w:shd w:val="clear" w:color="auto" w:fill="auto"/>
            <w:noWrap/>
            <w:vAlign w:val="bottom"/>
          </w:tcPr>
          <w:p w14:paraId="1C5DC43D"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25.0%</w:t>
            </w:r>
          </w:p>
        </w:tc>
      </w:tr>
      <w:tr w:rsidR="00B71C89" w:rsidRPr="000A79E2" w14:paraId="1362B6DE" w14:textId="77777777" w:rsidTr="00F94347">
        <w:trPr>
          <w:trHeight w:val="300"/>
        </w:trPr>
        <w:tc>
          <w:tcPr>
            <w:tcW w:w="1167" w:type="dxa"/>
            <w:tcBorders>
              <w:top w:val="nil"/>
              <w:left w:val="single" w:sz="8" w:space="0" w:color="auto"/>
              <w:bottom w:val="single" w:sz="4" w:space="0" w:color="auto"/>
              <w:right w:val="nil"/>
            </w:tcBorders>
            <w:shd w:val="clear" w:color="auto" w:fill="auto"/>
            <w:noWrap/>
            <w:vAlign w:val="bottom"/>
            <w:hideMark/>
          </w:tcPr>
          <w:p w14:paraId="6F6D4E8D"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Suncoast</w:t>
            </w:r>
          </w:p>
        </w:tc>
        <w:tc>
          <w:tcPr>
            <w:tcW w:w="993" w:type="dxa"/>
            <w:tcBorders>
              <w:top w:val="nil"/>
              <w:left w:val="double" w:sz="6" w:space="0" w:color="auto"/>
              <w:bottom w:val="single" w:sz="4" w:space="0" w:color="auto"/>
              <w:right w:val="nil"/>
            </w:tcBorders>
            <w:shd w:val="clear" w:color="auto" w:fill="auto"/>
            <w:noWrap/>
            <w:vAlign w:val="bottom"/>
            <w:hideMark/>
          </w:tcPr>
          <w:p w14:paraId="4F6B6AD6"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118</w:t>
            </w:r>
          </w:p>
        </w:tc>
        <w:tc>
          <w:tcPr>
            <w:tcW w:w="1080" w:type="dxa"/>
            <w:tcBorders>
              <w:top w:val="nil"/>
              <w:left w:val="nil"/>
              <w:bottom w:val="single" w:sz="4" w:space="0" w:color="auto"/>
              <w:right w:val="nil"/>
            </w:tcBorders>
            <w:shd w:val="clear" w:color="auto" w:fill="auto"/>
            <w:noWrap/>
            <w:vAlign w:val="bottom"/>
            <w:hideMark/>
          </w:tcPr>
          <w:p w14:paraId="66EE7812"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46.6%</w:t>
            </w:r>
          </w:p>
        </w:tc>
        <w:tc>
          <w:tcPr>
            <w:tcW w:w="900" w:type="dxa"/>
            <w:tcBorders>
              <w:top w:val="nil"/>
              <w:left w:val="single" w:sz="4" w:space="0" w:color="auto"/>
              <w:bottom w:val="single" w:sz="4" w:space="0" w:color="auto"/>
              <w:right w:val="nil"/>
            </w:tcBorders>
            <w:shd w:val="clear" w:color="auto" w:fill="auto"/>
            <w:noWrap/>
            <w:vAlign w:val="bottom"/>
          </w:tcPr>
          <w:p w14:paraId="65812CB1"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127</w:t>
            </w:r>
          </w:p>
        </w:tc>
        <w:tc>
          <w:tcPr>
            <w:tcW w:w="1080" w:type="dxa"/>
            <w:tcBorders>
              <w:top w:val="nil"/>
              <w:left w:val="nil"/>
              <w:bottom w:val="single" w:sz="4" w:space="0" w:color="auto"/>
              <w:right w:val="double" w:sz="6" w:space="0" w:color="auto"/>
            </w:tcBorders>
            <w:shd w:val="clear" w:color="auto" w:fill="auto"/>
            <w:noWrap/>
            <w:vAlign w:val="bottom"/>
          </w:tcPr>
          <w:p w14:paraId="279C808F"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47.2%</w:t>
            </w:r>
          </w:p>
        </w:tc>
        <w:tc>
          <w:tcPr>
            <w:tcW w:w="810" w:type="dxa"/>
            <w:tcBorders>
              <w:top w:val="nil"/>
              <w:left w:val="nil"/>
              <w:bottom w:val="single" w:sz="4" w:space="0" w:color="auto"/>
              <w:right w:val="nil"/>
            </w:tcBorders>
            <w:shd w:val="clear" w:color="auto" w:fill="auto"/>
            <w:noWrap/>
            <w:vAlign w:val="bottom"/>
          </w:tcPr>
          <w:p w14:paraId="39FCA3E6"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9</w:t>
            </w:r>
          </w:p>
        </w:tc>
        <w:tc>
          <w:tcPr>
            <w:tcW w:w="1080" w:type="dxa"/>
            <w:tcBorders>
              <w:top w:val="nil"/>
              <w:left w:val="nil"/>
              <w:bottom w:val="single" w:sz="4" w:space="0" w:color="auto"/>
              <w:right w:val="single" w:sz="8" w:space="0" w:color="auto"/>
            </w:tcBorders>
            <w:shd w:val="clear" w:color="auto" w:fill="auto"/>
            <w:noWrap/>
            <w:vAlign w:val="bottom"/>
          </w:tcPr>
          <w:p w14:paraId="2C288001"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0.0%</w:t>
            </w:r>
          </w:p>
        </w:tc>
        <w:tc>
          <w:tcPr>
            <w:tcW w:w="900" w:type="dxa"/>
            <w:tcBorders>
              <w:top w:val="nil"/>
              <w:left w:val="single" w:sz="8" w:space="0" w:color="auto"/>
              <w:bottom w:val="single" w:sz="4" w:space="0" w:color="auto"/>
              <w:right w:val="nil"/>
            </w:tcBorders>
            <w:shd w:val="clear" w:color="auto" w:fill="auto"/>
            <w:noWrap/>
            <w:vAlign w:val="bottom"/>
          </w:tcPr>
          <w:p w14:paraId="28C36AD9"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6</w:t>
            </w:r>
          </w:p>
        </w:tc>
        <w:tc>
          <w:tcPr>
            <w:tcW w:w="1080" w:type="dxa"/>
            <w:tcBorders>
              <w:top w:val="nil"/>
              <w:left w:val="nil"/>
              <w:bottom w:val="single" w:sz="4" w:space="0" w:color="auto"/>
              <w:right w:val="single" w:sz="8" w:space="0" w:color="auto"/>
            </w:tcBorders>
            <w:shd w:val="clear" w:color="auto" w:fill="auto"/>
            <w:noWrap/>
            <w:vAlign w:val="bottom"/>
          </w:tcPr>
          <w:p w14:paraId="6BE6E16B"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33.3%</w:t>
            </w:r>
          </w:p>
        </w:tc>
      </w:tr>
      <w:tr w:rsidR="00B71C89" w:rsidRPr="000A79E2" w14:paraId="2CBAFD62" w14:textId="77777777" w:rsidTr="00F94347">
        <w:trPr>
          <w:trHeight w:val="300"/>
        </w:trPr>
        <w:tc>
          <w:tcPr>
            <w:tcW w:w="1167" w:type="dxa"/>
            <w:tcBorders>
              <w:top w:val="nil"/>
              <w:left w:val="single" w:sz="8" w:space="0" w:color="auto"/>
              <w:bottom w:val="single" w:sz="4" w:space="0" w:color="auto"/>
              <w:right w:val="nil"/>
            </w:tcBorders>
            <w:shd w:val="clear" w:color="auto" w:fill="auto"/>
            <w:noWrap/>
            <w:vAlign w:val="bottom"/>
            <w:hideMark/>
          </w:tcPr>
          <w:p w14:paraId="4D0E12D4"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Southeast</w:t>
            </w:r>
          </w:p>
        </w:tc>
        <w:tc>
          <w:tcPr>
            <w:tcW w:w="993" w:type="dxa"/>
            <w:tcBorders>
              <w:top w:val="nil"/>
              <w:left w:val="double" w:sz="6" w:space="0" w:color="auto"/>
              <w:bottom w:val="single" w:sz="4" w:space="0" w:color="auto"/>
              <w:right w:val="nil"/>
            </w:tcBorders>
            <w:shd w:val="clear" w:color="auto" w:fill="auto"/>
            <w:noWrap/>
            <w:vAlign w:val="bottom"/>
            <w:hideMark/>
          </w:tcPr>
          <w:p w14:paraId="2FF520FD"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68</w:t>
            </w:r>
          </w:p>
        </w:tc>
        <w:tc>
          <w:tcPr>
            <w:tcW w:w="1080" w:type="dxa"/>
            <w:tcBorders>
              <w:top w:val="nil"/>
              <w:left w:val="nil"/>
              <w:bottom w:val="single" w:sz="4" w:space="0" w:color="auto"/>
              <w:right w:val="nil"/>
            </w:tcBorders>
            <w:shd w:val="clear" w:color="auto" w:fill="auto"/>
            <w:noWrap/>
            <w:vAlign w:val="bottom"/>
            <w:hideMark/>
          </w:tcPr>
          <w:p w14:paraId="69FF58CF"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27.9%</w:t>
            </w:r>
          </w:p>
        </w:tc>
        <w:tc>
          <w:tcPr>
            <w:tcW w:w="900" w:type="dxa"/>
            <w:tcBorders>
              <w:top w:val="nil"/>
              <w:left w:val="single" w:sz="4" w:space="0" w:color="auto"/>
              <w:bottom w:val="single" w:sz="4" w:space="0" w:color="auto"/>
              <w:right w:val="nil"/>
            </w:tcBorders>
            <w:shd w:val="clear" w:color="auto" w:fill="auto"/>
            <w:noWrap/>
            <w:vAlign w:val="bottom"/>
          </w:tcPr>
          <w:p w14:paraId="03FEE14F"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159</w:t>
            </w:r>
          </w:p>
        </w:tc>
        <w:tc>
          <w:tcPr>
            <w:tcW w:w="1080" w:type="dxa"/>
            <w:tcBorders>
              <w:top w:val="nil"/>
              <w:left w:val="nil"/>
              <w:bottom w:val="single" w:sz="4" w:space="0" w:color="auto"/>
              <w:right w:val="double" w:sz="6" w:space="0" w:color="auto"/>
            </w:tcBorders>
            <w:shd w:val="clear" w:color="auto" w:fill="auto"/>
            <w:noWrap/>
            <w:vAlign w:val="bottom"/>
          </w:tcPr>
          <w:p w14:paraId="64163A96"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34.0%</w:t>
            </w:r>
          </w:p>
        </w:tc>
        <w:tc>
          <w:tcPr>
            <w:tcW w:w="810" w:type="dxa"/>
            <w:tcBorders>
              <w:top w:val="nil"/>
              <w:left w:val="nil"/>
              <w:bottom w:val="single" w:sz="4" w:space="0" w:color="auto"/>
              <w:right w:val="nil"/>
            </w:tcBorders>
            <w:shd w:val="clear" w:color="auto" w:fill="auto"/>
            <w:noWrap/>
            <w:vAlign w:val="bottom"/>
          </w:tcPr>
          <w:p w14:paraId="43D270BF"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7</w:t>
            </w:r>
          </w:p>
        </w:tc>
        <w:tc>
          <w:tcPr>
            <w:tcW w:w="1080" w:type="dxa"/>
            <w:tcBorders>
              <w:top w:val="nil"/>
              <w:left w:val="nil"/>
              <w:bottom w:val="single" w:sz="4" w:space="0" w:color="auto"/>
              <w:right w:val="single" w:sz="8" w:space="0" w:color="auto"/>
            </w:tcBorders>
            <w:shd w:val="clear" w:color="auto" w:fill="auto"/>
            <w:noWrap/>
            <w:vAlign w:val="bottom"/>
          </w:tcPr>
          <w:p w14:paraId="7B3C2A92"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0.0%</w:t>
            </w:r>
          </w:p>
        </w:tc>
        <w:tc>
          <w:tcPr>
            <w:tcW w:w="900" w:type="dxa"/>
            <w:tcBorders>
              <w:top w:val="nil"/>
              <w:left w:val="single" w:sz="8" w:space="0" w:color="auto"/>
              <w:bottom w:val="single" w:sz="4" w:space="0" w:color="auto"/>
              <w:right w:val="nil"/>
            </w:tcBorders>
            <w:shd w:val="clear" w:color="auto" w:fill="auto"/>
            <w:noWrap/>
            <w:vAlign w:val="bottom"/>
          </w:tcPr>
          <w:p w14:paraId="4E3A256A"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16</w:t>
            </w:r>
          </w:p>
        </w:tc>
        <w:tc>
          <w:tcPr>
            <w:tcW w:w="1080" w:type="dxa"/>
            <w:tcBorders>
              <w:top w:val="nil"/>
              <w:left w:val="nil"/>
              <w:bottom w:val="single" w:sz="4" w:space="0" w:color="auto"/>
              <w:right w:val="single" w:sz="8" w:space="0" w:color="auto"/>
            </w:tcBorders>
            <w:shd w:val="clear" w:color="auto" w:fill="auto"/>
            <w:noWrap/>
            <w:vAlign w:val="bottom"/>
          </w:tcPr>
          <w:p w14:paraId="27BA2F72"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12.5%</w:t>
            </w:r>
          </w:p>
        </w:tc>
      </w:tr>
      <w:tr w:rsidR="00B71C89" w:rsidRPr="000A79E2" w14:paraId="0D1E1141" w14:textId="77777777" w:rsidTr="00F94347">
        <w:trPr>
          <w:trHeight w:val="53"/>
        </w:trPr>
        <w:tc>
          <w:tcPr>
            <w:tcW w:w="1167" w:type="dxa"/>
            <w:tcBorders>
              <w:top w:val="nil"/>
              <w:left w:val="single" w:sz="8" w:space="0" w:color="auto"/>
              <w:bottom w:val="double" w:sz="6" w:space="0" w:color="auto"/>
              <w:right w:val="nil"/>
            </w:tcBorders>
            <w:shd w:val="clear" w:color="auto" w:fill="auto"/>
            <w:noWrap/>
            <w:vAlign w:val="bottom"/>
            <w:hideMark/>
          </w:tcPr>
          <w:p w14:paraId="1C9771B2"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Southern</w:t>
            </w:r>
          </w:p>
        </w:tc>
        <w:tc>
          <w:tcPr>
            <w:tcW w:w="993" w:type="dxa"/>
            <w:tcBorders>
              <w:top w:val="nil"/>
              <w:left w:val="double" w:sz="6" w:space="0" w:color="auto"/>
              <w:bottom w:val="double" w:sz="6" w:space="0" w:color="auto"/>
              <w:right w:val="nil"/>
            </w:tcBorders>
            <w:shd w:val="clear" w:color="auto" w:fill="auto"/>
            <w:noWrap/>
            <w:vAlign w:val="bottom"/>
            <w:hideMark/>
          </w:tcPr>
          <w:p w14:paraId="78F16C03"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64</w:t>
            </w:r>
          </w:p>
        </w:tc>
        <w:tc>
          <w:tcPr>
            <w:tcW w:w="1080" w:type="dxa"/>
            <w:tcBorders>
              <w:top w:val="nil"/>
              <w:left w:val="nil"/>
              <w:bottom w:val="double" w:sz="6" w:space="0" w:color="auto"/>
              <w:right w:val="nil"/>
            </w:tcBorders>
            <w:shd w:val="clear" w:color="auto" w:fill="auto"/>
            <w:noWrap/>
            <w:vAlign w:val="bottom"/>
            <w:hideMark/>
          </w:tcPr>
          <w:p w14:paraId="60C9B1B0" w14:textId="77777777" w:rsidR="00B71C89" w:rsidRPr="00664E9F" w:rsidRDefault="00B71C89" w:rsidP="00F94347">
            <w:pPr>
              <w:spacing w:line="240" w:lineRule="auto"/>
              <w:jc w:val="center"/>
              <w:rPr>
                <w:rFonts w:asciiTheme="minorHAnsi" w:eastAsia="Times New Roman" w:hAnsiTheme="minorHAnsi" w:cstheme="minorHAnsi"/>
                <w:color w:val="000000"/>
                <w:sz w:val="20"/>
                <w:szCs w:val="20"/>
              </w:rPr>
            </w:pPr>
            <w:r w:rsidRPr="00664E9F">
              <w:rPr>
                <w:rFonts w:asciiTheme="minorHAnsi" w:hAnsiTheme="minorHAnsi" w:cstheme="minorHAnsi"/>
                <w:sz w:val="20"/>
                <w:szCs w:val="20"/>
              </w:rPr>
              <w:t>42.2%</w:t>
            </w:r>
          </w:p>
        </w:tc>
        <w:tc>
          <w:tcPr>
            <w:tcW w:w="900" w:type="dxa"/>
            <w:tcBorders>
              <w:top w:val="nil"/>
              <w:left w:val="single" w:sz="4" w:space="0" w:color="auto"/>
              <w:bottom w:val="double" w:sz="6" w:space="0" w:color="auto"/>
              <w:right w:val="nil"/>
            </w:tcBorders>
            <w:shd w:val="clear" w:color="auto" w:fill="auto"/>
            <w:noWrap/>
            <w:vAlign w:val="bottom"/>
          </w:tcPr>
          <w:p w14:paraId="34B29DDB" w14:textId="77777777" w:rsidR="00B71C89" w:rsidRPr="000F66A3" w:rsidRDefault="00B71C89" w:rsidP="00F94347">
            <w:pPr>
              <w:spacing w:line="240" w:lineRule="auto"/>
              <w:jc w:val="center"/>
              <w:rPr>
                <w:rFonts w:asciiTheme="minorHAnsi" w:hAnsiTheme="minorHAnsi" w:cstheme="minorHAnsi"/>
                <w:sz w:val="20"/>
                <w:szCs w:val="20"/>
              </w:rPr>
            </w:pPr>
            <w:r w:rsidRPr="000F66A3">
              <w:rPr>
                <w:rFonts w:asciiTheme="minorHAnsi" w:hAnsiTheme="minorHAnsi" w:cstheme="minorHAnsi"/>
                <w:sz w:val="20"/>
                <w:szCs w:val="20"/>
              </w:rPr>
              <w:t>73</w:t>
            </w:r>
          </w:p>
        </w:tc>
        <w:tc>
          <w:tcPr>
            <w:tcW w:w="1080" w:type="dxa"/>
            <w:tcBorders>
              <w:top w:val="nil"/>
              <w:left w:val="nil"/>
              <w:bottom w:val="double" w:sz="6" w:space="0" w:color="auto"/>
              <w:right w:val="double" w:sz="6" w:space="0" w:color="auto"/>
            </w:tcBorders>
            <w:shd w:val="clear" w:color="auto" w:fill="auto"/>
            <w:noWrap/>
            <w:vAlign w:val="bottom"/>
          </w:tcPr>
          <w:p w14:paraId="435EAA22" w14:textId="77777777" w:rsidR="00B71C89" w:rsidRPr="00CC5307" w:rsidRDefault="00B71C89" w:rsidP="00F94347">
            <w:pPr>
              <w:spacing w:line="240" w:lineRule="auto"/>
              <w:jc w:val="center"/>
              <w:rPr>
                <w:rFonts w:asciiTheme="minorHAnsi" w:eastAsia="Times New Roman" w:hAnsiTheme="minorHAnsi" w:cstheme="minorHAnsi"/>
                <w:color w:val="000000"/>
                <w:sz w:val="20"/>
                <w:szCs w:val="20"/>
              </w:rPr>
            </w:pPr>
            <w:r w:rsidRPr="00CC5307">
              <w:rPr>
                <w:rFonts w:asciiTheme="minorHAnsi" w:hAnsiTheme="minorHAnsi"/>
                <w:sz w:val="20"/>
              </w:rPr>
              <w:t>45.2%</w:t>
            </w:r>
          </w:p>
        </w:tc>
        <w:tc>
          <w:tcPr>
            <w:tcW w:w="810" w:type="dxa"/>
            <w:tcBorders>
              <w:top w:val="nil"/>
              <w:left w:val="nil"/>
              <w:bottom w:val="double" w:sz="6" w:space="0" w:color="auto"/>
              <w:right w:val="nil"/>
            </w:tcBorders>
            <w:shd w:val="clear" w:color="auto" w:fill="auto"/>
            <w:noWrap/>
            <w:vAlign w:val="bottom"/>
          </w:tcPr>
          <w:p w14:paraId="21B1B072"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7</w:t>
            </w:r>
          </w:p>
        </w:tc>
        <w:tc>
          <w:tcPr>
            <w:tcW w:w="1080" w:type="dxa"/>
            <w:tcBorders>
              <w:top w:val="nil"/>
              <w:left w:val="nil"/>
              <w:bottom w:val="double" w:sz="6" w:space="0" w:color="auto"/>
              <w:right w:val="single" w:sz="8" w:space="0" w:color="auto"/>
            </w:tcBorders>
            <w:shd w:val="clear" w:color="auto" w:fill="auto"/>
            <w:noWrap/>
            <w:vAlign w:val="bottom"/>
          </w:tcPr>
          <w:p w14:paraId="38CAD3F1" w14:textId="77777777" w:rsidR="00B71C89" w:rsidRPr="0031710F" w:rsidRDefault="00B71C89" w:rsidP="00F94347">
            <w:pPr>
              <w:spacing w:line="240" w:lineRule="auto"/>
              <w:jc w:val="center"/>
              <w:rPr>
                <w:rFonts w:asciiTheme="minorHAnsi" w:eastAsia="Times New Roman" w:hAnsiTheme="minorHAnsi" w:cstheme="minorHAnsi"/>
                <w:color w:val="000000"/>
                <w:sz w:val="20"/>
                <w:szCs w:val="20"/>
              </w:rPr>
            </w:pPr>
            <w:r w:rsidRPr="0031710F">
              <w:rPr>
                <w:rFonts w:asciiTheme="minorHAnsi" w:hAnsiTheme="minorHAnsi" w:cstheme="minorHAnsi"/>
                <w:sz w:val="20"/>
                <w:szCs w:val="20"/>
              </w:rPr>
              <w:t>28.6%</w:t>
            </w:r>
          </w:p>
        </w:tc>
        <w:tc>
          <w:tcPr>
            <w:tcW w:w="900" w:type="dxa"/>
            <w:tcBorders>
              <w:top w:val="nil"/>
              <w:left w:val="single" w:sz="8" w:space="0" w:color="auto"/>
              <w:bottom w:val="double" w:sz="6" w:space="0" w:color="auto"/>
              <w:right w:val="nil"/>
            </w:tcBorders>
            <w:shd w:val="clear" w:color="auto" w:fill="auto"/>
            <w:noWrap/>
            <w:vAlign w:val="bottom"/>
          </w:tcPr>
          <w:p w14:paraId="583185D0"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10</w:t>
            </w:r>
          </w:p>
        </w:tc>
        <w:tc>
          <w:tcPr>
            <w:tcW w:w="1080" w:type="dxa"/>
            <w:tcBorders>
              <w:top w:val="nil"/>
              <w:left w:val="nil"/>
              <w:bottom w:val="double" w:sz="6" w:space="0" w:color="auto"/>
              <w:right w:val="single" w:sz="8" w:space="0" w:color="auto"/>
            </w:tcBorders>
            <w:shd w:val="clear" w:color="auto" w:fill="auto"/>
            <w:noWrap/>
            <w:vAlign w:val="bottom"/>
          </w:tcPr>
          <w:p w14:paraId="7EE75E6A" w14:textId="77777777" w:rsidR="00B71C89" w:rsidRPr="00CC5307" w:rsidRDefault="00B71C89" w:rsidP="00F94347">
            <w:pPr>
              <w:spacing w:line="240" w:lineRule="auto"/>
              <w:jc w:val="center"/>
              <w:rPr>
                <w:rFonts w:asciiTheme="minorHAnsi" w:hAnsiTheme="minorHAnsi" w:cstheme="minorHAnsi"/>
                <w:sz w:val="20"/>
                <w:szCs w:val="20"/>
              </w:rPr>
            </w:pPr>
            <w:r w:rsidRPr="00CC5307">
              <w:rPr>
                <w:rFonts w:asciiTheme="minorHAnsi" w:hAnsiTheme="minorHAnsi" w:cstheme="minorHAnsi"/>
                <w:sz w:val="20"/>
                <w:szCs w:val="20"/>
              </w:rPr>
              <w:t>30.0%</w:t>
            </w:r>
          </w:p>
        </w:tc>
      </w:tr>
      <w:tr w:rsidR="00B71C89" w:rsidRPr="000A79E2" w14:paraId="0BAA88E9" w14:textId="77777777" w:rsidTr="00F94347">
        <w:trPr>
          <w:trHeight w:val="270"/>
        </w:trPr>
        <w:tc>
          <w:tcPr>
            <w:tcW w:w="1167" w:type="dxa"/>
            <w:tcBorders>
              <w:top w:val="nil"/>
              <w:left w:val="single" w:sz="8" w:space="0" w:color="auto"/>
              <w:bottom w:val="single" w:sz="8" w:space="0" w:color="auto"/>
              <w:right w:val="nil"/>
            </w:tcBorders>
            <w:shd w:val="clear" w:color="auto" w:fill="auto"/>
            <w:noWrap/>
            <w:vAlign w:val="bottom"/>
            <w:hideMark/>
          </w:tcPr>
          <w:p w14:paraId="5588B11F"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Total</w:t>
            </w:r>
          </w:p>
        </w:tc>
        <w:tc>
          <w:tcPr>
            <w:tcW w:w="993" w:type="dxa"/>
            <w:tcBorders>
              <w:top w:val="nil"/>
              <w:left w:val="double" w:sz="6" w:space="0" w:color="auto"/>
              <w:bottom w:val="single" w:sz="8" w:space="0" w:color="auto"/>
              <w:right w:val="nil"/>
            </w:tcBorders>
            <w:shd w:val="clear" w:color="auto" w:fill="auto"/>
            <w:noWrap/>
            <w:vAlign w:val="bottom"/>
            <w:hideMark/>
          </w:tcPr>
          <w:p w14:paraId="77FFC92D" w14:textId="77777777" w:rsidR="00B71C89" w:rsidRPr="00664E9F" w:rsidRDefault="00B71C89" w:rsidP="00F94347">
            <w:pPr>
              <w:spacing w:line="240" w:lineRule="auto"/>
              <w:jc w:val="center"/>
              <w:rPr>
                <w:rFonts w:asciiTheme="minorHAnsi" w:eastAsia="Times New Roman" w:hAnsiTheme="minorHAnsi" w:cstheme="minorHAnsi"/>
                <w:b/>
                <w:color w:val="000000"/>
                <w:sz w:val="20"/>
                <w:szCs w:val="20"/>
              </w:rPr>
            </w:pPr>
            <w:r w:rsidRPr="00664E9F">
              <w:rPr>
                <w:rFonts w:asciiTheme="minorHAnsi" w:hAnsiTheme="minorHAnsi" w:cstheme="minorHAnsi"/>
                <w:b/>
                <w:sz w:val="20"/>
                <w:szCs w:val="20"/>
              </w:rPr>
              <w:t>413</w:t>
            </w:r>
          </w:p>
        </w:tc>
        <w:tc>
          <w:tcPr>
            <w:tcW w:w="1080" w:type="dxa"/>
            <w:tcBorders>
              <w:top w:val="nil"/>
              <w:left w:val="nil"/>
              <w:bottom w:val="single" w:sz="8" w:space="0" w:color="auto"/>
              <w:right w:val="nil"/>
            </w:tcBorders>
            <w:shd w:val="clear" w:color="auto" w:fill="auto"/>
            <w:noWrap/>
            <w:vAlign w:val="bottom"/>
            <w:hideMark/>
          </w:tcPr>
          <w:p w14:paraId="2AD5B82A" w14:textId="77777777" w:rsidR="00B71C89" w:rsidRPr="00664E9F" w:rsidRDefault="00B71C89" w:rsidP="00F94347">
            <w:pPr>
              <w:spacing w:line="240" w:lineRule="auto"/>
              <w:jc w:val="center"/>
              <w:rPr>
                <w:rFonts w:asciiTheme="minorHAnsi" w:eastAsia="Times New Roman" w:hAnsiTheme="minorHAnsi" w:cstheme="minorHAnsi"/>
                <w:b/>
                <w:color w:val="000000"/>
                <w:sz w:val="20"/>
                <w:szCs w:val="20"/>
              </w:rPr>
            </w:pPr>
            <w:r w:rsidRPr="00664E9F">
              <w:rPr>
                <w:rFonts w:asciiTheme="minorHAnsi" w:hAnsiTheme="minorHAnsi" w:cstheme="minorHAnsi"/>
                <w:b/>
                <w:sz w:val="20"/>
                <w:szCs w:val="20"/>
              </w:rPr>
              <w:t>42.4%</w:t>
            </w:r>
          </w:p>
        </w:tc>
        <w:tc>
          <w:tcPr>
            <w:tcW w:w="900" w:type="dxa"/>
            <w:tcBorders>
              <w:top w:val="nil"/>
              <w:left w:val="single" w:sz="4" w:space="0" w:color="auto"/>
              <w:bottom w:val="single" w:sz="8" w:space="0" w:color="auto"/>
              <w:right w:val="nil"/>
            </w:tcBorders>
            <w:shd w:val="clear" w:color="auto" w:fill="auto"/>
            <w:noWrap/>
            <w:vAlign w:val="bottom"/>
          </w:tcPr>
          <w:p w14:paraId="6406DDA0" w14:textId="77777777" w:rsidR="00B71C89" w:rsidRPr="000F66A3" w:rsidRDefault="00B71C89" w:rsidP="00F94347">
            <w:pPr>
              <w:spacing w:line="240" w:lineRule="auto"/>
              <w:jc w:val="center"/>
              <w:rPr>
                <w:rFonts w:asciiTheme="minorHAnsi" w:hAnsiTheme="minorHAnsi" w:cstheme="minorHAnsi"/>
                <w:b/>
                <w:sz w:val="20"/>
                <w:szCs w:val="20"/>
              </w:rPr>
            </w:pPr>
            <w:r w:rsidRPr="000F66A3">
              <w:rPr>
                <w:rFonts w:asciiTheme="minorHAnsi" w:hAnsiTheme="minorHAnsi" w:cstheme="minorHAnsi"/>
                <w:b/>
                <w:sz w:val="20"/>
                <w:szCs w:val="20"/>
              </w:rPr>
              <w:t>602</w:t>
            </w:r>
          </w:p>
        </w:tc>
        <w:tc>
          <w:tcPr>
            <w:tcW w:w="1080" w:type="dxa"/>
            <w:tcBorders>
              <w:top w:val="nil"/>
              <w:left w:val="nil"/>
              <w:bottom w:val="single" w:sz="8" w:space="0" w:color="auto"/>
              <w:right w:val="double" w:sz="6" w:space="0" w:color="auto"/>
            </w:tcBorders>
            <w:shd w:val="clear" w:color="auto" w:fill="auto"/>
            <w:noWrap/>
            <w:vAlign w:val="bottom"/>
          </w:tcPr>
          <w:p w14:paraId="76713011" w14:textId="77777777" w:rsidR="00B71C89" w:rsidRPr="00CC5307" w:rsidRDefault="00B71C89" w:rsidP="00F94347">
            <w:pPr>
              <w:spacing w:line="240" w:lineRule="auto"/>
              <w:jc w:val="center"/>
              <w:rPr>
                <w:rFonts w:asciiTheme="minorHAnsi" w:eastAsia="Times New Roman" w:hAnsiTheme="minorHAnsi" w:cstheme="minorHAnsi"/>
                <w:b/>
                <w:color w:val="000000"/>
                <w:sz w:val="20"/>
                <w:szCs w:val="20"/>
              </w:rPr>
            </w:pPr>
            <w:r w:rsidRPr="00CC5307">
              <w:rPr>
                <w:rFonts w:asciiTheme="minorHAnsi" w:hAnsiTheme="minorHAnsi"/>
                <w:b/>
                <w:sz w:val="20"/>
              </w:rPr>
              <w:t>42.4%</w:t>
            </w:r>
          </w:p>
        </w:tc>
        <w:tc>
          <w:tcPr>
            <w:tcW w:w="810" w:type="dxa"/>
            <w:tcBorders>
              <w:top w:val="nil"/>
              <w:left w:val="nil"/>
              <w:bottom w:val="single" w:sz="8" w:space="0" w:color="auto"/>
              <w:right w:val="nil"/>
            </w:tcBorders>
            <w:shd w:val="clear" w:color="auto" w:fill="auto"/>
            <w:noWrap/>
            <w:vAlign w:val="bottom"/>
          </w:tcPr>
          <w:p w14:paraId="6F4E006C" w14:textId="77777777" w:rsidR="00B71C89" w:rsidRPr="0031710F" w:rsidRDefault="00B71C89" w:rsidP="00F94347">
            <w:pPr>
              <w:spacing w:line="240" w:lineRule="auto"/>
              <w:jc w:val="center"/>
              <w:rPr>
                <w:rFonts w:asciiTheme="minorHAnsi" w:eastAsia="Times New Roman" w:hAnsiTheme="minorHAnsi" w:cstheme="minorHAnsi"/>
                <w:b/>
                <w:color w:val="000000"/>
                <w:sz w:val="20"/>
                <w:szCs w:val="20"/>
              </w:rPr>
            </w:pPr>
            <w:r w:rsidRPr="0031710F">
              <w:rPr>
                <w:rFonts w:asciiTheme="minorHAnsi" w:hAnsiTheme="minorHAnsi" w:cstheme="minorHAnsi"/>
                <w:b/>
                <w:sz w:val="20"/>
                <w:szCs w:val="20"/>
              </w:rPr>
              <w:t>36</w:t>
            </w:r>
          </w:p>
        </w:tc>
        <w:tc>
          <w:tcPr>
            <w:tcW w:w="1080" w:type="dxa"/>
            <w:tcBorders>
              <w:top w:val="nil"/>
              <w:left w:val="nil"/>
              <w:bottom w:val="single" w:sz="8" w:space="0" w:color="auto"/>
              <w:right w:val="single" w:sz="8" w:space="0" w:color="auto"/>
            </w:tcBorders>
            <w:shd w:val="clear" w:color="auto" w:fill="auto"/>
            <w:noWrap/>
            <w:vAlign w:val="bottom"/>
          </w:tcPr>
          <w:p w14:paraId="1E732001" w14:textId="77777777" w:rsidR="00B71C89" w:rsidRPr="0031710F" w:rsidRDefault="00B71C89" w:rsidP="00F94347">
            <w:pPr>
              <w:spacing w:line="240" w:lineRule="auto"/>
              <w:jc w:val="center"/>
              <w:rPr>
                <w:rFonts w:asciiTheme="minorHAnsi" w:eastAsia="Times New Roman" w:hAnsiTheme="minorHAnsi" w:cstheme="minorHAnsi"/>
                <w:b/>
                <w:color w:val="000000"/>
                <w:sz w:val="20"/>
                <w:szCs w:val="20"/>
              </w:rPr>
            </w:pPr>
            <w:r w:rsidRPr="0031710F">
              <w:rPr>
                <w:rFonts w:asciiTheme="minorHAnsi" w:hAnsiTheme="minorHAnsi" w:cstheme="minorHAnsi"/>
                <w:b/>
                <w:sz w:val="20"/>
                <w:szCs w:val="20"/>
              </w:rPr>
              <w:t>13.9%</w:t>
            </w:r>
          </w:p>
        </w:tc>
        <w:tc>
          <w:tcPr>
            <w:tcW w:w="900" w:type="dxa"/>
            <w:tcBorders>
              <w:top w:val="nil"/>
              <w:left w:val="single" w:sz="8" w:space="0" w:color="auto"/>
              <w:bottom w:val="single" w:sz="8" w:space="0" w:color="auto"/>
              <w:right w:val="nil"/>
            </w:tcBorders>
            <w:shd w:val="clear" w:color="auto" w:fill="auto"/>
            <w:noWrap/>
            <w:vAlign w:val="bottom"/>
          </w:tcPr>
          <w:p w14:paraId="419F8813" w14:textId="77777777" w:rsidR="00B71C89" w:rsidRPr="00CC5307" w:rsidRDefault="00B71C89" w:rsidP="00F94347">
            <w:pPr>
              <w:spacing w:line="240" w:lineRule="auto"/>
              <w:jc w:val="center"/>
              <w:rPr>
                <w:rFonts w:asciiTheme="minorHAnsi" w:hAnsiTheme="minorHAnsi" w:cstheme="minorHAnsi"/>
                <w:b/>
                <w:sz w:val="20"/>
                <w:szCs w:val="20"/>
              </w:rPr>
            </w:pPr>
            <w:r w:rsidRPr="00CC5307">
              <w:rPr>
                <w:rFonts w:asciiTheme="minorHAnsi" w:hAnsiTheme="minorHAnsi" w:cstheme="minorHAnsi"/>
                <w:b/>
                <w:sz w:val="20"/>
                <w:szCs w:val="20"/>
              </w:rPr>
              <w:t>72</w:t>
            </w:r>
          </w:p>
        </w:tc>
        <w:tc>
          <w:tcPr>
            <w:tcW w:w="1080" w:type="dxa"/>
            <w:tcBorders>
              <w:top w:val="nil"/>
              <w:left w:val="nil"/>
              <w:bottom w:val="single" w:sz="8" w:space="0" w:color="auto"/>
              <w:right w:val="single" w:sz="8" w:space="0" w:color="auto"/>
            </w:tcBorders>
            <w:shd w:val="clear" w:color="auto" w:fill="auto"/>
            <w:noWrap/>
            <w:vAlign w:val="bottom"/>
          </w:tcPr>
          <w:p w14:paraId="20342635" w14:textId="77777777" w:rsidR="00B71C89" w:rsidRPr="00CC5307" w:rsidRDefault="00B71C89" w:rsidP="00F94347">
            <w:pPr>
              <w:spacing w:line="240" w:lineRule="auto"/>
              <w:jc w:val="center"/>
              <w:rPr>
                <w:rFonts w:asciiTheme="minorHAnsi" w:hAnsiTheme="minorHAnsi" w:cstheme="minorHAnsi"/>
                <w:b/>
                <w:sz w:val="20"/>
                <w:szCs w:val="20"/>
              </w:rPr>
            </w:pPr>
            <w:r w:rsidRPr="00CC5307">
              <w:rPr>
                <w:rFonts w:asciiTheme="minorHAnsi" w:hAnsiTheme="minorHAnsi" w:cstheme="minorHAnsi"/>
                <w:b/>
                <w:sz w:val="20"/>
                <w:szCs w:val="20"/>
              </w:rPr>
              <w:t>27.8%</w:t>
            </w:r>
          </w:p>
        </w:tc>
      </w:tr>
    </w:tbl>
    <w:p w14:paraId="28531B54" w14:textId="77777777" w:rsidR="00B71C89" w:rsidRDefault="00B71C89" w:rsidP="00B71C89">
      <w:pPr>
        <w:spacing w:line="240" w:lineRule="auto"/>
      </w:pPr>
    </w:p>
    <w:p w14:paraId="174C2056" w14:textId="77777777" w:rsidR="00B71C89" w:rsidRDefault="00B71C89" w:rsidP="00B71C89">
      <w:pPr>
        <w:spacing w:line="240" w:lineRule="auto"/>
      </w:pPr>
    </w:p>
    <w:p w14:paraId="5E814D45" w14:textId="77777777" w:rsidR="00B71C89" w:rsidRDefault="00B71C89" w:rsidP="00B71C89">
      <w:r>
        <w:t>Information for individuals taking multiple medications by residence, primary disability and age group is shown in Figures 12 - 14.</w:t>
      </w:r>
      <w:r>
        <w:rPr>
          <w:rStyle w:val="FootnoteReference"/>
        </w:rPr>
        <w:footnoteReference w:id="9"/>
      </w:r>
      <w:r>
        <w:t xml:space="preserve"> Results are similar </w:t>
      </w:r>
      <w:r w:rsidRPr="007C58CF">
        <w:t xml:space="preserve">to previous analyses that have indicated people in group home settings or with an intellectual disability were more likely than their counterparts to be </w:t>
      </w:r>
      <w:r>
        <w:t xml:space="preserve">taking five or more medications, and multiple use tends to increase with age. People living in a family home were equally likely to be taking multiple medications, regardless of waiver type; however, for CDC+ they were somewhat less likely when living independently.  </w:t>
      </w:r>
      <w:r w:rsidRPr="007C58CF">
        <w:t xml:space="preserve"> </w:t>
      </w:r>
    </w:p>
    <w:p w14:paraId="217E3B97" w14:textId="77777777" w:rsidR="00B71C89" w:rsidRDefault="00B71C89" w:rsidP="00B71C89">
      <w:pPr>
        <w:spacing w:line="276" w:lineRule="auto"/>
      </w:pPr>
      <w:r>
        <w:rPr>
          <w:noProof/>
        </w:rPr>
        <w:drawing>
          <wp:anchor distT="0" distB="0" distL="114300" distR="114300" simplePos="0" relativeHeight="251696183" behindDoc="0" locked="0" layoutInCell="1" allowOverlap="1" wp14:anchorId="10BBBA78" wp14:editId="0CED3AC7">
            <wp:simplePos x="0" y="0"/>
            <wp:positionH relativeFrom="column">
              <wp:posOffset>-318052</wp:posOffset>
            </wp:positionH>
            <wp:positionV relativeFrom="paragraph">
              <wp:posOffset>283210</wp:posOffset>
            </wp:positionV>
            <wp:extent cx="3323645" cy="2495550"/>
            <wp:effectExtent l="0" t="0" r="0" b="0"/>
            <wp:wrapSquare wrapText="bothSides"/>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59" behindDoc="0" locked="0" layoutInCell="1" allowOverlap="1" wp14:anchorId="03F4AC14" wp14:editId="5C7A2F31">
            <wp:simplePos x="0" y="0"/>
            <wp:positionH relativeFrom="column">
              <wp:posOffset>3235960</wp:posOffset>
            </wp:positionH>
            <wp:positionV relativeFrom="paragraph">
              <wp:posOffset>165735</wp:posOffset>
            </wp:positionV>
            <wp:extent cx="3323590" cy="2607945"/>
            <wp:effectExtent l="0" t="0" r="0" b="1905"/>
            <wp:wrapSquare wrapText="bothSides"/>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14:paraId="02C0DC70" w14:textId="77777777" w:rsidR="00B71C89" w:rsidRDefault="00B71C89" w:rsidP="00B71C89">
      <w:pPr>
        <w:spacing w:line="240" w:lineRule="auto"/>
        <w:jc w:val="center"/>
      </w:pPr>
      <w:r>
        <w:rPr>
          <w:noProof/>
        </w:rPr>
        <w:drawing>
          <wp:inline distT="0" distB="0" distL="0" distR="0" wp14:anchorId="56713FEB" wp14:editId="51AE0166">
            <wp:extent cx="3371353" cy="2385695"/>
            <wp:effectExtent l="0" t="0" r="635"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D55A3A" w14:textId="77777777" w:rsidR="00B71C89" w:rsidRDefault="00B71C89" w:rsidP="00B71C89">
      <w:pPr>
        <w:spacing w:line="240" w:lineRule="auto"/>
      </w:pPr>
    </w:p>
    <w:p w14:paraId="02F33CFE" w14:textId="77777777" w:rsidR="00B71C89" w:rsidRDefault="00B71C89" w:rsidP="00B71C89">
      <w:pPr>
        <w:spacing w:line="240" w:lineRule="auto"/>
      </w:pPr>
      <w:r w:rsidRPr="00BA518C">
        <w:rPr>
          <w:noProof/>
        </w:rPr>
        <w:lastRenderedPageBreak/>
        <mc:AlternateContent>
          <mc:Choice Requires="wps">
            <w:drawing>
              <wp:anchor distT="0" distB="0" distL="114300" distR="114300" simplePos="0" relativeHeight="251693111" behindDoc="0" locked="0" layoutInCell="1" allowOverlap="1" wp14:anchorId="1B787688" wp14:editId="7767F607">
                <wp:simplePos x="0" y="0"/>
                <wp:positionH relativeFrom="margin">
                  <wp:posOffset>3808012</wp:posOffset>
                </wp:positionH>
                <wp:positionV relativeFrom="paragraph">
                  <wp:posOffset>125426</wp:posOffset>
                </wp:positionV>
                <wp:extent cx="1889760" cy="1671320"/>
                <wp:effectExtent l="0" t="0" r="15240" b="24130"/>
                <wp:wrapSquare wrapText="bothSides"/>
                <wp:docPr id="20" name="Rounded Rectangle 20"/>
                <wp:cNvGraphicFramePr/>
                <a:graphic xmlns:a="http://schemas.openxmlformats.org/drawingml/2006/main">
                  <a:graphicData uri="http://schemas.microsoft.com/office/word/2010/wordprocessingShape">
                    <wps:wsp>
                      <wps:cNvSpPr/>
                      <wps:spPr>
                        <a:xfrm>
                          <a:off x="0" y="0"/>
                          <a:ext cx="1889760" cy="1671320"/>
                        </a:xfrm>
                        <a:prstGeom prst="round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79ADF0" w14:textId="77777777" w:rsidR="00F94347" w:rsidRPr="009203F7" w:rsidRDefault="00F94347" w:rsidP="00B71C89">
                            <w:pPr>
                              <w:spacing w:line="240" w:lineRule="auto"/>
                              <w:jc w:val="center"/>
                              <w:rPr>
                                <w:rFonts w:asciiTheme="minorHAnsi" w:hAnsiTheme="minorHAnsi" w:cstheme="minorHAnsi"/>
                                <w:b/>
                                <w:color w:val="FFFFFF" w:themeColor="background1"/>
                                <w:sz w:val="20"/>
                                <w:szCs w:val="20"/>
                              </w:rPr>
                            </w:pPr>
                            <w:r w:rsidRPr="009203F7">
                              <w:rPr>
                                <w:rFonts w:asciiTheme="minorHAnsi" w:hAnsiTheme="minorHAnsi" w:cstheme="minorHAnsi"/>
                                <w:b/>
                                <w:noProof/>
                                <w:color w:val="FFFFFF" w:themeColor="background1"/>
                                <w:sz w:val="20"/>
                                <w:szCs w:val="20"/>
                              </w:rPr>
                              <w:t xml:space="preserve">With the exception of </w:t>
                            </w:r>
                            <w:r>
                              <w:rPr>
                                <w:rFonts w:asciiTheme="minorHAnsi" w:hAnsiTheme="minorHAnsi" w:cstheme="minorHAnsi"/>
                                <w:b/>
                                <w:noProof/>
                                <w:color w:val="FFFFFF" w:themeColor="background1"/>
                                <w:sz w:val="20"/>
                                <w:szCs w:val="20"/>
                              </w:rPr>
                              <w:t>ten</w:t>
                            </w:r>
                            <w:r w:rsidRPr="009203F7">
                              <w:rPr>
                                <w:rFonts w:asciiTheme="minorHAnsi" w:hAnsiTheme="minorHAnsi" w:cstheme="minorHAnsi"/>
                                <w:b/>
                                <w:noProof/>
                                <w:color w:val="FFFFFF" w:themeColor="background1"/>
                                <w:sz w:val="20"/>
                                <w:szCs w:val="20"/>
                              </w:rPr>
                              <w:t xml:space="preserve"> people using the Waiver for services, all people interviewed </w:t>
                            </w:r>
                            <w:r>
                              <w:rPr>
                                <w:rFonts w:asciiTheme="minorHAnsi" w:hAnsiTheme="minorHAnsi" w:cstheme="minorHAnsi"/>
                                <w:b/>
                                <w:noProof/>
                                <w:color w:val="FFFFFF" w:themeColor="background1"/>
                                <w:sz w:val="20"/>
                                <w:szCs w:val="20"/>
                              </w:rPr>
                              <w:t>to date this year</w:t>
                            </w:r>
                            <w:r w:rsidRPr="009203F7">
                              <w:rPr>
                                <w:rFonts w:asciiTheme="minorHAnsi" w:hAnsiTheme="minorHAnsi" w:cstheme="minorHAnsi"/>
                                <w:b/>
                                <w:noProof/>
                                <w:color w:val="FFFFFF" w:themeColor="background1"/>
                                <w:sz w:val="20"/>
                                <w:szCs w:val="20"/>
                              </w:rPr>
                              <w:t xml:space="preserve"> indicated they either had no health issues or if they did, they were being addressed.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87688" id="Rounded Rectangle 20" o:spid="_x0000_s1028" style="position:absolute;margin-left:299.85pt;margin-top:9.9pt;width:148.8pt;height:131.6pt;z-index:2516931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" fillcolor="#1f4d78 [1604]" strokecolor="#1f4d78 [1604]" strokeweight="1pt">
                <v:stroke joinstyle="miter"/>
                <v:textbox>
                  <w:txbxContent>
                    <w:p w14:paraId="3179ADF0" w14:textId="77777777" w:rsidR="00F94347" w:rsidRPr="009203F7" w:rsidRDefault="00F94347" w:rsidP="00B71C89">
                      <w:pPr>
                        <w:spacing w:line="240" w:lineRule="auto"/>
                        <w:jc w:val="center"/>
                        <w:rPr>
                          <w:rFonts w:asciiTheme="minorHAnsi" w:hAnsiTheme="minorHAnsi" w:cstheme="minorHAnsi"/>
                          <w:b/>
                          <w:color w:val="FFFFFF" w:themeColor="background1"/>
                          <w:sz w:val="20"/>
                          <w:szCs w:val="20"/>
                        </w:rPr>
                      </w:pPr>
                      <w:r w:rsidRPr="009203F7">
                        <w:rPr>
                          <w:rFonts w:asciiTheme="minorHAnsi" w:hAnsiTheme="minorHAnsi" w:cstheme="minorHAnsi"/>
                          <w:b/>
                          <w:noProof/>
                          <w:color w:val="FFFFFF" w:themeColor="background1"/>
                          <w:sz w:val="20"/>
                          <w:szCs w:val="20"/>
                        </w:rPr>
                        <w:t xml:space="preserve">With the exception of </w:t>
                      </w:r>
                      <w:r>
                        <w:rPr>
                          <w:rFonts w:asciiTheme="minorHAnsi" w:hAnsiTheme="minorHAnsi" w:cstheme="minorHAnsi"/>
                          <w:b/>
                          <w:noProof/>
                          <w:color w:val="FFFFFF" w:themeColor="background1"/>
                          <w:sz w:val="20"/>
                          <w:szCs w:val="20"/>
                        </w:rPr>
                        <w:t>ten</w:t>
                      </w:r>
                      <w:r w:rsidRPr="009203F7">
                        <w:rPr>
                          <w:rFonts w:asciiTheme="minorHAnsi" w:hAnsiTheme="minorHAnsi" w:cstheme="minorHAnsi"/>
                          <w:b/>
                          <w:noProof/>
                          <w:color w:val="FFFFFF" w:themeColor="background1"/>
                          <w:sz w:val="20"/>
                          <w:szCs w:val="20"/>
                        </w:rPr>
                        <w:t xml:space="preserve"> people using the Waiver for services, all people interviewed </w:t>
                      </w:r>
                      <w:r>
                        <w:rPr>
                          <w:rFonts w:asciiTheme="minorHAnsi" w:hAnsiTheme="minorHAnsi" w:cstheme="minorHAnsi"/>
                          <w:b/>
                          <w:noProof/>
                          <w:color w:val="FFFFFF" w:themeColor="background1"/>
                          <w:sz w:val="20"/>
                          <w:szCs w:val="20"/>
                        </w:rPr>
                        <w:t>to date this year</w:t>
                      </w:r>
                      <w:r w:rsidRPr="009203F7">
                        <w:rPr>
                          <w:rFonts w:asciiTheme="minorHAnsi" w:hAnsiTheme="minorHAnsi" w:cstheme="minorHAnsi"/>
                          <w:b/>
                          <w:noProof/>
                          <w:color w:val="FFFFFF" w:themeColor="background1"/>
                          <w:sz w:val="20"/>
                          <w:szCs w:val="20"/>
                        </w:rPr>
                        <w:t xml:space="preserve"> indicated they either had no health issues or if they did, they were being addressed.</w:t>
                      </w:r>
                    </w:p>
                  </w:txbxContent>
                </v:textbox>
                <w10:wrap type="square" anchorx="margin"/>
              </v:roundrect>
            </w:pict>
          </mc:Fallback>
        </mc:AlternateContent>
      </w:r>
    </w:p>
    <w:p w14:paraId="48777F31" w14:textId="77777777" w:rsidR="00B71C89" w:rsidRDefault="00B71C89" w:rsidP="00B71C89">
      <w:pPr>
        <w:spacing w:line="276" w:lineRule="auto"/>
        <w:rPr>
          <w:noProof/>
        </w:rPr>
      </w:pPr>
      <w:r w:rsidRPr="00BA518C">
        <w:t>Table 1</w:t>
      </w:r>
      <w:r>
        <w:t>3</w:t>
      </w:r>
      <w:r w:rsidRPr="00BA518C">
        <w:t xml:space="preserve"> displays the percentage of individuals who experienced a significant health event within the past 12 months. The greatest proportion of events for people receiving services through the Waiver or CDC</w:t>
      </w:r>
      <w:r w:rsidRPr="00DE7A9A">
        <w:t>+ involved visits to the emergency room or the hospital.</w:t>
      </w:r>
      <w:r w:rsidRPr="00DE7A9A">
        <w:rPr>
          <w:noProof/>
        </w:rPr>
        <w:t xml:space="preserve"> </w:t>
      </w:r>
      <w:r>
        <w:rPr>
          <w:noProof/>
        </w:rPr>
        <w:t xml:space="preserve">While the numbers are still relatively small, it seems hospitalizations and visits to the Emergency Room (ER) have increased for people receiving services through CDC+, and therefore most likely living in a family home. Visits to the ER have dropped somewhat for people receiving servcies through the Waiver. </w:t>
      </w:r>
    </w:p>
    <w:p w14:paraId="2B574702" w14:textId="77777777" w:rsidR="00B71C89" w:rsidRDefault="00B71C89" w:rsidP="00B71C89">
      <w:pPr>
        <w:spacing w:line="276" w:lineRule="auto"/>
        <w:rPr>
          <w:rStyle w:val="Heading3Char"/>
          <w:rFonts w:ascii="Garamond" w:eastAsiaTheme="minorHAnsi" w:hAnsi="Garamond" w:cstheme="minorBidi"/>
          <w:b w:val="0"/>
          <w:bCs w:val="0"/>
          <w:color w:val="auto"/>
          <w:szCs w:val="22"/>
          <w:u w:val="none"/>
        </w:rPr>
      </w:pPr>
    </w:p>
    <w:tbl>
      <w:tblPr>
        <w:tblW w:w="9450" w:type="dxa"/>
        <w:tblInd w:w="-10" w:type="dxa"/>
        <w:tblLook w:val="04A0" w:firstRow="1" w:lastRow="0" w:firstColumn="1" w:lastColumn="0" w:noHBand="0" w:noVBand="1"/>
      </w:tblPr>
      <w:tblGrid>
        <w:gridCol w:w="4950"/>
        <w:gridCol w:w="1170"/>
        <w:gridCol w:w="1170"/>
        <w:gridCol w:w="1080"/>
        <w:gridCol w:w="1080"/>
      </w:tblGrid>
      <w:tr w:rsidR="00B71C89" w:rsidRPr="005559EF" w14:paraId="4EA245D6" w14:textId="77777777" w:rsidTr="00F94347">
        <w:trPr>
          <w:trHeight w:val="315"/>
          <w:tblHeader/>
        </w:trPr>
        <w:tc>
          <w:tcPr>
            <w:tcW w:w="9450" w:type="dxa"/>
            <w:gridSpan w:val="5"/>
            <w:tcBorders>
              <w:top w:val="single" w:sz="8" w:space="0" w:color="auto"/>
              <w:left w:val="single" w:sz="8" w:space="0" w:color="auto"/>
              <w:bottom w:val="single" w:sz="4" w:space="0" w:color="auto"/>
              <w:right w:val="single" w:sz="8" w:space="0" w:color="000000"/>
            </w:tcBorders>
            <w:shd w:val="clear" w:color="000000" w:fill="215967"/>
            <w:noWrap/>
            <w:vAlign w:val="center"/>
            <w:hideMark/>
          </w:tcPr>
          <w:p w14:paraId="4E4BD7CA" w14:textId="77777777" w:rsidR="00B71C89" w:rsidRPr="005559EF" w:rsidRDefault="00B71C89" w:rsidP="00F94347">
            <w:pPr>
              <w:spacing w:line="240" w:lineRule="auto"/>
              <w:jc w:val="center"/>
              <w:rPr>
                <w:rFonts w:ascii="Franklin Gothic Medium" w:eastAsia="Times New Roman" w:hAnsi="Franklin Gothic Medium" w:cs="Calibri"/>
                <w:color w:val="FFFFFF"/>
                <w:sz w:val="22"/>
              </w:rPr>
            </w:pPr>
            <w:r w:rsidRPr="005559EF">
              <w:rPr>
                <w:rFonts w:ascii="Franklin Gothic Medium" w:eastAsia="Times New Roman" w:hAnsi="Franklin Gothic Medium" w:cs="Calibri"/>
                <w:color w:val="FFFFFF"/>
                <w:sz w:val="22"/>
              </w:rPr>
              <w:t>Table 1</w:t>
            </w:r>
            <w:r>
              <w:rPr>
                <w:rFonts w:ascii="Franklin Gothic Medium" w:eastAsia="Times New Roman" w:hAnsi="Franklin Gothic Medium" w:cs="Calibri"/>
                <w:color w:val="FFFFFF"/>
                <w:sz w:val="22"/>
              </w:rPr>
              <w:t>3</w:t>
            </w:r>
            <w:r w:rsidRPr="005559EF">
              <w:rPr>
                <w:rFonts w:ascii="Franklin Gothic Medium" w:eastAsia="Times New Roman" w:hAnsi="Franklin Gothic Medium" w:cs="Calibri"/>
                <w:color w:val="FFFFFF"/>
                <w:sz w:val="22"/>
              </w:rPr>
              <w:t>. Percent of Individuals with a Significant Health Event by Waiver Type</w:t>
            </w:r>
          </w:p>
        </w:tc>
      </w:tr>
      <w:tr w:rsidR="00B71C89" w:rsidRPr="005559EF" w14:paraId="57352C6D" w14:textId="77777777" w:rsidTr="00F94347">
        <w:trPr>
          <w:trHeight w:val="300"/>
          <w:tblHeader/>
        </w:trPr>
        <w:tc>
          <w:tcPr>
            <w:tcW w:w="4950" w:type="dxa"/>
            <w:vMerge w:val="restart"/>
            <w:tcBorders>
              <w:top w:val="nil"/>
              <w:left w:val="single" w:sz="8" w:space="0" w:color="auto"/>
              <w:bottom w:val="single" w:sz="4" w:space="0" w:color="auto"/>
              <w:right w:val="nil"/>
            </w:tcBorders>
            <w:shd w:val="clear" w:color="000000" w:fill="215967"/>
            <w:noWrap/>
            <w:vAlign w:val="bottom"/>
            <w:hideMark/>
          </w:tcPr>
          <w:p w14:paraId="425DFA55" w14:textId="77777777" w:rsidR="00B71C89" w:rsidRPr="005559EF" w:rsidRDefault="00B71C89" w:rsidP="00F94347">
            <w:pPr>
              <w:spacing w:line="240" w:lineRule="auto"/>
              <w:rPr>
                <w:rFonts w:ascii="Calibri" w:eastAsia="Times New Roman" w:hAnsi="Calibri" w:cs="Calibri"/>
                <w:color w:val="FFFFFF"/>
                <w:sz w:val="22"/>
              </w:rPr>
            </w:pPr>
            <w:r w:rsidRPr="005559EF">
              <w:rPr>
                <w:rFonts w:ascii="Calibri" w:eastAsia="Times New Roman" w:hAnsi="Calibri" w:cs="Calibri"/>
                <w:color w:val="FFFFFF"/>
                <w:sz w:val="22"/>
              </w:rPr>
              <w:t>In the previous 12 months:</w:t>
            </w:r>
          </w:p>
        </w:tc>
        <w:tc>
          <w:tcPr>
            <w:tcW w:w="2340" w:type="dxa"/>
            <w:gridSpan w:val="2"/>
            <w:tcBorders>
              <w:top w:val="single" w:sz="4" w:space="0" w:color="auto"/>
              <w:left w:val="double" w:sz="6" w:space="0" w:color="auto"/>
              <w:bottom w:val="single" w:sz="4" w:space="0" w:color="auto"/>
              <w:right w:val="double" w:sz="6" w:space="0" w:color="000000"/>
            </w:tcBorders>
            <w:shd w:val="clear" w:color="000000" w:fill="215967"/>
            <w:noWrap/>
            <w:vAlign w:val="center"/>
            <w:hideMark/>
          </w:tcPr>
          <w:p w14:paraId="2A5975AF" w14:textId="77777777" w:rsidR="00B71C89" w:rsidRPr="005559EF" w:rsidRDefault="00B71C89" w:rsidP="00F94347">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Waiver</w:t>
            </w:r>
          </w:p>
        </w:tc>
        <w:tc>
          <w:tcPr>
            <w:tcW w:w="2160" w:type="dxa"/>
            <w:gridSpan w:val="2"/>
            <w:tcBorders>
              <w:top w:val="single" w:sz="4" w:space="0" w:color="auto"/>
              <w:left w:val="nil"/>
              <w:bottom w:val="single" w:sz="4" w:space="0" w:color="auto"/>
              <w:right w:val="single" w:sz="8" w:space="0" w:color="000000"/>
            </w:tcBorders>
            <w:shd w:val="clear" w:color="000000" w:fill="215967"/>
            <w:noWrap/>
            <w:vAlign w:val="center"/>
            <w:hideMark/>
          </w:tcPr>
          <w:p w14:paraId="45047624" w14:textId="77777777" w:rsidR="00B71C89" w:rsidRPr="005559EF" w:rsidRDefault="00B71C89" w:rsidP="00F94347">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CDC+</w:t>
            </w:r>
          </w:p>
        </w:tc>
      </w:tr>
      <w:tr w:rsidR="00B71C89" w:rsidRPr="005559EF" w14:paraId="27602B2B" w14:textId="77777777" w:rsidTr="00F94347">
        <w:trPr>
          <w:trHeight w:val="300"/>
          <w:tblHeader/>
        </w:trPr>
        <w:tc>
          <w:tcPr>
            <w:tcW w:w="4950" w:type="dxa"/>
            <w:vMerge/>
            <w:tcBorders>
              <w:top w:val="nil"/>
              <w:left w:val="single" w:sz="8" w:space="0" w:color="auto"/>
              <w:bottom w:val="single" w:sz="4" w:space="0" w:color="auto"/>
              <w:right w:val="nil"/>
            </w:tcBorders>
            <w:vAlign w:val="center"/>
            <w:hideMark/>
          </w:tcPr>
          <w:p w14:paraId="2DF63A46" w14:textId="77777777" w:rsidR="00B71C89" w:rsidRPr="005559EF" w:rsidRDefault="00B71C89" w:rsidP="00F94347">
            <w:pPr>
              <w:spacing w:line="240" w:lineRule="auto"/>
              <w:rPr>
                <w:rFonts w:ascii="Calibri" w:eastAsia="Times New Roman" w:hAnsi="Calibri" w:cs="Calibri"/>
                <w:color w:val="FFFFFF"/>
                <w:sz w:val="22"/>
              </w:rPr>
            </w:pPr>
          </w:p>
        </w:tc>
        <w:tc>
          <w:tcPr>
            <w:tcW w:w="1170" w:type="dxa"/>
            <w:tcBorders>
              <w:top w:val="nil"/>
              <w:left w:val="double" w:sz="6" w:space="0" w:color="auto"/>
              <w:bottom w:val="single" w:sz="4" w:space="0" w:color="auto"/>
              <w:right w:val="nil"/>
            </w:tcBorders>
            <w:shd w:val="clear" w:color="000000" w:fill="215967"/>
            <w:noWrap/>
            <w:vAlign w:val="center"/>
            <w:hideMark/>
          </w:tcPr>
          <w:p w14:paraId="5A265FC0" w14:textId="77777777" w:rsidR="00B71C89" w:rsidRPr="005559EF" w:rsidRDefault="00B71C89" w:rsidP="00F94347">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Y3Q4 (413)</w:t>
            </w:r>
          </w:p>
        </w:tc>
        <w:tc>
          <w:tcPr>
            <w:tcW w:w="1170" w:type="dxa"/>
            <w:tcBorders>
              <w:top w:val="nil"/>
              <w:left w:val="nil"/>
              <w:bottom w:val="single" w:sz="4" w:space="0" w:color="auto"/>
              <w:right w:val="double" w:sz="6" w:space="0" w:color="auto"/>
            </w:tcBorders>
            <w:shd w:val="clear" w:color="000000" w:fill="215967"/>
            <w:noWrap/>
            <w:vAlign w:val="center"/>
            <w:hideMark/>
          </w:tcPr>
          <w:p w14:paraId="0D343E2B" w14:textId="77777777" w:rsidR="00B71C89" w:rsidRPr="005559EF" w:rsidRDefault="00B71C89" w:rsidP="00F94347">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Y4Q1-2</w:t>
            </w:r>
            <w:r w:rsidRPr="005559EF">
              <w:rPr>
                <w:rFonts w:ascii="Calibri" w:eastAsia="Times New Roman" w:hAnsi="Calibri" w:cs="Calibri"/>
                <w:color w:val="FFFFFF"/>
                <w:sz w:val="22"/>
              </w:rPr>
              <w:t xml:space="preserve"> (</w:t>
            </w:r>
            <w:r>
              <w:rPr>
                <w:rFonts w:ascii="Calibri" w:eastAsia="Times New Roman" w:hAnsi="Calibri" w:cs="Calibri"/>
                <w:color w:val="FFFFFF"/>
                <w:sz w:val="22"/>
              </w:rPr>
              <w:t>602</w:t>
            </w:r>
            <w:r w:rsidRPr="005559EF">
              <w:rPr>
                <w:rFonts w:ascii="Calibri" w:eastAsia="Times New Roman" w:hAnsi="Calibri" w:cs="Calibri"/>
                <w:color w:val="FFFFFF"/>
                <w:sz w:val="22"/>
              </w:rPr>
              <w:t>)</w:t>
            </w:r>
          </w:p>
        </w:tc>
        <w:tc>
          <w:tcPr>
            <w:tcW w:w="1080" w:type="dxa"/>
            <w:tcBorders>
              <w:top w:val="nil"/>
              <w:left w:val="nil"/>
              <w:bottom w:val="single" w:sz="4" w:space="0" w:color="auto"/>
              <w:right w:val="nil"/>
            </w:tcBorders>
            <w:shd w:val="clear" w:color="000000" w:fill="215967"/>
            <w:noWrap/>
            <w:vAlign w:val="center"/>
            <w:hideMark/>
          </w:tcPr>
          <w:p w14:paraId="28419CF0" w14:textId="77777777" w:rsidR="00B71C89" w:rsidRPr="005559EF" w:rsidRDefault="00B71C89" w:rsidP="00F94347">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Y3Q4</w:t>
            </w:r>
            <w:r w:rsidRPr="005559EF">
              <w:rPr>
                <w:rFonts w:ascii="Calibri" w:eastAsia="Times New Roman" w:hAnsi="Calibri" w:cs="Calibri"/>
                <w:color w:val="FFFFFF"/>
                <w:sz w:val="22"/>
              </w:rPr>
              <w:t xml:space="preserve"> (</w:t>
            </w:r>
            <w:r>
              <w:rPr>
                <w:rFonts w:ascii="Calibri" w:eastAsia="Times New Roman" w:hAnsi="Calibri" w:cs="Calibri"/>
                <w:color w:val="FFFFFF"/>
                <w:sz w:val="22"/>
              </w:rPr>
              <w:t>36</w:t>
            </w:r>
            <w:r w:rsidRPr="005559EF">
              <w:rPr>
                <w:rFonts w:ascii="Calibri" w:eastAsia="Times New Roman" w:hAnsi="Calibri" w:cs="Calibri"/>
                <w:color w:val="FFFFFF"/>
                <w:sz w:val="22"/>
              </w:rPr>
              <w:t>)</w:t>
            </w:r>
          </w:p>
        </w:tc>
        <w:tc>
          <w:tcPr>
            <w:tcW w:w="1080" w:type="dxa"/>
            <w:tcBorders>
              <w:top w:val="nil"/>
              <w:left w:val="nil"/>
              <w:bottom w:val="single" w:sz="4" w:space="0" w:color="auto"/>
              <w:right w:val="nil"/>
            </w:tcBorders>
            <w:shd w:val="clear" w:color="000000" w:fill="215967"/>
            <w:noWrap/>
            <w:vAlign w:val="center"/>
            <w:hideMark/>
          </w:tcPr>
          <w:p w14:paraId="782E6831" w14:textId="77777777" w:rsidR="00B71C89" w:rsidRPr="005559EF" w:rsidRDefault="00B71C89" w:rsidP="00F94347">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Y4</w:t>
            </w:r>
            <w:r w:rsidRPr="005559EF">
              <w:rPr>
                <w:rFonts w:ascii="Calibri" w:eastAsia="Times New Roman" w:hAnsi="Calibri" w:cs="Calibri"/>
                <w:color w:val="FFFFFF"/>
                <w:sz w:val="22"/>
              </w:rPr>
              <w:t>Q</w:t>
            </w:r>
            <w:r>
              <w:rPr>
                <w:rFonts w:ascii="Calibri" w:eastAsia="Times New Roman" w:hAnsi="Calibri" w:cs="Calibri"/>
                <w:color w:val="FFFFFF"/>
                <w:sz w:val="22"/>
              </w:rPr>
              <w:t>1-2</w:t>
            </w:r>
            <w:r w:rsidRPr="005559EF">
              <w:rPr>
                <w:rFonts w:ascii="Calibri" w:eastAsia="Times New Roman" w:hAnsi="Calibri" w:cs="Calibri"/>
                <w:color w:val="FFFFFF"/>
                <w:sz w:val="22"/>
              </w:rPr>
              <w:t xml:space="preserve"> (</w:t>
            </w:r>
            <w:r>
              <w:rPr>
                <w:rFonts w:ascii="Calibri" w:eastAsia="Times New Roman" w:hAnsi="Calibri" w:cs="Calibri"/>
                <w:color w:val="FFFFFF"/>
                <w:sz w:val="22"/>
              </w:rPr>
              <w:t>72</w:t>
            </w:r>
            <w:r w:rsidRPr="005559EF">
              <w:rPr>
                <w:rFonts w:ascii="Calibri" w:eastAsia="Times New Roman" w:hAnsi="Calibri" w:cs="Calibri"/>
                <w:color w:val="FFFFFF"/>
                <w:sz w:val="22"/>
              </w:rPr>
              <w:t>)</w:t>
            </w:r>
          </w:p>
        </w:tc>
      </w:tr>
      <w:tr w:rsidR="00B71C89" w:rsidRPr="005559EF" w14:paraId="2DCFCF5C" w14:textId="77777777" w:rsidTr="00F94347">
        <w:trPr>
          <w:trHeight w:val="432"/>
        </w:trPr>
        <w:tc>
          <w:tcPr>
            <w:tcW w:w="4950" w:type="dxa"/>
            <w:tcBorders>
              <w:top w:val="nil"/>
              <w:left w:val="single" w:sz="8" w:space="0" w:color="auto"/>
              <w:bottom w:val="single" w:sz="4" w:space="0" w:color="auto"/>
              <w:right w:val="nil"/>
            </w:tcBorders>
            <w:shd w:val="clear" w:color="auto" w:fill="auto"/>
            <w:vAlign w:val="bottom"/>
            <w:hideMark/>
          </w:tcPr>
          <w:p w14:paraId="2F64E4C4"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Has the Abuse Hotline been contacted by you or others to report abuse, neglect, or exploitation?</w:t>
            </w:r>
          </w:p>
        </w:tc>
        <w:tc>
          <w:tcPr>
            <w:tcW w:w="1170" w:type="dxa"/>
            <w:tcBorders>
              <w:top w:val="nil"/>
              <w:left w:val="double" w:sz="6" w:space="0" w:color="auto"/>
              <w:bottom w:val="single" w:sz="4" w:space="0" w:color="auto"/>
              <w:right w:val="nil"/>
            </w:tcBorders>
            <w:shd w:val="clear" w:color="auto" w:fill="auto"/>
            <w:noWrap/>
            <w:vAlign w:val="center"/>
            <w:hideMark/>
          </w:tcPr>
          <w:p w14:paraId="4CA90C5E"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1.9%</w:t>
            </w:r>
          </w:p>
        </w:tc>
        <w:tc>
          <w:tcPr>
            <w:tcW w:w="1170" w:type="dxa"/>
            <w:tcBorders>
              <w:top w:val="nil"/>
              <w:left w:val="nil"/>
              <w:bottom w:val="single" w:sz="4" w:space="0" w:color="auto"/>
              <w:right w:val="double" w:sz="6" w:space="0" w:color="auto"/>
            </w:tcBorders>
            <w:shd w:val="clear" w:color="auto" w:fill="auto"/>
            <w:noWrap/>
            <w:vAlign w:val="center"/>
          </w:tcPr>
          <w:p w14:paraId="0C4C51D6"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2.2%</w:t>
            </w:r>
          </w:p>
        </w:tc>
        <w:tc>
          <w:tcPr>
            <w:tcW w:w="1080" w:type="dxa"/>
            <w:tcBorders>
              <w:top w:val="nil"/>
              <w:left w:val="nil"/>
              <w:bottom w:val="single" w:sz="4" w:space="0" w:color="auto"/>
              <w:right w:val="nil"/>
            </w:tcBorders>
            <w:shd w:val="clear" w:color="auto" w:fill="auto"/>
            <w:noWrap/>
            <w:vAlign w:val="center"/>
            <w:hideMark/>
          </w:tcPr>
          <w:p w14:paraId="66EC307E"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0.0%</w:t>
            </w:r>
          </w:p>
        </w:tc>
        <w:tc>
          <w:tcPr>
            <w:tcW w:w="1080" w:type="dxa"/>
            <w:tcBorders>
              <w:top w:val="nil"/>
              <w:left w:val="nil"/>
              <w:bottom w:val="single" w:sz="4" w:space="0" w:color="auto"/>
              <w:right w:val="single" w:sz="8" w:space="0" w:color="auto"/>
            </w:tcBorders>
            <w:shd w:val="clear" w:color="auto" w:fill="auto"/>
            <w:noWrap/>
            <w:vAlign w:val="center"/>
          </w:tcPr>
          <w:p w14:paraId="0E0D42FE"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0.0%</w:t>
            </w:r>
          </w:p>
        </w:tc>
      </w:tr>
      <w:tr w:rsidR="00B71C89" w:rsidRPr="00E25B89" w14:paraId="001AB40A" w14:textId="77777777" w:rsidTr="00F94347">
        <w:trPr>
          <w:trHeight w:val="432"/>
        </w:trPr>
        <w:tc>
          <w:tcPr>
            <w:tcW w:w="4950" w:type="dxa"/>
            <w:tcBorders>
              <w:top w:val="nil"/>
              <w:left w:val="single" w:sz="8" w:space="0" w:color="auto"/>
              <w:bottom w:val="single" w:sz="4" w:space="0" w:color="auto"/>
              <w:right w:val="nil"/>
            </w:tcBorders>
            <w:shd w:val="clear" w:color="auto" w:fill="auto"/>
            <w:vAlign w:val="bottom"/>
            <w:hideMark/>
          </w:tcPr>
          <w:p w14:paraId="1852C208"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Reactive Strategies under 65G-8 been used due to behavioral concerns?</w:t>
            </w:r>
          </w:p>
        </w:tc>
        <w:tc>
          <w:tcPr>
            <w:tcW w:w="1170" w:type="dxa"/>
            <w:tcBorders>
              <w:top w:val="nil"/>
              <w:left w:val="double" w:sz="6" w:space="0" w:color="auto"/>
              <w:bottom w:val="single" w:sz="4" w:space="0" w:color="auto"/>
              <w:right w:val="nil"/>
            </w:tcBorders>
            <w:shd w:val="clear" w:color="auto" w:fill="auto"/>
            <w:noWrap/>
            <w:vAlign w:val="center"/>
            <w:hideMark/>
          </w:tcPr>
          <w:p w14:paraId="39EA7CEE"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3.4%</w:t>
            </w:r>
          </w:p>
        </w:tc>
        <w:tc>
          <w:tcPr>
            <w:tcW w:w="1170" w:type="dxa"/>
            <w:tcBorders>
              <w:top w:val="nil"/>
              <w:left w:val="nil"/>
              <w:bottom w:val="single" w:sz="4" w:space="0" w:color="auto"/>
              <w:right w:val="double" w:sz="6" w:space="0" w:color="auto"/>
            </w:tcBorders>
            <w:shd w:val="clear" w:color="auto" w:fill="auto"/>
            <w:noWrap/>
            <w:vAlign w:val="center"/>
          </w:tcPr>
          <w:p w14:paraId="73C78FFF"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2.3%</w:t>
            </w:r>
          </w:p>
        </w:tc>
        <w:tc>
          <w:tcPr>
            <w:tcW w:w="1080" w:type="dxa"/>
            <w:tcBorders>
              <w:top w:val="nil"/>
              <w:left w:val="nil"/>
              <w:bottom w:val="single" w:sz="4" w:space="0" w:color="auto"/>
              <w:right w:val="nil"/>
            </w:tcBorders>
            <w:shd w:val="clear" w:color="auto" w:fill="auto"/>
            <w:noWrap/>
            <w:vAlign w:val="center"/>
            <w:hideMark/>
          </w:tcPr>
          <w:p w14:paraId="49EC2C29"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0.0%</w:t>
            </w:r>
          </w:p>
        </w:tc>
        <w:tc>
          <w:tcPr>
            <w:tcW w:w="1080" w:type="dxa"/>
            <w:tcBorders>
              <w:top w:val="nil"/>
              <w:left w:val="nil"/>
              <w:bottom w:val="single" w:sz="4" w:space="0" w:color="auto"/>
              <w:right w:val="single" w:sz="8" w:space="0" w:color="auto"/>
            </w:tcBorders>
            <w:shd w:val="clear" w:color="auto" w:fill="auto"/>
            <w:noWrap/>
            <w:vAlign w:val="center"/>
          </w:tcPr>
          <w:p w14:paraId="04670AEC"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1.4%</w:t>
            </w:r>
          </w:p>
        </w:tc>
      </w:tr>
      <w:tr w:rsidR="00B71C89" w:rsidRPr="005559EF" w14:paraId="4638D126" w14:textId="77777777" w:rsidTr="00F94347">
        <w:trPr>
          <w:trHeight w:val="300"/>
        </w:trPr>
        <w:tc>
          <w:tcPr>
            <w:tcW w:w="4950" w:type="dxa"/>
            <w:tcBorders>
              <w:top w:val="nil"/>
              <w:left w:val="single" w:sz="8" w:space="0" w:color="auto"/>
              <w:bottom w:val="single" w:sz="4" w:space="0" w:color="auto"/>
              <w:right w:val="nil"/>
            </w:tcBorders>
            <w:shd w:val="clear" w:color="auto" w:fill="auto"/>
            <w:vAlign w:val="bottom"/>
            <w:hideMark/>
          </w:tcPr>
          <w:p w14:paraId="1B798EDE"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Baker Acted?</w:t>
            </w:r>
          </w:p>
        </w:tc>
        <w:tc>
          <w:tcPr>
            <w:tcW w:w="1170" w:type="dxa"/>
            <w:tcBorders>
              <w:top w:val="nil"/>
              <w:left w:val="double" w:sz="6" w:space="0" w:color="auto"/>
              <w:bottom w:val="single" w:sz="4" w:space="0" w:color="auto"/>
              <w:right w:val="nil"/>
            </w:tcBorders>
            <w:shd w:val="clear" w:color="auto" w:fill="auto"/>
            <w:noWrap/>
            <w:vAlign w:val="center"/>
            <w:hideMark/>
          </w:tcPr>
          <w:p w14:paraId="216AAD13"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2.4%</w:t>
            </w:r>
          </w:p>
        </w:tc>
        <w:tc>
          <w:tcPr>
            <w:tcW w:w="1170" w:type="dxa"/>
            <w:tcBorders>
              <w:top w:val="nil"/>
              <w:left w:val="nil"/>
              <w:bottom w:val="single" w:sz="4" w:space="0" w:color="auto"/>
              <w:right w:val="double" w:sz="6" w:space="0" w:color="auto"/>
            </w:tcBorders>
            <w:shd w:val="clear" w:color="auto" w:fill="auto"/>
            <w:noWrap/>
            <w:vAlign w:val="center"/>
          </w:tcPr>
          <w:p w14:paraId="147E6C46"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3.0%</w:t>
            </w:r>
          </w:p>
        </w:tc>
        <w:tc>
          <w:tcPr>
            <w:tcW w:w="1080" w:type="dxa"/>
            <w:tcBorders>
              <w:top w:val="nil"/>
              <w:left w:val="nil"/>
              <w:bottom w:val="single" w:sz="4" w:space="0" w:color="auto"/>
              <w:right w:val="nil"/>
            </w:tcBorders>
            <w:shd w:val="clear" w:color="auto" w:fill="auto"/>
            <w:noWrap/>
            <w:vAlign w:val="center"/>
            <w:hideMark/>
          </w:tcPr>
          <w:p w14:paraId="510C8003"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0.0%</w:t>
            </w:r>
          </w:p>
        </w:tc>
        <w:tc>
          <w:tcPr>
            <w:tcW w:w="1080" w:type="dxa"/>
            <w:tcBorders>
              <w:top w:val="nil"/>
              <w:left w:val="nil"/>
              <w:bottom w:val="single" w:sz="4" w:space="0" w:color="auto"/>
              <w:right w:val="single" w:sz="8" w:space="0" w:color="auto"/>
            </w:tcBorders>
            <w:shd w:val="clear" w:color="auto" w:fill="auto"/>
            <w:noWrap/>
            <w:vAlign w:val="center"/>
          </w:tcPr>
          <w:p w14:paraId="6797D0F9"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0.0%</w:t>
            </w:r>
          </w:p>
        </w:tc>
      </w:tr>
      <w:tr w:rsidR="00B71C89" w:rsidRPr="005559EF" w14:paraId="1BEFE8C8" w14:textId="77777777" w:rsidTr="00F94347">
        <w:trPr>
          <w:trHeight w:val="288"/>
        </w:trPr>
        <w:tc>
          <w:tcPr>
            <w:tcW w:w="4950" w:type="dxa"/>
            <w:tcBorders>
              <w:top w:val="nil"/>
              <w:left w:val="single" w:sz="8" w:space="0" w:color="auto"/>
              <w:bottom w:val="single" w:sz="4" w:space="0" w:color="auto"/>
              <w:right w:val="nil"/>
            </w:tcBorders>
            <w:shd w:val="clear" w:color="auto" w:fill="auto"/>
            <w:vAlign w:val="bottom"/>
            <w:hideMark/>
          </w:tcPr>
          <w:p w14:paraId="0CBC7FD7"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admitted to the hospital?</w:t>
            </w:r>
          </w:p>
        </w:tc>
        <w:tc>
          <w:tcPr>
            <w:tcW w:w="1170" w:type="dxa"/>
            <w:tcBorders>
              <w:top w:val="nil"/>
              <w:left w:val="double" w:sz="6" w:space="0" w:color="auto"/>
              <w:bottom w:val="single" w:sz="4" w:space="0" w:color="auto"/>
              <w:right w:val="nil"/>
            </w:tcBorders>
            <w:shd w:val="clear" w:color="auto" w:fill="auto"/>
            <w:noWrap/>
            <w:vAlign w:val="center"/>
            <w:hideMark/>
          </w:tcPr>
          <w:p w14:paraId="36811733"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12.1%</w:t>
            </w:r>
          </w:p>
        </w:tc>
        <w:tc>
          <w:tcPr>
            <w:tcW w:w="1170" w:type="dxa"/>
            <w:tcBorders>
              <w:top w:val="nil"/>
              <w:left w:val="nil"/>
              <w:bottom w:val="single" w:sz="4" w:space="0" w:color="auto"/>
              <w:right w:val="double" w:sz="6" w:space="0" w:color="auto"/>
            </w:tcBorders>
            <w:shd w:val="clear" w:color="auto" w:fill="auto"/>
            <w:noWrap/>
            <w:vAlign w:val="center"/>
          </w:tcPr>
          <w:p w14:paraId="1163CCEE"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11.1%</w:t>
            </w:r>
          </w:p>
        </w:tc>
        <w:tc>
          <w:tcPr>
            <w:tcW w:w="1080" w:type="dxa"/>
            <w:tcBorders>
              <w:top w:val="nil"/>
              <w:left w:val="nil"/>
              <w:bottom w:val="single" w:sz="4" w:space="0" w:color="auto"/>
              <w:right w:val="nil"/>
            </w:tcBorders>
            <w:shd w:val="clear" w:color="auto" w:fill="auto"/>
            <w:noWrap/>
            <w:vAlign w:val="center"/>
            <w:hideMark/>
          </w:tcPr>
          <w:p w14:paraId="3CB9924A"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5.6%</w:t>
            </w:r>
          </w:p>
        </w:tc>
        <w:tc>
          <w:tcPr>
            <w:tcW w:w="1080" w:type="dxa"/>
            <w:tcBorders>
              <w:top w:val="nil"/>
              <w:left w:val="nil"/>
              <w:bottom w:val="single" w:sz="4" w:space="0" w:color="auto"/>
              <w:right w:val="single" w:sz="8" w:space="0" w:color="auto"/>
            </w:tcBorders>
            <w:shd w:val="clear" w:color="auto" w:fill="auto"/>
            <w:noWrap/>
            <w:vAlign w:val="center"/>
          </w:tcPr>
          <w:p w14:paraId="362DF3D4"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12.5%</w:t>
            </w:r>
          </w:p>
        </w:tc>
      </w:tr>
      <w:tr w:rsidR="00B71C89" w:rsidRPr="005559EF" w14:paraId="6E391A8B" w14:textId="77777777" w:rsidTr="00F94347">
        <w:trPr>
          <w:trHeight w:val="53"/>
        </w:trPr>
        <w:tc>
          <w:tcPr>
            <w:tcW w:w="4950" w:type="dxa"/>
            <w:tcBorders>
              <w:top w:val="nil"/>
              <w:left w:val="single" w:sz="8" w:space="0" w:color="auto"/>
              <w:bottom w:val="single" w:sz="4" w:space="0" w:color="auto"/>
              <w:right w:val="nil"/>
            </w:tcBorders>
            <w:shd w:val="clear" w:color="auto" w:fill="auto"/>
            <w:vAlign w:val="bottom"/>
            <w:hideMark/>
          </w:tcPr>
          <w:p w14:paraId="5DC1EF2F"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to an Emergency Room?</w:t>
            </w:r>
          </w:p>
        </w:tc>
        <w:tc>
          <w:tcPr>
            <w:tcW w:w="1170" w:type="dxa"/>
            <w:tcBorders>
              <w:top w:val="nil"/>
              <w:left w:val="double" w:sz="6" w:space="0" w:color="auto"/>
              <w:bottom w:val="single" w:sz="4" w:space="0" w:color="auto"/>
              <w:right w:val="nil"/>
            </w:tcBorders>
            <w:shd w:val="clear" w:color="auto" w:fill="auto"/>
            <w:noWrap/>
            <w:vAlign w:val="center"/>
            <w:hideMark/>
          </w:tcPr>
          <w:p w14:paraId="7401D68E"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17.4%</w:t>
            </w:r>
          </w:p>
        </w:tc>
        <w:tc>
          <w:tcPr>
            <w:tcW w:w="1170" w:type="dxa"/>
            <w:tcBorders>
              <w:top w:val="nil"/>
              <w:left w:val="nil"/>
              <w:bottom w:val="single" w:sz="4" w:space="0" w:color="auto"/>
              <w:right w:val="double" w:sz="6" w:space="0" w:color="auto"/>
            </w:tcBorders>
            <w:shd w:val="clear" w:color="auto" w:fill="auto"/>
            <w:noWrap/>
            <w:vAlign w:val="center"/>
          </w:tcPr>
          <w:p w14:paraId="059108CA"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14.5%</w:t>
            </w:r>
          </w:p>
        </w:tc>
        <w:tc>
          <w:tcPr>
            <w:tcW w:w="1080" w:type="dxa"/>
            <w:tcBorders>
              <w:top w:val="nil"/>
              <w:left w:val="nil"/>
              <w:bottom w:val="single" w:sz="4" w:space="0" w:color="auto"/>
              <w:right w:val="nil"/>
            </w:tcBorders>
            <w:shd w:val="clear" w:color="auto" w:fill="auto"/>
            <w:noWrap/>
            <w:vAlign w:val="center"/>
            <w:hideMark/>
          </w:tcPr>
          <w:p w14:paraId="280AE2F5"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8.3%</w:t>
            </w:r>
          </w:p>
        </w:tc>
        <w:tc>
          <w:tcPr>
            <w:tcW w:w="1080" w:type="dxa"/>
            <w:tcBorders>
              <w:top w:val="nil"/>
              <w:left w:val="nil"/>
              <w:bottom w:val="single" w:sz="4" w:space="0" w:color="auto"/>
              <w:right w:val="single" w:sz="8" w:space="0" w:color="auto"/>
            </w:tcBorders>
            <w:shd w:val="clear" w:color="auto" w:fill="auto"/>
            <w:noWrap/>
            <w:vAlign w:val="center"/>
          </w:tcPr>
          <w:p w14:paraId="44B1A5F9"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11.1%</w:t>
            </w:r>
          </w:p>
        </w:tc>
      </w:tr>
      <w:tr w:rsidR="00B71C89" w:rsidRPr="005559EF" w14:paraId="4540F11F" w14:textId="77777777" w:rsidTr="00F94347">
        <w:trPr>
          <w:trHeight w:val="288"/>
        </w:trPr>
        <w:tc>
          <w:tcPr>
            <w:tcW w:w="4950" w:type="dxa"/>
            <w:tcBorders>
              <w:top w:val="nil"/>
              <w:left w:val="single" w:sz="8" w:space="0" w:color="auto"/>
              <w:bottom w:val="single" w:sz="8" w:space="0" w:color="auto"/>
              <w:right w:val="nil"/>
            </w:tcBorders>
            <w:shd w:val="clear" w:color="auto" w:fill="auto"/>
            <w:vAlign w:val="bottom"/>
            <w:hideMark/>
          </w:tcPr>
          <w:p w14:paraId="1FBC4594"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w:t>
            </w:r>
            <w:r w:rsidRPr="00E25B89">
              <w:rPr>
                <w:rFonts w:ascii="Calibri" w:eastAsia="Times New Roman" w:hAnsi="Calibri" w:cs="Calibri"/>
                <w:color w:val="000000"/>
                <w:sz w:val="20"/>
                <w:szCs w:val="20"/>
              </w:rPr>
              <w:t>u been to an Urgent Care Center</w:t>
            </w:r>
            <w:r w:rsidRPr="005559EF">
              <w:rPr>
                <w:rFonts w:ascii="Calibri" w:eastAsia="Times New Roman" w:hAnsi="Calibri" w:cs="Calibri"/>
                <w:color w:val="000000"/>
                <w:sz w:val="20"/>
                <w:szCs w:val="20"/>
              </w:rPr>
              <w:t xml:space="preserve">? </w:t>
            </w:r>
          </w:p>
        </w:tc>
        <w:tc>
          <w:tcPr>
            <w:tcW w:w="1170" w:type="dxa"/>
            <w:tcBorders>
              <w:top w:val="nil"/>
              <w:left w:val="double" w:sz="6" w:space="0" w:color="auto"/>
              <w:bottom w:val="single" w:sz="8" w:space="0" w:color="auto"/>
              <w:right w:val="nil"/>
            </w:tcBorders>
            <w:shd w:val="clear" w:color="auto" w:fill="auto"/>
            <w:noWrap/>
            <w:vAlign w:val="center"/>
            <w:hideMark/>
          </w:tcPr>
          <w:p w14:paraId="14C5F4A4"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6.3%</w:t>
            </w:r>
          </w:p>
        </w:tc>
        <w:tc>
          <w:tcPr>
            <w:tcW w:w="1170" w:type="dxa"/>
            <w:tcBorders>
              <w:top w:val="nil"/>
              <w:left w:val="nil"/>
              <w:bottom w:val="single" w:sz="8" w:space="0" w:color="auto"/>
              <w:right w:val="double" w:sz="6" w:space="0" w:color="auto"/>
            </w:tcBorders>
            <w:shd w:val="clear" w:color="auto" w:fill="auto"/>
            <w:noWrap/>
            <w:vAlign w:val="center"/>
          </w:tcPr>
          <w:p w14:paraId="0947020F"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4.7%</w:t>
            </w:r>
          </w:p>
        </w:tc>
        <w:tc>
          <w:tcPr>
            <w:tcW w:w="1080" w:type="dxa"/>
            <w:tcBorders>
              <w:top w:val="nil"/>
              <w:left w:val="nil"/>
              <w:bottom w:val="single" w:sz="8" w:space="0" w:color="auto"/>
              <w:right w:val="nil"/>
            </w:tcBorders>
            <w:shd w:val="clear" w:color="auto" w:fill="auto"/>
            <w:noWrap/>
            <w:vAlign w:val="center"/>
            <w:hideMark/>
          </w:tcPr>
          <w:p w14:paraId="0426C20F" w14:textId="77777777" w:rsidR="00B71C89" w:rsidRPr="00BA518C" w:rsidRDefault="00B71C89" w:rsidP="00F94347">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5.6%</w:t>
            </w:r>
          </w:p>
        </w:tc>
        <w:tc>
          <w:tcPr>
            <w:tcW w:w="1080" w:type="dxa"/>
            <w:tcBorders>
              <w:top w:val="nil"/>
              <w:left w:val="nil"/>
              <w:bottom w:val="single" w:sz="8" w:space="0" w:color="auto"/>
              <w:right w:val="single" w:sz="8" w:space="0" w:color="auto"/>
            </w:tcBorders>
            <w:shd w:val="clear" w:color="auto" w:fill="auto"/>
            <w:noWrap/>
            <w:vAlign w:val="center"/>
          </w:tcPr>
          <w:p w14:paraId="5DEF6D4C"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0.0%</w:t>
            </w:r>
          </w:p>
        </w:tc>
      </w:tr>
    </w:tbl>
    <w:p w14:paraId="676F1D68" w14:textId="77777777" w:rsidR="00B71C89" w:rsidRDefault="00B71C89" w:rsidP="00B71C89">
      <w:pPr>
        <w:tabs>
          <w:tab w:val="left" w:pos="2820"/>
        </w:tabs>
        <w:spacing w:line="240" w:lineRule="auto"/>
        <w:rPr>
          <w:rStyle w:val="Heading3Char"/>
          <w:rFonts w:ascii="Garamond" w:eastAsiaTheme="minorHAnsi" w:hAnsi="Garamond" w:cstheme="minorBidi"/>
          <w:b w:val="0"/>
          <w:bCs w:val="0"/>
          <w:color w:val="auto"/>
          <w:szCs w:val="22"/>
          <w:u w:val="none"/>
        </w:rPr>
      </w:pPr>
    </w:p>
    <w:p w14:paraId="2CC8153F" w14:textId="77777777" w:rsidR="00B71C89" w:rsidRDefault="00B71C89" w:rsidP="00B71C89">
      <w:pPr>
        <w:tabs>
          <w:tab w:val="left" w:pos="2820"/>
        </w:tabs>
        <w:rPr>
          <w:rStyle w:val="Heading3Char"/>
          <w:rFonts w:ascii="Garamond" w:eastAsiaTheme="minorHAnsi" w:hAnsi="Garamond" w:cstheme="minorBidi"/>
          <w:b w:val="0"/>
          <w:bCs w:val="0"/>
          <w:color w:val="auto"/>
          <w:szCs w:val="22"/>
          <w:u w:val="none"/>
        </w:rPr>
      </w:pPr>
    </w:p>
    <w:p w14:paraId="6C2CFDBC" w14:textId="3E446973" w:rsidR="009C520E" w:rsidRDefault="009C520E" w:rsidP="00580BD6">
      <w:pPr>
        <w:pStyle w:val="Heading2"/>
      </w:pPr>
      <w:bookmarkStart w:id="42" w:name="_Toc64285535"/>
      <w:r>
        <w:t>Provider Discovery Reviews (PDR)</w:t>
      </w:r>
      <w:r>
        <w:rPr>
          <w:rStyle w:val="FootnoteReference"/>
        </w:rPr>
        <w:footnoteReference w:id="10"/>
      </w:r>
      <w:bookmarkEnd w:id="42"/>
    </w:p>
    <w:p w14:paraId="150F0D56" w14:textId="5E014849" w:rsidR="009C520E" w:rsidRDefault="009C520E" w:rsidP="009C520E">
      <w:r w:rsidRPr="00CA7DB9">
        <w:t xml:space="preserve">During the course of the contract year, a PDR is completed for </w:t>
      </w:r>
      <w:r w:rsidR="00AD1FDB" w:rsidRPr="00CA7DB9">
        <w:t xml:space="preserve">most </w:t>
      </w:r>
      <w:r w:rsidRPr="00CA7DB9">
        <w:t>providers who rendered at least one of the following</w:t>
      </w:r>
      <w:r w:rsidRPr="0097191F">
        <w:t xml:space="preserve"> services through </w:t>
      </w:r>
      <w:r w:rsidR="007E287F">
        <w:t xml:space="preserve">the iBudget </w:t>
      </w:r>
      <w:r w:rsidRPr="0097191F">
        <w:t>Waiver</w:t>
      </w:r>
      <w:r>
        <w:t>,</w:t>
      </w:r>
      <w:r w:rsidRPr="0097191F">
        <w:t xml:space="preserve"> for six months or more:</w:t>
      </w:r>
      <w:r>
        <w:rPr>
          <w:rStyle w:val="FootnoteReference"/>
        </w:rPr>
        <w:footnoteReference w:id="11"/>
      </w:r>
    </w:p>
    <w:p w14:paraId="7D7F6658" w14:textId="4D7D4F24" w:rsidR="009C520E" w:rsidRDefault="009C520E" w:rsidP="00B85C44">
      <w:pPr>
        <w:spacing w:line="240" w:lineRule="auto"/>
      </w:pPr>
    </w:p>
    <w:p w14:paraId="1B863076" w14:textId="723F0AA2" w:rsidR="009C520E" w:rsidRDefault="00FF043D" w:rsidP="006F1549">
      <w:pPr>
        <w:pStyle w:val="ListParagraph"/>
        <w:numPr>
          <w:ilvl w:val="0"/>
          <w:numId w:val="3"/>
        </w:numPr>
      </w:pPr>
      <w:r>
        <w:rPr>
          <w:noProof/>
        </w:rPr>
        <w:drawing>
          <wp:anchor distT="0" distB="0" distL="114300" distR="114300" simplePos="0" relativeHeight="251658248" behindDoc="0" locked="0" layoutInCell="1" allowOverlap="1" wp14:anchorId="0137DFB4" wp14:editId="56009E32">
            <wp:simplePos x="0" y="0"/>
            <wp:positionH relativeFrom="margin">
              <wp:posOffset>4126535</wp:posOffset>
            </wp:positionH>
            <wp:positionV relativeFrom="paragraph">
              <wp:posOffset>7264</wp:posOffset>
            </wp:positionV>
            <wp:extent cx="1459230" cy="855345"/>
            <wp:effectExtent l="0" t="0" r="7620" b="1905"/>
            <wp:wrapSquare wrapText="bothSides"/>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9230" cy="8553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C520E" w:rsidRPr="009235D8">
        <w:t>Behavior Analysis</w:t>
      </w:r>
    </w:p>
    <w:p w14:paraId="05FDE754" w14:textId="2240CED5" w:rsidR="009C520E" w:rsidRDefault="009800E8" w:rsidP="006F1549">
      <w:pPr>
        <w:pStyle w:val="ListParagraph"/>
        <w:numPr>
          <w:ilvl w:val="0"/>
          <w:numId w:val="3"/>
        </w:numPr>
      </w:pPr>
      <w:r>
        <w:t>Behavior Assistant</w:t>
      </w:r>
    </w:p>
    <w:p w14:paraId="78A0276D" w14:textId="648F85DC" w:rsidR="009C520E" w:rsidRDefault="009C520E" w:rsidP="006F1549">
      <w:pPr>
        <w:pStyle w:val="ListParagraph"/>
        <w:numPr>
          <w:ilvl w:val="0"/>
          <w:numId w:val="3"/>
        </w:numPr>
      </w:pPr>
      <w:r w:rsidRPr="009235D8">
        <w:t>Life S</w:t>
      </w:r>
      <w:r w:rsidR="009800E8">
        <w:t>kills Development 1 (Companion)</w:t>
      </w:r>
    </w:p>
    <w:p w14:paraId="33157D5B" w14:textId="2F0C3C60" w:rsidR="009C520E" w:rsidRDefault="009800E8" w:rsidP="006F1549">
      <w:pPr>
        <w:pStyle w:val="ListParagraph"/>
        <w:numPr>
          <w:ilvl w:val="0"/>
          <w:numId w:val="3"/>
        </w:numPr>
      </w:pPr>
      <w:r>
        <w:t>Life Skills Development 2 (SEC)</w:t>
      </w:r>
    </w:p>
    <w:p w14:paraId="5A76D02B" w14:textId="77777777" w:rsidR="009C520E" w:rsidRDefault="009C520E" w:rsidP="006F1549">
      <w:pPr>
        <w:pStyle w:val="ListParagraph"/>
        <w:numPr>
          <w:ilvl w:val="0"/>
          <w:numId w:val="3"/>
        </w:numPr>
      </w:pPr>
      <w:r w:rsidRPr="009235D8">
        <w:lastRenderedPageBreak/>
        <w:t>Life Skills Development 3 (ADT)</w:t>
      </w:r>
    </w:p>
    <w:p w14:paraId="1B1CDFBC" w14:textId="4AF03711" w:rsidR="009C520E" w:rsidRDefault="009C520E" w:rsidP="006F1549">
      <w:pPr>
        <w:pStyle w:val="ListParagraph"/>
        <w:numPr>
          <w:ilvl w:val="0"/>
          <w:numId w:val="3"/>
        </w:numPr>
      </w:pPr>
      <w:r w:rsidRPr="009235D8">
        <w:t xml:space="preserve">Personal Supports </w:t>
      </w:r>
    </w:p>
    <w:p w14:paraId="3DBFE82B" w14:textId="6C2E27DD" w:rsidR="009C520E" w:rsidRDefault="009C520E" w:rsidP="006F1549">
      <w:pPr>
        <w:pStyle w:val="ListParagraph"/>
        <w:numPr>
          <w:ilvl w:val="0"/>
          <w:numId w:val="3"/>
        </w:numPr>
      </w:pPr>
      <w:r w:rsidRPr="009235D8">
        <w:t>Residential Habilitation Behavi</w:t>
      </w:r>
      <w:r w:rsidR="009800E8">
        <w:t>or Focus</w:t>
      </w:r>
    </w:p>
    <w:p w14:paraId="063A8E4B" w14:textId="286BF5AA" w:rsidR="009C520E" w:rsidRDefault="009C520E" w:rsidP="006F1549">
      <w:pPr>
        <w:pStyle w:val="ListParagraph"/>
        <w:numPr>
          <w:ilvl w:val="0"/>
          <w:numId w:val="3"/>
        </w:numPr>
      </w:pPr>
      <w:r w:rsidRPr="009235D8">
        <w:t>Residential Ha</w:t>
      </w:r>
      <w:r w:rsidR="009800E8">
        <w:t>bilitation Intensive Behavioral</w:t>
      </w:r>
    </w:p>
    <w:p w14:paraId="78E1EA54" w14:textId="77777777" w:rsidR="001C458F" w:rsidRDefault="009C520E" w:rsidP="006F1549">
      <w:pPr>
        <w:pStyle w:val="ListParagraph"/>
        <w:numPr>
          <w:ilvl w:val="0"/>
          <w:numId w:val="3"/>
        </w:numPr>
      </w:pPr>
      <w:r w:rsidRPr="009235D8">
        <w:t>Residential Habilitation Standard</w:t>
      </w:r>
    </w:p>
    <w:p w14:paraId="0F719077" w14:textId="4A12AC50" w:rsidR="009C520E" w:rsidRDefault="001C458F" w:rsidP="006F1549">
      <w:pPr>
        <w:pStyle w:val="ListParagraph"/>
        <w:numPr>
          <w:ilvl w:val="0"/>
          <w:numId w:val="3"/>
        </w:numPr>
      </w:pPr>
      <w:r>
        <w:t>Residential Habilitation Enhanced Intensive Behavior</w:t>
      </w:r>
    </w:p>
    <w:p w14:paraId="12BFE812" w14:textId="77FA2B02" w:rsidR="009C520E" w:rsidRDefault="009800E8" w:rsidP="006F1549">
      <w:pPr>
        <w:pStyle w:val="ListParagraph"/>
        <w:numPr>
          <w:ilvl w:val="0"/>
          <w:numId w:val="3"/>
        </w:numPr>
      </w:pPr>
      <w:r>
        <w:t>Respite</w:t>
      </w:r>
    </w:p>
    <w:p w14:paraId="6736AEE9" w14:textId="7CBAB851" w:rsidR="009C520E" w:rsidRDefault="009C520E" w:rsidP="006F1549">
      <w:pPr>
        <w:pStyle w:val="ListParagraph"/>
        <w:numPr>
          <w:ilvl w:val="0"/>
          <w:numId w:val="3"/>
        </w:numPr>
      </w:pPr>
      <w:r>
        <w:t>Special Medical Home Care</w:t>
      </w:r>
    </w:p>
    <w:p w14:paraId="37E11F93" w14:textId="5A590A2C" w:rsidR="009C520E" w:rsidRDefault="009C520E" w:rsidP="006F1549">
      <w:pPr>
        <w:pStyle w:val="ListParagraph"/>
        <w:numPr>
          <w:ilvl w:val="0"/>
          <w:numId w:val="3"/>
        </w:numPr>
      </w:pPr>
      <w:r w:rsidRPr="009235D8">
        <w:t>Support Coordination</w:t>
      </w:r>
      <w:r>
        <w:t>/CDC+ Consultant</w:t>
      </w:r>
    </w:p>
    <w:p w14:paraId="528518B4" w14:textId="0268FAD6" w:rsidR="009C520E" w:rsidRDefault="009C520E" w:rsidP="006F1549">
      <w:pPr>
        <w:pStyle w:val="ListParagraph"/>
        <w:numPr>
          <w:ilvl w:val="0"/>
          <w:numId w:val="3"/>
        </w:numPr>
      </w:pPr>
      <w:r w:rsidRPr="009235D8">
        <w:t>Supported Living Coaching</w:t>
      </w:r>
    </w:p>
    <w:p w14:paraId="5711841C" w14:textId="5ADE6E35" w:rsidR="009C520E" w:rsidRDefault="009C520E" w:rsidP="009C520E"/>
    <w:p w14:paraId="437F0BDB" w14:textId="19F6BFBD" w:rsidR="00FD5063" w:rsidRDefault="00FD5063" w:rsidP="00FD5063">
      <w:r>
        <w:t xml:space="preserve">The PDR consists of up to </w:t>
      </w:r>
      <w:r w:rsidR="006D17B1">
        <w:t xml:space="preserve">five </w:t>
      </w:r>
      <w:r>
        <w:t xml:space="preserve">different review components:  </w:t>
      </w:r>
      <w:r w:rsidR="00672F94">
        <w:t xml:space="preserve">My Life </w:t>
      </w:r>
      <w:r w:rsidR="00865529">
        <w:t>I</w:t>
      </w:r>
      <w:r>
        <w:t xml:space="preserve">nterview with individuals receiving services (MLI), </w:t>
      </w:r>
      <w:r w:rsidR="00DE684E">
        <w:t xml:space="preserve">review of agency </w:t>
      </w:r>
      <w:r>
        <w:t>Polic</w:t>
      </w:r>
      <w:r w:rsidR="00485B8A">
        <w:t>ies</w:t>
      </w:r>
      <w:r>
        <w:t xml:space="preserve"> and Procedure (P&amp;P), Qualification and Training (Q&amp;T), and Service Specific Record Reviews (SSRR). </w:t>
      </w:r>
      <w:r w:rsidR="00FF043D">
        <w:t>Observations (OBS) at waiver funded licensed residential homes (LRH) and day program facilities were temporarily stopped</w:t>
      </w:r>
      <w:r w:rsidR="00A31325">
        <w:t xml:space="preserve"> in March 2020</w:t>
      </w:r>
      <w:r w:rsidR="00FF043D">
        <w:t xml:space="preserve">. </w:t>
      </w:r>
      <w:r w:rsidR="00AC50E7">
        <w:t xml:space="preserve">Interviews with individuals </w:t>
      </w:r>
      <w:r w:rsidR="00F737F9">
        <w:t xml:space="preserve">receiving services </w:t>
      </w:r>
      <w:r w:rsidR="00AC50E7">
        <w:t xml:space="preserve">are not included in </w:t>
      </w:r>
      <w:r w:rsidR="00AD1FDB" w:rsidRPr="009266FA">
        <w:t xml:space="preserve">the overall </w:t>
      </w:r>
      <w:r w:rsidR="00AC50E7" w:rsidRPr="009266FA">
        <w:t>scores</w:t>
      </w:r>
      <w:r w:rsidR="00AD1FDB" w:rsidRPr="009266FA">
        <w:t xml:space="preserve"> calculated</w:t>
      </w:r>
      <w:r w:rsidR="00AC50E7" w:rsidRPr="009266FA">
        <w:t xml:space="preserve"> for the PDR. </w:t>
      </w:r>
      <w:r w:rsidR="00AD1FDB" w:rsidRPr="009266FA">
        <w:t>R</w:t>
      </w:r>
      <w:r w:rsidRPr="009266FA">
        <w:t xml:space="preserve">esults are provided separately for WSCs and service </w:t>
      </w:r>
      <w:r w:rsidR="00AC50E7" w:rsidRPr="009266FA">
        <w:t xml:space="preserve">providers. </w:t>
      </w:r>
      <w:r w:rsidRPr="009266FA">
        <w:t xml:space="preserve">Between </w:t>
      </w:r>
      <w:r w:rsidR="009266FA" w:rsidRPr="009266FA">
        <w:t>Ju</w:t>
      </w:r>
      <w:r w:rsidR="00530770">
        <w:t>ly</w:t>
      </w:r>
      <w:r w:rsidR="00485B8A" w:rsidRPr="009266FA">
        <w:t xml:space="preserve"> </w:t>
      </w:r>
      <w:r w:rsidR="00865529">
        <w:t xml:space="preserve">and </w:t>
      </w:r>
      <w:r w:rsidR="00CA7DB9">
        <w:t>December</w:t>
      </w:r>
      <w:r w:rsidR="00865529">
        <w:t xml:space="preserve"> </w:t>
      </w:r>
      <w:r w:rsidR="00485B8A" w:rsidRPr="009266FA">
        <w:t>2020</w:t>
      </w:r>
      <w:r w:rsidRPr="009266FA">
        <w:t xml:space="preserve">, </w:t>
      </w:r>
      <w:r w:rsidR="00F2011D">
        <w:t>1,069</w:t>
      </w:r>
      <w:r w:rsidR="00F737F9" w:rsidRPr="009266FA">
        <w:t xml:space="preserve"> PDRs were completed </w:t>
      </w:r>
      <w:r w:rsidRPr="009266FA">
        <w:t xml:space="preserve">and approved by Qlarant </w:t>
      </w:r>
      <w:r w:rsidR="000D6F76" w:rsidRPr="009266FA">
        <w:t>Regional Managers</w:t>
      </w:r>
      <w:r w:rsidRPr="009266FA">
        <w:t xml:space="preserve">; </w:t>
      </w:r>
      <w:r w:rsidR="00F2011D">
        <w:t>819</w:t>
      </w:r>
      <w:r w:rsidRPr="009266FA">
        <w:t xml:space="preserve"> service providers and </w:t>
      </w:r>
      <w:r w:rsidR="00F2011D">
        <w:t>250</w:t>
      </w:r>
      <w:r w:rsidRPr="009266FA">
        <w:t xml:space="preserve"> WSCs. </w:t>
      </w:r>
      <w:r w:rsidR="00D1476A" w:rsidRPr="009266FA">
        <w:t>Table 1</w:t>
      </w:r>
      <w:r w:rsidR="000D1E6F">
        <w:t>4</w:t>
      </w:r>
      <w:r w:rsidR="00D1476A" w:rsidRPr="009266FA">
        <w:t xml:space="preserve"> shows the number completed </w:t>
      </w:r>
      <w:r w:rsidR="00792EEB" w:rsidRPr="009266FA">
        <w:t>per</w:t>
      </w:r>
      <w:r w:rsidR="00D1476A" w:rsidRPr="009266FA">
        <w:t xml:space="preserve"> </w:t>
      </w:r>
      <w:r w:rsidR="00CB144B">
        <w:t>r</w:t>
      </w:r>
      <w:r w:rsidR="00D1476A" w:rsidRPr="009266FA">
        <w:t>egion</w:t>
      </w:r>
      <w:r w:rsidR="009266FA" w:rsidRPr="009266FA">
        <w:t xml:space="preserve"> for</w:t>
      </w:r>
      <w:r w:rsidR="009266FA">
        <w:t xml:space="preserve"> the first </w:t>
      </w:r>
      <w:r w:rsidR="00F2011D">
        <w:t xml:space="preserve">two </w:t>
      </w:r>
      <w:r w:rsidR="009266FA">
        <w:t>quarter</w:t>
      </w:r>
      <w:r w:rsidR="00F2011D">
        <w:t>s</w:t>
      </w:r>
      <w:r w:rsidR="009266FA">
        <w:t xml:space="preserve"> </w:t>
      </w:r>
      <w:r w:rsidR="00CB144B">
        <w:t xml:space="preserve">of the contract year (July – </w:t>
      </w:r>
      <w:r w:rsidR="00F2011D">
        <w:t>Decembe</w:t>
      </w:r>
      <w:r w:rsidR="00CB144B">
        <w:t xml:space="preserve">r 2020). As </w:t>
      </w:r>
      <w:r w:rsidR="00E55A0C">
        <w:t>in</w:t>
      </w:r>
      <w:r w:rsidR="00CB144B">
        <w:t xml:space="preserve"> the last quarter in FY</w:t>
      </w:r>
      <w:r w:rsidR="0037076B">
        <w:t xml:space="preserve"> 20</w:t>
      </w:r>
      <w:r w:rsidR="00CB144B">
        <w:t xml:space="preserve">20, </w:t>
      </w:r>
      <w:r w:rsidR="009266FA">
        <w:t xml:space="preserve">desk reviews and phone interviews were </w:t>
      </w:r>
      <w:r w:rsidR="00CB144B">
        <w:t>used</w:t>
      </w:r>
      <w:r w:rsidR="00DF3534" w:rsidRPr="00792EEB">
        <w:t>.</w:t>
      </w:r>
    </w:p>
    <w:p w14:paraId="2F49429A" w14:textId="77777777" w:rsidR="00E066B1" w:rsidRDefault="00E066B1" w:rsidP="007D0ABB"/>
    <w:tbl>
      <w:tblPr>
        <w:tblW w:w="5580" w:type="dxa"/>
        <w:jc w:val="center"/>
        <w:tblLook w:val="04A0" w:firstRow="1" w:lastRow="0" w:firstColumn="1" w:lastColumn="0" w:noHBand="0" w:noVBand="1"/>
      </w:tblPr>
      <w:tblGrid>
        <w:gridCol w:w="1170"/>
        <w:gridCol w:w="1170"/>
        <w:gridCol w:w="1080"/>
        <w:gridCol w:w="1350"/>
        <w:gridCol w:w="810"/>
      </w:tblGrid>
      <w:tr w:rsidR="007D0ABB" w:rsidRPr="007D0ABB" w14:paraId="550B1A68" w14:textId="77777777" w:rsidTr="007D0ABB">
        <w:trPr>
          <w:trHeight w:val="330"/>
          <w:jc w:val="center"/>
        </w:trPr>
        <w:tc>
          <w:tcPr>
            <w:tcW w:w="5580" w:type="dxa"/>
            <w:gridSpan w:val="5"/>
            <w:tcBorders>
              <w:top w:val="single" w:sz="8" w:space="0" w:color="000000"/>
              <w:left w:val="single" w:sz="8" w:space="0" w:color="000000"/>
              <w:bottom w:val="single" w:sz="8" w:space="0" w:color="000000"/>
              <w:right w:val="single" w:sz="8" w:space="0" w:color="000000"/>
            </w:tcBorders>
            <w:shd w:val="clear" w:color="000000" w:fill="215967"/>
            <w:noWrap/>
            <w:vAlign w:val="center"/>
            <w:hideMark/>
          </w:tcPr>
          <w:p w14:paraId="4ADB2AF0" w14:textId="77777777" w:rsidR="007D0ABB" w:rsidRPr="007D0ABB" w:rsidRDefault="007D0ABB" w:rsidP="007D0ABB">
            <w:pPr>
              <w:spacing w:line="240" w:lineRule="auto"/>
              <w:jc w:val="center"/>
              <w:rPr>
                <w:rFonts w:ascii="Franklin Gothic Medium" w:eastAsia="Times New Roman" w:hAnsi="Franklin Gothic Medium" w:cs="Calibri"/>
                <w:color w:val="FFFFFF"/>
                <w:sz w:val="22"/>
              </w:rPr>
            </w:pPr>
            <w:r w:rsidRPr="007D0ABB">
              <w:rPr>
                <w:rFonts w:ascii="Franklin Gothic Medium" w:eastAsia="Times New Roman" w:hAnsi="Franklin Gothic Medium" w:cs="Calibri"/>
                <w:color w:val="FFFFFF"/>
                <w:sz w:val="22"/>
              </w:rPr>
              <w:t>Table 14. PDRs by APD Region</w:t>
            </w:r>
          </w:p>
        </w:tc>
      </w:tr>
      <w:tr w:rsidR="007D0ABB" w:rsidRPr="007D0ABB" w14:paraId="5AA35E28" w14:textId="77777777" w:rsidTr="007D0ABB">
        <w:trPr>
          <w:trHeight w:val="315"/>
          <w:jc w:val="center"/>
        </w:trPr>
        <w:tc>
          <w:tcPr>
            <w:tcW w:w="1170" w:type="dxa"/>
            <w:tcBorders>
              <w:top w:val="nil"/>
              <w:left w:val="single" w:sz="8" w:space="0" w:color="000000"/>
              <w:bottom w:val="nil"/>
              <w:right w:val="nil"/>
            </w:tcBorders>
            <w:shd w:val="clear" w:color="000000" w:fill="215967"/>
            <w:noWrap/>
            <w:vAlign w:val="bottom"/>
            <w:hideMark/>
          </w:tcPr>
          <w:p w14:paraId="2600E871" w14:textId="77777777" w:rsidR="007D0ABB" w:rsidRPr="007D0ABB" w:rsidRDefault="007D0ABB" w:rsidP="007D0ABB">
            <w:pPr>
              <w:spacing w:line="240" w:lineRule="auto"/>
              <w:rPr>
                <w:rFonts w:ascii="Calibri" w:eastAsia="Times New Roman" w:hAnsi="Calibri" w:cs="Calibri"/>
                <w:color w:val="000000"/>
                <w:sz w:val="22"/>
              </w:rPr>
            </w:pPr>
            <w:r w:rsidRPr="007D0ABB">
              <w:rPr>
                <w:rFonts w:ascii="Calibri" w:eastAsia="Times New Roman" w:hAnsi="Calibri" w:cs="Calibri"/>
                <w:color w:val="000000"/>
                <w:sz w:val="22"/>
              </w:rPr>
              <w:t> </w:t>
            </w:r>
          </w:p>
        </w:tc>
        <w:tc>
          <w:tcPr>
            <w:tcW w:w="2250" w:type="dxa"/>
            <w:gridSpan w:val="2"/>
            <w:tcBorders>
              <w:top w:val="single" w:sz="8" w:space="0" w:color="000000"/>
              <w:left w:val="nil"/>
              <w:bottom w:val="nil"/>
              <w:right w:val="nil"/>
            </w:tcBorders>
            <w:shd w:val="clear" w:color="000000" w:fill="215967"/>
            <w:noWrap/>
            <w:vAlign w:val="center"/>
            <w:hideMark/>
          </w:tcPr>
          <w:p w14:paraId="0BE1F6AB" w14:textId="77777777" w:rsidR="007D0ABB" w:rsidRPr="007D0ABB" w:rsidRDefault="007D0ABB" w:rsidP="007D0ABB">
            <w:pPr>
              <w:spacing w:line="240" w:lineRule="auto"/>
              <w:jc w:val="center"/>
              <w:rPr>
                <w:rFonts w:ascii="Franklin Gothic Medium" w:eastAsia="Times New Roman" w:hAnsi="Franklin Gothic Medium" w:cs="Calibri"/>
                <w:color w:val="FFFFFF"/>
                <w:sz w:val="20"/>
                <w:szCs w:val="20"/>
              </w:rPr>
            </w:pPr>
            <w:r w:rsidRPr="007D0ABB">
              <w:rPr>
                <w:rFonts w:ascii="Franklin Gothic Medium" w:eastAsia="Times New Roman" w:hAnsi="Franklin Gothic Medium" w:cs="Calibri"/>
                <w:color w:val="FFFFFF"/>
                <w:sz w:val="20"/>
                <w:szCs w:val="20"/>
              </w:rPr>
              <w:t>Service Providers</w:t>
            </w:r>
          </w:p>
        </w:tc>
        <w:tc>
          <w:tcPr>
            <w:tcW w:w="2160" w:type="dxa"/>
            <w:gridSpan w:val="2"/>
            <w:tcBorders>
              <w:top w:val="single" w:sz="8" w:space="0" w:color="000000"/>
              <w:left w:val="nil"/>
              <w:bottom w:val="nil"/>
              <w:right w:val="single" w:sz="8" w:space="0" w:color="000000"/>
            </w:tcBorders>
            <w:shd w:val="clear" w:color="000000" w:fill="215967"/>
            <w:noWrap/>
            <w:vAlign w:val="center"/>
            <w:hideMark/>
          </w:tcPr>
          <w:p w14:paraId="76C0B9C3" w14:textId="77777777" w:rsidR="007D0ABB" w:rsidRPr="007D0ABB" w:rsidRDefault="007D0ABB" w:rsidP="007D0ABB">
            <w:pPr>
              <w:spacing w:line="240" w:lineRule="auto"/>
              <w:jc w:val="center"/>
              <w:rPr>
                <w:rFonts w:ascii="Franklin Gothic Medium" w:eastAsia="Times New Roman" w:hAnsi="Franklin Gothic Medium" w:cs="Calibri"/>
                <w:color w:val="FFFFFF"/>
                <w:sz w:val="20"/>
                <w:szCs w:val="20"/>
              </w:rPr>
            </w:pPr>
            <w:r w:rsidRPr="007D0ABB">
              <w:rPr>
                <w:rFonts w:ascii="Franklin Gothic Medium" w:eastAsia="Times New Roman" w:hAnsi="Franklin Gothic Medium" w:cs="Calibri"/>
                <w:color w:val="FFFFFF"/>
                <w:sz w:val="20"/>
                <w:szCs w:val="20"/>
              </w:rPr>
              <w:t>WSCs</w:t>
            </w:r>
          </w:p>
        </w:tc>
      </w:tr>
      <w:tr w:rsidR="007D0ABB" w:rsidRPr="007D0ABB" w14:paraId="360188A8" w14:textId="77777777" w:rsidTr="007D0ABB">
        <w:trPr>
          <w:trHeight w:val="315"/>
          <w:jc w:val="center"/>
        </w:trPr>
        <w:tc>
          <w:tcPr>
            <w:tcW w:w="1170" w:type="dxa"/>
            <w:tcBorders>
              <w:top w:val="nil"/>
              <w:left w:val="single" w:sz="8" w:space="0" w:color="000000"/>
              <w:bottom w:val="nil"/>
              <w:right w:val="nil"/>
            </w:tcBorders>
            <w:shd w:val="clear" w:color="000000" w:fill="215967"/>
            <w:noWrap/>
            <w:vAlign w:val="center"/>
            <w:hideMark/>
          </w:tcPr>
          <w:p w14:paraId="48600929" w14:textId="77777777" w:rsidR="007D0ABB" w:rsidRPr="007D0ABB" w:rsidRDefault="007D0ABB" w:rsidP="007D0ABB">
            <w:pPr>
              <w:spacing w:line="240" w:lineRule="auto"/>
              <w:rPr>
                <w:rFonts w:ascii="Franklin Gothic Medium" w:eastAsia="Times New Roman" w:hAnsi="Franklin Gothic Medium" w:cs="Calibri"/>
                <w:color w:val="FFFFFF"/>
                <w:sz w:val="20"/>
                <w:szCs w:val="20"/>
              </w:rPr>
            </w:pPr>
            <w:r w:rsidRPr="007D0ABB">
              <w:rPr>
                <w:rFonts w:ascii="Franklin Gothic Medium" w:eastAsia="Times New Roman" w:hAnsi="Franklin Gothic Medium" w:cs="Calibri"/>
                <w:color w:val="FFFFFF"/>
                <w:sz w:val="20"/>
                <w:szCs w:val="20"/>
              </w:rPr>
              <w:t> </w:t>
            </w:r>
          </w:p>
        </w:tc>
        <w:tc>
          <w:tcPr>
            <w:tcW w:w="2250" w:type="dxa"/>
            <w:gridSpan w:val="2"/>
            <w:tcBorders>
              <w:top w:val="nil"/>
              <w:left w:val="nil"/>
              <w:bottom w:val="single" w:sz="8" w:space="0" w:color="000000"/>
              <w:right w:val="nil"/>
            </w:tcBorders>
            <w:shd w:val="clear" w:color="000000" w:fill="215967"/>
            <w:noWrap/>
            <w:vAlign w:val="center"/>
            <w:hideMark/>
          </w:tcPr>
          <w:p w14:paraId="274C4190" w14:textId="77777777" w:rsidR="007D0ABB" w:rsidRPr="007D0ABB" w:rsidRDefault="007D0ABB" w:rsidP="007D0ABB">
            <w:pPr>
              <w:spacing w:line="240" w:lineRule="auto"/>
              <w:jc w:val="center"/>
              <w:rPr>
                <w:rFonts w:ascii="Franklin Gothic Medium" w:eastAsia="Times New Roman" w:hAnsi="Franklin Gothic Medium" w:cs="Calibri"/>
                <w:color w:val="FFFFFF"/>
                <w:sz w:val="20"/>
                <w:szCs w:val="20"/>
              </w:rPr>
            </w:pPr>
            <w:r w:rsidRPr="007D0ABB">
              <w:rPr>
                <w:rFonts w:ascii="Franklin Gothic Medium" w:eastAsia="Times New Roman" w:hAnsi="Franklin Gothic Medium" w:cs="Calibri"/>
                <w:color w:val="FFFFFF"/>
                <w:sz w:val="20"/>
                <w:szCs w:val="20"/>
              </w:rPr>
              <w:t>(N = 819)</w:t>
            </w:r>
          </w:p>
        </w:tc>
        <w:tc>
          <w:tcPr>
            <w:tcW w:w="2160" w:type="dxa"/>
            <w:gridSpan w:val="2"/>
            <w:tcBorders>
              <w:top w:val="nil"/>
              <w:left w:val="nil"/>
              <w:bottom w:val="single" w:sz="8" w:space="0" w:color="000000"/>
              <w:right w:val="single" w:sz="8" w:space="0" w:color="000000"/>
            </w:tcBorders>
            <w:shd w:val="clear" w:color="000000" w:fill="215967"/>
            <w:noWrap/>
            <w:vAlign w:val="center"/>
            <w:hideMark/>
          </w:tcPr>
          <w:p w14:paraId="337BF8B8" w14:textId="77777777" w:rsidR="007D0ABB" w:rsidRPr="007D0ABB" w:rsidRDefault="007D0ABB" w:rsidP="007D0ABB">
            <w:pPr>
              <w:spacing w:line="240" w:lineRule="auto"/>
              <w:jc w:val="center"/>
              <w:rPr>
                <w:rFonts w:ascii="Franklin Gothic Medium" w:eastAsia="Times New Roman" w:hAnsi="Franklin Gothic Medium" w:cs="Calibri"/>
                <w:color w:val="FFFFFF"/>
                <w:sz w:val="20"/>
                <w:szCs w:val="20"/>
              </w:rPr>
            </w:pPr>
            <w:r w:rsidRPr="007D0ABB">
              <w:rPr>
                <w:rFonts w:ascii="Franklin Gothic Medium" w:eastAsia="Times New Roman" w:hAnsi="Franklin Gothic Medium" w:cs="Calibri"/>
                <w:color w:val="FFFFFF"/>
                <w:sz w:val="20"/>
                <w:szCs w:val="20"/>
              </w:rPr>
              <w:t>(N = 250)</w:t>
            </w:r>
          </w:p>
        </w:tc>
      </w:tr>
      <w:tr w:rsidR="007D0ABB" w:rsidRPr="007D0ABB" w14:paraId="129695EE" w14:textId="77777777" w:rsidTr="007D0ABB">
        <w:trPr>
          <w:trHeight w:val="315"/>
          <w:jc w:val="center"/>
        </w:trPr>
        <w:tc>
          <w:tcPr>
            <w:tcW w:w="1170" w:type="dxa"/>
            <w:tcBorders>
              <w:top w:val="single" w:sz="8" w:space="0" w:color="000000"/>
              <w:left w:val="single" w:sz="8" w:space="0" w:color="000000"/>
              <w:bottom w:val="single" w:sz="4" w:space="0" w:color="000000"/>
              <w:right w:val="nil"/>
            </w:tcBorders>
            <w:shd w:val="clear" w:color="000000" w:fill="FFE599"/>
            <w:noWrap/>
            <w:vAlign w:val="center"/>
            <w:hideMark/>
          </w:tcPr>
          <w:p w14:paraId="73E45864" w14:textId="77777777" w:rsidR="007D0ABB" w:rsidRPr="007D0ABB" w:rsidRDefault="007D0ABB" w:rsidP="007D0ABB">
            <w:pPr>
              <w:spacing w:line="240" w:lineRule="auto"/>
              <w:rPr>
                <w:rFonts w:ascii="Franklin Gothic Medium" w:eastAsia="Times New Roman" w:hAnsi="Franklin Gothic Medium" w:cs="Calibri"/>
                <w:sz w:val="20"/>
                <w:szCs w:val="20"/>
              </w:rPr>
            </w:pPr>
            <w:r w:rsidRPr="007D0ABB">
              <w:rPr>
                <w:rFonts w:ascii="Franklin Gothic Medium" w:eastAsia="Times New Roman" w:hAnsi="Franklin Gothic Medium" w:cs="Calibri"/>
                <w:sz w:val="20"/>
                <w:szCs w:val="20"/>
              </w:rPr>
              <w:t>Region</w:t>
            </w:r>
          </w:p>
        </w:tc>
        <w:tc>
          <w:tcPr>
            <w:tcW w:w="1170" w:type="dxa"/>
            <w:tcBorders>
              <w:top w:val="nil"/>
              <w:left w:val="double" w:sz="6" w:space="0" w:color="000000"/>
              <w:bottom w:val="single" w:sz="4" w:space="0" w:color="000000"/>
              <w:right w:val="nil"/>
            </w:tcBorders>
            <w:shd w:val="clear" w:color="000000" w:fill="FFE599"/>
            <w:noWrap/>
            <w:vAlign w:val="center"/>
            <w:hideMark/>
          </w:tcPr>
          <w:p w14:paraId="1A1FD97C" w14:textId="77777777" w:rsidR="007D0ABB" w:rsidRPr="007D0ABB" w:rsidRDefault="007D0ABB" w:rsidP="007D0ABB">
            <w:pPr>
              <w:spacing w:line="240" w:lineRule="auto"/>
              <w:jc w:val="center"/>
              <w:rPr>
                <w:rFonts w:ascii="Franklin Gothic Medium" w:eastAsia="Times New Roman" w:hAnsi="Franklin Gothic Medium" w:cs="Calibri"/>
                <w:sz w:val="20"/>
                <w:szCs w:val="20"/>
              </w:rPr>
            </w:pPr>
            <w:r w:rsidRPr="007D0ABB">
              <w:rPr>
                <w:rFonts w:ascii="Franklin Gothic Medium" w:eastAsia="Times New Roman" w:hAnsi="Franklin Gothic Medium" w:cs="Calibri"/>
                <w:sz w:val="20"/>
                <w:szCs w:val="20"/>
              </w:rPr>
              <w:t>N</w:t>
            </w:r>
          </w:p>
        </w:tc>
        <w:tc>
          <w:tcPr>
            <w:tcW w:w="1080" w:type="dxa"/>
            <w:tcBorders>
              <w:top w:val="nil"/>
              <w:left w:val="nil"/>
              <w:bottom w:val="single" w:sz="4" w:space="0" w:color="000000"/>
              <w:right w:val="double" w:sz="6" w:space="0" w:color="000000"/>
            </w:tcBorders>
            <w:shd w:val="clear" w:color="000000" w:fill="FFE599"/>
            <w:noWrap/>
            <w:vAlign w:val="center"/>
            <w:hideMark/>
          </w:tcPr>
          <w:p w14:paraId="52E725EA" w14:textId="77777777" w:rsidR="007D0ABB" w:rsidRPr="007D0ABB" w:rsidRDefault="007D0ABB" w:rsidP="007D0ABB">
            <w:pPr>
              <w:spacing w:line="240" w:lineRule="auto"/>
              <w:jc w:val="center"/>
              <w:rPr>
                <w:rFonts w:ascii="Franklin Gothic Medium" w:eastAsia="Times New Roman" w:hAnsi="Franklin Gothic Medium" w:cs="Calibri"/>
                <w:sz w:val="20"/>
                <w:szCs w:val="20"/>
              </w:rPr>
            </w:pPr>
            <w:r w:rsidRPr="007D0ABB">
              <w:rPr>
                <w:rFonts w:ascii="Franklin Gothic Medium" w:eastAsia="Times New Roman" w:hAnsi="Franklin Gothic Medium" w:cs="Calibri"/>
                <w:sz w:val="20"/>
                <w:szCs w:val="20"/>
              </w:rPr>
              <w:t>%</w:t>
            </w:r>
          </w:p>
        </w:tc>
        <w:tc>
          <w:tcPr>
            <w:tcW w:w="1350" w:type="dxa"/>
            <w:tcBorders>
              <w:top w:val="nil"/>
              <w:left w:val="nil"/>
              <w:bottom w:val="single" w:sz="4" w:space="0" w:color="000000"/>
              <w:right w:val="nil"/>
            </w:tcBorders>
            <w:shd w:val="clear" w:color="000000" w:fill="FFE599"/>
            <w:noWrap/>
            <w:vAlign w:val="center"/>
            <w:hideMark/>
          </w:tcPr>
          <w:p w14:paraId="08A660DF" w14:textId="77777777" w:rsidR="007D0ABB" w:rsidRPr="007D0ABB" w:rsidRDefault="007D0ABB" w:rsidP="007D0ABB">
            <w:pPr>
              <w:spacing w:line="240" w:lineRule="auto"/>
              <w:jc w:val="center"/>
              <w:rPr>
                <w:rFonts w:ascii="Franklin Gothic Medium" w:eastAsia="Times New Roman" w:hAnsi="Franklin Gothic Medium" w:cs="Calibri"/>
                <w:sz w:val="20"/>
                <w:szCs w:val="20"/>
              </w:rPr>
            </w:pPr>
            <w:r w:rsidRPr="007D0ABB">
              <w:rPr>
                <w:rFonts w:ascii="Franklin Gothic Medium" w:eastAsia="Times New Roman" w:hAnsi="Franklin Gothic Medium" w:cs="Calibri"/>
                <w:sz w:val="20"/>
                <w:szCs w:val="20"/>
              </w:rPr>
              <w:t>N</w:t>
            </w:r>
          </w:p>
        </w:tc>
        <w:tc>
          <w:tcPr>
            <w:tcW w:w="810" w:type="dxa"/>
            <w:tcBorders>
              <w:top w:val="nil"/>
              <w:left w:val="nil"/>
              <w:bottom w:val="single" w:sz="4" w:space="0" w:color="000000"/>
              <w:right w:val="single" w:sz="8" w:space="0" w:color="000000"/>
            </w:tcBorders>
            <w:shd w:val="clear" w:color="000000" w:fill="FFE599"/>
            <w:noWrap/>
            <w:vAlign w:val="center"/>
            <w:hideMark/>
          </w:tcPr>
          <w:p w14:paraId="71DEFCD6" w14:textId="77777777" w:rsidR="007D0ABB" w:rsidRPr="007D0ABB" w:rsidRDefault="007D0ABB" w:rsidP="007D0ABB">
            <w:pPr>
              <w:spacing w:line="240" w:lineRule="auto"/>
              <w:jc w:val="center"/>
              <w:rPr>
                <w:rFonts w:ascii="Franklin Gothic Medium" w:eastAsia="Times New Roman" w:hAnsi="Franklin Gothic Medium" w:cs="Calibri"/>
                <w:sz w:val="20"/>
                <w:szCs w:val="20"/>
              </w:rPr>
            </w:pPr>
            <w:r w:rsidRPr="007D0ABB">
              <w:rPr>
                <w:rFonts w:ascii="Franklin Gothic Medium" w:eastAsia="Times New Roman" w:hAnsi="Franklin Gothic Medium" w:cs="Calibri"/>
                <w:sz w:val="20"/>
                <w:szCs w:val="20"/>
              </w:rPr>
              <w:t>%</w:t>
            </w:r>
          </w:p>
        </w:tc>
      </w:tr>
      <w:tr w:rsidR="007D0ABB" w:rsidRPr="007D0ABB" w14:paraId="51EAC45A" w14:textId="77777777" w:rsidTr="007D0ABB">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center"/>
            <w:hideMark/>
          </w:tcPr>
          <w:p w14:paraId="36028C6D"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Northwest</w:t>
            </w:r>
          </w:p>
        </w:tc>
        <w:tc>
          <w:tcPr>
            <w:tcW w:w="1170" w:type="dxa"/>
            <w:tcBorders>
              <w:top w:val="nil"/>
              <w:left w:val="nil"/>
              <w:bottom w:val="single" w:sz="4" w:space="0" w:color="000000"/>
              <w:right w:val="nil"/>
            </w:tcBorders>
            <w:shd w:val="clear" w:color="auto" w:fill="auto"/>
            <w:noWrap/>
            <w:vAlign w:val="center"/>
            <w:hideMark/>
          </w:tcPr>
          <w:p w14:paraId="1AD1F795"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41</w:t>
            </w:r>
          </w:p>
        </w:tc>
        <w:tc>
          <w:tcPr>
            <w:tcW w:w="1080" w:type="dxa"/>
            <w:tcBorders>
              <w:top w:val="nil"/>
              <w:left w:val="nil"/>
              <w:bottom w:val="single" w:sz="4" w:space="0" w:color="000000"/>
              <w:right w:val="double" w:sz="6" w:space="0" w:color="000000"/>
            </w:tcBorders>
            <w:shd w:val="clear" w:color="auto" w:fill="auto"/>
            <w:noWrap/>
            <w:vAlign w:val="center"/>
            <w:hideMark/>
          </w:tcPr>
          <w:p w14:paraId="0413DBA2"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5.0%</w:t>
            </w:r>
          </w:p>
        </w:tc>
        <w:tc>
          <w:tcPr>
            <w:tcW w:w="1350" w:type="dxa"/>
            <w:tcBorders>
              <w:top w:val="nil"/>
              <w:left w:val="nil"/>
              <w:bottom w:val="single" w:sz="4" w:space="0" w:color="000000"/>
              <w:right w:val="nil"/>
            </w:tcBorders>
            <w:shd w:val="clear" w:color="auto" w:fill="auto"/>
            <w:noWrap/>
            <w:vAlign w:val="center"/>
            <w:hideMark/>
          </w:tcPr>
          <w:p w14:paraId="08DD9ACA"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5</w:t>
            </w:r>
          </w:p>
        </w:tc>
        <w:tc>
          <w:tcPr>
            <w:tcW w:w="810" w:type="dxa"/>
            <w:tcBorders>
              <w:top w:val="nil"/>
              <w:left w:val="nil"/>
              <w:bottom w:val="single" w:sz="4" w:space="0" w:color="000000"/>
              <w:right w:val="single" w:sz="8" w:space="0" w:color="000000"/>
            </w:tcBorders>
            <w:shd w:val="clear" w:color="auto" w:fill="auto"/>
            <w:noWrap/>
            <w:vAlign w:val="center"/>
            <w:hideMark/>
          </w:tcPr>
          <w:p w14:paraId="3887EF0E"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4.4%</w:t>
            </w:r>
          </w:p>
        </w:tc>
      </w:tr>
      <w:tr w:rsidR="007D0ABB" w:rsidRPr="007D0ABB" w14:paraId="03FE2927" w14:textId="77777777" w:rsidTr="007D0ABB">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center"/>
            <w:hideMark/>
          </w:tcPr>
          <w:p w14:paraId="367B897C"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Northeast</w:t>
            </w:r>
          </w:p>
        </w:tc>
        <w:tc>
          <w:tcPr>
            <w:tcW w:w="1170" w:type="dxa"/>
            <w:tcBorders>
              <w:top w:val="nil"/>
              <w:left w:val="nil"/>
              <w:bottom w:val="single" w:sz="4" w:space="0" w:color="000000"/>
              <w:right w:val="nil"/>
            </w:tcBorders>
            <w:shd w:val="clear" w:color="auto" w:fill="auto"/>
            <w:noWrap/>
            <w:vAlign w:val="center"/>
            <w:hideMark/>
          </w:tcPr>
          <w:p w14:paraId="3C563D41"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118</w:t>
            </w:r>
          </w:p>
        </w:tc>
        <w:tc>
          <w:tcPr>
            <w:tcW w:w="1080" w:type="dxa"/>
            <w:tcBorders>
              <w:top w:val="nil"/>
              <w:left w:val="nil"/>
              <w:bottom w:val="single" w:sz="4" w:space="0" w:color="000000"/>
              <w:right w:val="double" w:sz="6" w:space="0" w:color="000000"/>
            </w:tcBorders>
            <w:shd w:val="clear" w:color="auto" w:fill="auto"/>
            <w:noWrap/>
            <w:vAlign w:val="center"/>
            <w:hideMark/>
          </w:tcPr>
          <w:p w14:paraId="5378ACF8"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14.4%</w:t>
            </w:r>
          </w:p>
        </w:tc>
        <w:tc>
          <w:tcPr>
            <w:tcW w:w="1350" w:type="dxa"/>
            <w:tcBorders>
              <w:top w:val="nil"/>
              <w:left w:val="nil"/>
              <w:bottom w:val="single" w:sz="4" w:space="0" w:color="000000"/>
              <w:right w:val="nil"/>
            </w:tcBorders>
            <w:shd w:val="clear" w:color="auto" w:fill="auto"/>
            <w:noWrap/>
            <w:vAlign w:val="center"/>
            <w:hideMark/>
          </w:tcPr>
          <w:p w14:paraId="57909570"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16</w:t>
            </w:r>
          </w:p>
        </w:tc>
        <w:tc>
          <w:tcPr>
            <w:tcW w:w="810" w:type="dxa"/>
            <w:tcBorders>
              <w:top w:val="nil"/>
              <w:left w:val="nil"/>
              <w:bottom w:val="single" w:sz="4" w:space="0" w:color="000000"/>
              <w:right w:val="single" w:sz="8" w:space="0" w:color="000000"/>
            </w:tcBorders>
            <w:shd w:val="clear" w:color="auto" w:fill="auto"/>
            <w:noWrap/>
            <w:vAlign w:val="center"/>
            <w:hideMark/>
          </w:tcPr>
          <w:p w14:paraId="60C1C061"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14.0%</w:t>
            </w:r>
          </w:p>
        </w:tc>
      </w:tr>
      <w:tr w:rsidR="007D0ABB" w:rsidRPr="007D0ABB" w14:paraId="271981B6" w14:textId="77777777" w:rsidTr="007D0ABB">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center"/>
            <w:hideMark/>
          </w:tcPr>
          <w:p w14:paraId="487D5D76"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Central</w:t>
            </w:r>
          </w:p>
        </w:tc>
        <w:tc>
          <w:tcPr>
            <w:tcW w:w="1170" w:type="dxa"/>
            <w:tcBorders>
              <w:top w:val="nil"/>
              <w:left w:val="nil"/>
              <w:bottom w:val="single" w:sz="4" w:space="0" w:color="000000"/>
              <w:right w:val="nil"/>
            </w:tcBorders>
            <w:shd w:val="clear" w:color="auto" w:fill="auto"/>
            <w:noWrap/>
            <w:vAlign w:val="center"/>
            <w:hideMark/>
          </w:tcPr>
          <w:p w14:paraId="0C775CB9"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170</w:t>
            </w:r>
          </w:p>
        </w:tc>
        <w:tc>
          <w:tcPr>
            <w:tcW w:w="1080" w:type="dxa"/>
            <w:tcBorders>
              <w:top w:val="nil"/>
              <w:left w:val="nil"/>
              <w:bottom w:val="single" w:sz="4" w:space="0" w:color="000000"/>
              <w:right w:val="double" w:sz="6" w:space="0" w:color="000000"/>
            </w:tcBorders>
            <w:shd w:val="clear" w:color="auto" w:fill="auto"/>
            <w:noWrap/>
            <w:vAlign w:val="center"/>
            <w:hideMark/>
          </w:tcPr>
          <w:p w14:paraId="5A2CEB6A"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20.8%</w:t>
            </w:r>
          </w:p>
        </w:tc>
        <w:tc>
          <w:tcPr>
            <w:tcW w:w="1350" w:type="dxa"/>
            <w:tcBorders>
              <w:top w:val="nil"/>
              <w:left w:val="nil"/>
              <w:bottom w:val="single" w:sz="4" w:space="0" w:color="000000"/>
              <w:right w:val="nil"/>
            </w:tcBorders>
            <w:shd w:val="clear" w:color="auto" w:fill="auto"/>
            <w:noWrap/>
            <w:vAlign w:val="center"/>
            <w:hideMark/>
          </w:tcPr>
          <w:p w14:paraId="085022EB"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21</w:t>
            </w:r>
          </w:p>
        </w:tc>
        <w:tc>
          <w:tcPr>
            <w:tcW w:w="810" w:type="dxa"/>
            <w:tcBorders>
              <w:top w:val="nil"/>
              <w:left w:val="nil"/>
              <w:bottom w:val="single" w:sz="4" w:space="0" w:color="000000"/>
              <w:right w:val="single" w:sz="8" w:space="0" w:color="000000"/>
            </w:tcBorders>
            <w:shd w:val="clear" w:color="auto" w:fill="auto"/>
            <w:noWrap/>
            <w:vAlign w:val="center"/>
            <w:hideMark/>
          </w:tcPr>
          <w:p w14:paraId="055849F2"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18.4%</w:t>
            </w:r>
          </w:p>
        </w:tc>
      </w:tr>
      <w:tr w:rsidR="007D0ABB" w:rsidRPr="007D0ABB" w14:paraId="2516B8FB" w14:textId="77777777" w:rsidTr="007D0ABB">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center"/>
            <w:hideMark/>
          </w:tcPr>
          <w:p w14:paraId="1891F0D2"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Suncoast</w:t>
            </w:r>
          </w:p>
        </w:tc>
        <w:tc>
          <w:tcPr>
            <w:tcW w:w="1170" w:type="dxa"/>
            <w:tcBorders>
              <w:top w:val="nil"/>
              <w:left w:val="nil"/>
              <w:bottom w:val="single" w:sz="4" w:space="0" w:color="000000"/>
              <w:right w:val="nil"/>
            </w:tcBorders>
            <w:shd w:val="clear" w:color="auto" w:fill="auto"/>
            <w:noWrap/>
            <w:vAlign w:val="center"/>
            <w:hideMark/>
          </w:tcPr>
          <w:p w14:paraId="31D069A1"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234</w:t>
            </w:r>
          </w:p>
        </w:tc>
        <w:tc>
          <w:tcPr>
            <w:tcW w:w="1080" w:type="dxa"/>
            <w:tcBorders>
              <w:top w:val="nil"/>
              <w:left w:val="nil"/>
              <w:bottom w:val="single" w:sz="4" w:space="0" w:color="000000"/>
              <w:right w:val="double" w:sz="6" w:space="0" w:color="000000"/>
            </w:tcBorders>
            <w:shd w:val="clear" w:color="auto" w:fill="auto"/>
            <w:noWrap/>
            <w:vAlign w:val="center"/>
            <w:hideMark/>
          </w:tcPr>
          <w:p w14:paraId="237107F4"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28.6%</w:t>
            </w:r>
          </w:p>
        </w:tc>
        <w:tc>
          <w:tcPr>
            <w:tcW w:w="1350" w:type="dxa"/>
            <w:tcBorders>
              <w:top w:val="nil"/>
              <w:left w:val="nil"/>
              <w:bottom w:val="single" w:sz="4" w:space="0" w:color="000000"/>
              <w:right w:val="nil"/>
            </w:tcBorders>
            <w:shd w:val="clear" w:color="auto" w:fill="auto"/>
            <w:noWrap/>
            <w:vAlign w:val="center"/>
            <w:hideMark/>
          </w:tcPr>
          <w:p w14:paraId="424AD38A"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27</w:t>
            </w:r>
          </w:p>
        </w:tc>
        <w:tc>
          <w:tcPr>
            <w:tcW w:w="810" w:type="dxa"/>
            <w:tcBorders>
              <w:top w:val="nil"/>
              <w:left w:val="nil"/>
              <w:bottom w:val="single" w:sz="4" w:space="0" w:color="000000"/>
              <w:right w:val="single" w:sz="8" w:space="0" w:color="000000"/>
            </w:tcBorders>
            <w:shd w:val="clear" w:color="auto" w:fill="auto"/>
            <w:noWrap/>
            <w:vAlign w:val="center"/>
            <w:hideMark/>
          </w:tcPr>
          <w:p w14:paraId="4BA21BF1"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23.7%</w:t>
            </w:r>
          </w:p>
        </w:tc>
      </w:tr>
      <w:tr w:rsidR="007D0ABB" w:rsidRPr="007D0ABB" w14:paraId="0547ECC6" w14:textId="77777777" w:rsidTr="007D0ABB">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center"/>
            <w:hideMark/>
          </w:tcPr>
          <w:p w14:paraId="73C33325"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Southeast</w:t>
            </w:r>
          </w:p>
        </w:tc>
        <w:tc>
          <w:tcPr>
            <w:tcW w:w="1170" w:type="dxa"/>
            <w:tcBorders>
              <w:top w:val="nil"/>
              <w:left w:val="nil"/>
              <w:bottom w:val="single" w:sz="4" w:space="0" w:color="000000"/>
              <w:right w:val="nil"/>
            </w:tcBorders>
            <w:shd w:val="clear" w:color="auto" w:fill="auto"/>
            <w:noWrap/>
            <w:vAlign w:val="center"/>
            <w:hideMark/>
          </w:tcPr>
          <w:p w14:paraId="228E1AF6"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125</w:t>
            </w:r>
          </w:p>
        </w:tc>
        <w:tc>
          <w:tcPr>
            <w:tcW w:w="1080" w:type="dxa"/>
            <w:tcBorders>
              <w:top w:val="nil"/>
              <w:left w:val="nil"/>
              <w:bottom w:val="single" w:sz="4" w:space="0" w:color="000000"/>
              <w:right w:val="double" w:sz="6" w:space="0" w:color="000000"/>
            </w:tcBorders>
            <w:shd w:val="clear" w:color="auto" w:fill="auto"/>
            <w:noWrap/>
            <w:vAlign w:val="center"/>
            <w:hideMark/>
          </w:tcPr>
          <w:p w14:paraId="40AD2769"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15.3%</w:t>
            </w:r>
          </w:p>
        </w:tc>
        <w:tc>
          <w:tcPr>
            <w:tcW w:w="1350" w:type="dxa"/>
            <w:tcBorders>
              <w:top w:val="nil"/>
              <w:left w:val="nil"/>
              <w:bottom w:val="single" w:sz="4" w:space="0" w:color="000000"/>
              <w:right w:val="nil"/>
            </w:tcBorders>
            <w:shd w:val="clear" w:color="auto" w:fill="auto"/>
            <w:noWrap/>
            <w:vAlign w:val="center"/>
            <w:hideMark/>
          </w:tcPr>
          <w:p w14:paraId="4DCDAB07"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35</w:t>
            </w:r>
          </w:p>
        </w:tc>
        <w:tc>
          <w:tcPr>
            <w:tcW w:w="810" w:type="dxa"/>
            <w:tcBorders>
              <w:top w:val="nil"/>
              <w:left w:val="nil"/>
              <w:bottom w:val="single" w:sz="4" w:space="0" w:color="000000"/>
              <w:right w:val="single" w:sz="8" w:space="0" w:color="000000"/>
            </w:tcBorders>
            <w:shd w:val="clear" w:color="auto" w:fill="auto"/>
            <w:noWrap/>
            <w:vAlign w:val="center"/>
            <w:hideMark/>
          </w:tcPr>
          <w:p w14:paraId="66271B1C"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30.7%</w:t>
            </w:r>
          </w:p>
        </w:tc>
      </w:tr>
      <w:tr w:rsidR="007D0ABB" w:rsidRPr="007D0ABB" w14:paraId="308EC025" w14:textId="77777777" w:rsidTr="007D0ABB">
        <w:trPr>
          <w:trHeight w:val="315"/>
          <w:jc w:val="center"/>
        </w:trPr>
        <w:tc>
          <w:tcPr>
            <w:tcW w:w="1170" w:type="dxa"/>
            <w:tcBorders>
              <w:top w:val="nil"/>
              <w:left w:val="single" w:sz="8" w:space="0" w:color="000000"/>
              <w:bottom w:val="single" w:sz="8" w:space="0" w:color="000000"/>
              <w:right w:val="double" w:sz="6" w:space="0" w:color="000000"/>
            </w:tcBorders>
            <w:shd w:val="clear" w:color="auto" w:fill="auto"/>
            <w:noWrap/>
            <w:vAlign w:val="center"/>
            <w:hideMark/>
          </w:tcPr>
          <w:p w14:paraId="3353151D"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Southern</w:t>
            </w:r>
          </w:p>
        </w:tc>
        <w:tc>
          <w:tcPr>
            <w:tcW w:w="1170" w:type="dxa"/>
            <w:tcBorders>
              <w:top w:val="nil"/>
              <w:left w:val="nil"/>
              <w:bottom w:val="single" w:sz="8" w:space="0" w:color="000000"/>
              <w:right w:val="nil"/>
            </w:tcBorders>
            <w:shd w:val="clear" w:color="auto" w:fill="auto"/>
            <w:noWrap/>
            <w:vAlign w:val="center"/>
            <w:hideMark/>
          </w:tcPr>
          <w:p w14:paraId="155DC152"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131</w:t>
            </w:r>
          </w:p>
        </w:tc>
        <w:tc>
          <w:tcPr>
            <w:tcW w:w="1080" w:type="dxa"/>
            <w:tcBorders>
              <w:top w:val="nil"/>
              <w:left w:val="nil"/>
              <w:bottom w:val="single" w:sz="8" w:space="0" w:color="000000"/>
              <w:right w:val="double" w:sz="6" w:space="0" w:color="000000"/>
            </w:tcBorders>
            <w:shd w:val="clear" w:color="auto" w:fill="auto"/>
            <w:noWrap/>
            <w:vAlign w:val="center"/>
            <w:hideMark/>
          </w:tcPr>
          <w:p w14:paraId="48CE1AB7"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16.0%</w:t>
            </w:r>
          </w:p>
        </w:tc>
        <w:tc>
          <w:tcPr>
            <w:tcW w:w="1350" w:type="dxa"/>
            <w:tcBorders>
              <w:top w:val="nil"/>
              <w:left w:val="nil"/>
              <w:bottom w:val="single" w:sz="8" w:space="0" w:color="000000"/>
              <w:right w:val="nil"/>
            </w:tcBorders>
            <w:shd w:val="clear" w:color="auto" w:fill="auto"/>
            <w:noWrap/>
            <w:vAlign w:val="center"/>
            <w:hideMark/>
          </w:tcPr>
          <w:p w14:paraId="25E3B39A"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10</w:t>
            </w:r>
          </w:p>
        </w:tc>
        <w:tc>
          <w:tcPr>
            <w:tcW w:w="810" w:type="dxa"/>
            <w:tcBorders>
              <w:top w:val="nil"/>
              <w:left w:val="nil"/>
              <w:bottom w:val="single" w:sz="8" w:space="0" w:color="000000"/>
              <w:right w:val="single" w:sz="8" w:space="0" w:color="000000"/>
            </w:tcBorders>
            <w:shd w:val="clear" w:color="auto" w:fill="auto"/>
            <w:noWrap/>
            <w:vAlign w:val="center"/>
            <w:hideMark/>
          </w:tcPr>
          <w:p w14:paraId="2B6DDB9C" w14:textId="77777777" w:rsidR="007D0ABB" w:rsidRPr="007D0ABB" w:rsidRDefault="007D0ABB" w:rsidP="007D0ABB">
            <w:pPr>
              <w:spacing w:line="240" w:lineRule="auto"/>
              <w:jc w:val="center"/>
              <w:rPr>
                <w:rFonts w:ascii="Calibri" w:eastAsia="Times New Roman" w:hAnsi="Calibri" w:cs="Calibri"/>
                <w:color w:val="000000"/>
                <w:sz w:val="20"/>
                <w:szCs w:val="20"/>
              </w:rPr>
            </w:pPr>
            <w:r w:rsidRPr="007D0ABB">
              <w:rPr>
                <w:rFonts w:ascii="Calibri" w:eastAsia="Times New Roman" w:hAnsi="Calibri" w:cs="Calibri"/>
                <w:color w:val="000000"/>
                <w:sz w:val="20"/>
                <w:szCs w:val="20"/>
              </w:rPr>
              <w:t>8.8%</w:t>
            </w:r>
          </w:p>
        </w:tc>
      </w:tr>
    </w:tbl>
    <w:p w14:paraId="52B16A08" w14:textId="1287700B" w:rsidR="00D1476A" w:rsidRDefault="00D1476A" w:rsidP="00FD5063"/>
    <w:p w14:paraId="2DBCA4AA" w14:textId="6E080F80" w:rsidR="00ED51D5" w:rsidRPr="00CE576C" w:rsidRDefault="002C0D33" w:rsidP="00FF1D0E">
      <w:pPr>
        <w:pStyle w:val="Heading3"/>
      </w:pPr>
      <w:bookmarkStart w:id="43" w:name="_Toc530060373"/>
      <w:bookmarkStart w:id="44" w:name="_Toc64285536"/>
      <w:bookmarkStart w:id="45" w:name="_Toc369864683"/>
      <w:r>
        <w:t xml:space="preserve">PDR </w:t>
      </w:r>
      <w:r w:rsidR="00ED51D5">
        <w:t>My Life</w:t>
      </w:r>
      <w:r w:rsidR="00ED51D5" w:rsidRPr="00CE576C">
        <w:t xml:space="preserve"> </w:t>
      </w:r>
      <w:r w:rsidR="00ED51D5">
        <w:t>Interview</w:t>
      </w:r>
      <w:bookmarkEnd w:id="43"/>
      <w:bookmarkEnd w:id="44"/>
    </w:p>
    <w:p w14:paraId="5BC64902" w14:textId="600EFCCE" w:rsidR="00364C81" w:rsidRPr="00595F64" w:rsidRDefault="00ED51D5" w:rsidP="00ED51D5">
      <w:r>
        <w:rPr>
          <w:noProof/>
        </w:rPr>
        <w:drawing>
          <wp:anchor distT="0" distB="0" distL="114300" distR="114300" simplePos="0" relativeHeight="251658250" behindDoc="0" locked="0" layoutInCell="1" allowOverlap="1" wp14:anchorId="0845EB32" wp14:editId="102880DB">
            <wp:simplePos x="0" y="0"/>
            <wp:positionH relativeFrom="margin">
              <wp:align>left</wp:align>
            </wp:positionH>
            <wp:positionV relativeFrom="paragraph">
              <wp:posOffset>161290</wp:posOffset>
            </wp:positionV>
            <wp:extent cx="861060" cy="74803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صناف-لا-يمكنك-التحاور-معهم-297x3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61060" cy="748030"/>
                    </a:xfrm>
                    <a:prstGeom prst="rect">
                      <a:avLst/>
                    </a:prstGeom>
                  </pic:spPr>
                </pic:pic>
              </a:graphicData>
            </a:graphic>
            <wp14:sizeRelH relativeFrom="margin">
              <wp14:pctWidth>0</wp14:pctWidth>
            </wp14:sizeRelH>
            <wp14:sizeRelV relativeFrom="margin">
              <wp14:pctHeight>0</wp14:pctHeight>
            </wp14:sizeRelV>
          </wp:anchor>
        </w:drawing>
      </w:r>
      <w:r>
        <w:t>T</w:t>
      </w:r>
      <w:r w:rsidRPr="009615BF">
        <w:t xml:space="preserve">he PDR </w:t>
      </w:r>
      <w:r>
        <w:t xml:space="preserve">for </w:t>
      </w:r>
      <w:r w:rsidR="000E272D">
        <w:t xml:space="preserve">service </w:t>
      </w:r>
      <w:r w:rsidR="000E272D" w:rsidRPr="00873A78">
        <w:t>providers</w:t>
      </w:r>
      <w:r w:rsidRPr="00873A78">
        <w:t xml:space="preserve"> uses an interview with individuals receiving services from the provider </w:t>
      </w:r>
      <w:r>
        <w:t>to determine</w:t>
      </w:r>
      <w:r w:rsidR="006D17B1">
        <w:t>,</w:t>
      </w:r>
      <w:r>
        <w:t xml:space="preserve"> from the person’s </w:t>
      </w:r>
      <w:r w:rsidRPr="002F4A3B">
        <w:t>perspective</w:t>
      </w:r>
      <w:r w:rsidR="006D17B1">
        <w:t>,</w:t>
      </w:r>
      <w:r w:rsidRPr="002F4A3B">
        <w:t xml:space="preserve"> how well services are provided </w:t>
      </w:r>
      <w:r>
        <w:t xml:space="preserve">and </w:t>
      </w:r>
      <w:r w:rsidR="00AD1FDB">
        <w:t xml:space="preserve">if </w:t>
      </w:r>
      <w:r w:rsidR="001D2F7E">
        <w:t xml:space="preserve">outcomes are </w:t>
      </w:r>
      <w:r w:rsidR="00BF720A">
        <w:t>present</w:t>
      </w:r>
      <w:r w:rsidR="001D2F7E">
        <w:t xml:space="preserve">. </w:t>
      </w:r>
      <w:r w:rsidR="00BC37A0">
        <w:t xml:space="preserve">Not all PDRs include this component of the review process because people are free to decline to </w:t>
      </w:r>
      <w:r w:rsidR="00BC37A0">
        <w:lastRenderedPageBreak/>
        <w:t xml:space="preserve">participate. If there is no one else receiving services from the provider there is no one else to interview.  </w:t>
      </w:r>
      <w:r>
        <w:t>S</w:t>
      </w:r>
      <w:r w:rsidRPr="002F4A3B">
        <w:t xml:space="preserve">tandards </w:t>
      </w:r>
      <w:r>
        <w:t xml:space="preserve">for the PDR MLI </w:t>
      </w:r>
      <w:r w:rsidRPr="002F4A3B">
        <w:t>are th</w:t>
      </w:r>
      <w:r>
        <w:t>e same as for the PCR MLI.</w:t>
      </w:r>
      <w:r>
        <w:rPr>
          <w:rStyle w:val="FootnoteReference"/>
        </w:rPr>
        <w:footnoteReference w:id="12"/>
      </w:r>
      <w:r>
        <w:t xml:space="preserve"> </w:t>
      </w:r>
      <w:r w:rsidRPr="00385367">
        <w:rPr>
          <w:rStyle w:val="FootnoteReference"/>
        </w:rPr>
        <w:footnoteReference w:id="13"/>
      </w:r>
      <w:r w:rsidRPr="00385367">
        <w:t xml:space="preserve"> Figure</w:t>
      </w:r>
      <w:r w:rsidR="00457652" w:rsidRPr="00385367">
        <w:t>s</w:t>
      </w:r>
      <w:r w:rsidRPr="00385367">
        <w:t xml:space="preserve"> </w:t>
      </w:r>
      <w:r w:rsidR="00385367" w:rsidRPr="00385367">
        <w:t>1</w:t>
      </w:r>
      <w:r w:rsidR="00247988">
        <w:t>5</w:t>
      </w:r>
      <w:r w:rsidR="00385367" w:rsidRPr="00385367">
        <w:t>a</w:t>
      </w:r>
      <w:r w:rsidR="00457652" w:rsidRPr="00385367">
        <w:t xml:space="preserve"> and </w:t>
      </w:r>
      <w:r w:rsidR="00385367" w:rsidRPr="00385367">
        <w:t>1</w:t>
      </w:r>
      <w:r w:rsidR="00247988">
        <w:t>5</w:t>
      </w:r>
      <w:r w:rsidR="00457652" w:rsidRPr="00385367">
        <w:t>b</w:t>
      </w:r>
      <w:r w:rsidR="008578B8" w:rsidRPr="00385367">
        <w:t xml:space="preserve"> </w:t>
      </w:r>
      <w:r w:rsidRPr="00385367">
        <w:t xml:space="preserve">display findings from the PDR MLI for each Life Area, by </w:t>
      </w:r>
      <w:r w:rsidR="00E0541D" w:rsidRPr="00385367">
        <w:t>O</w:t>
      </w:r>
      <w:r w:rsidRPr="00385367">
        <w:t xml:space="preserve">utcomes and </w:t>
      </w:r>
      <w:r w:rsidR="00E0541D" w:rsidRPr="00385367">
        <w:t>S</w:t>
      </w:r>
      <w:r w:rsidRPr="00385367">
        <w:t>upports</w:t>
      </w:r>
      <w:r w:rsidR="00C12617" w:rsidRPr="00385367">
        <w:t>,</w:t>
      </w:r>
      <w:r w:rsidR="00385367" w:rsidRPr="00385367">
        <w:t xml:space="preserve"> for the April – June</w:t>
      </w:r>
      <w:r w:rsidR="00247988">
        <w:t xml:space="preserve"> (n=696) </w:t>
      </w:r>
      <w:r w:rsidR="00385367" w:rsidRPr="00385367">
        <w:t>an</w:t>
      </w:r>
      <w:r w:rsidR="00385367" w:rsidRPr="00595F64">
        <w:t xml:space="preserve">d July – </w:t>
      </w:r>
      <w:r w:rsidR="000D1E6F">
        <w:t>December</w:t>
      </w:r>
      <w:r w:rsidR="00247988">
        <w:t xml:space="preserve"> (n=772)</w:t>
      </w:r>
      <w:r w:rsidR="00385367" w:rsidRPr="00595F64">
        <w:t xml:space="preserve"> time periods respectively. </w:t>
      </w:r>
      <w:r w:rsidR="009E7083" w:rsidRPr="00595F64">
        <w:t>Figure</w:t>
      </w:r>
      <w:r w:rsidR="00457652" w:rsidRPr="00595F64">
        <w:t>s</w:t>
      </w:r>
      <w:r w:rsidR="009E7083" w:rsidRPr="00595F64">
        <w:t xml:space="preserve"> 1</w:t>
      </w:r>
      <w:r w:rsidR="00247988">
        <w:t>6</w:t>
      </w:r>
      <w:r w:rsidR="00457652" w:rsidRPr="00595F64">
        <w:t>a and 1</w:t>
      </w:r>
      <w:r w:rsidR="00247988">
        <w:t>6</w:t>
      </w:r>
      <w:r w:rsidR="00457652" w:rsidRPr="00595F64">
        <w:t>b</w:t>
      </w:r>
      <w:r w:rsidR="009E7083" w:rsidRPr="00595F64">
        <w:t xml:space="preserve"> provide results by region.</w:t>
      </w:r>
      <w:r w:rsidR="00380CB4" w:rsidRPr="00595F64">
        <w:t xml:space="preserve"> </w:t>
      </w:r>
      <w:r w:rsidR="00BC37A0" w:rsidRPr="00595F64">
        <w:t>Preliminary r</w:t>
      </w:r>
      <w:r w:rsidR="006200ED" w:rsidRPr="00595F64">
        <w:t>esults indicate:</w:t>
      </w:r>
    </w:p>
    <w:p w14:paraId="46A8BC20" w14:textId="2DD7CCD4" w:rsidR="00E0541D" w:rsidRPr="00595F64" w:rsidRDefault="00E0541D" w:rsidP="00ED51D5"/>
    <w:p w14:paraId="1E24389B" w14:textId="3B3978B8" w:rsidR="006200ED" w:rsidRPr="00083031" w:rsidRDefault="00E0541D" w:rsidP="00E0541D">
      <w:pPr>
        <w:pStyle w:val="ListParagraph"/>
        <w:numPr>
          <w:ilvl w:val="0"/>
          <w:numId w:val="35"/>
        </w:numPr>
      </w:pPr>
      <w:r w:rsidRPr="00083031">
        <w:t xml:space="preserve">Similar to </w:t>
      </w:r>
      <w:r w:rsidR="006B106D" w:rsidRPr="00083031">
        <w:t>PCR MLI</w:t>
      </w:r>
      <w:r w:rsidRPr="00083031">
        <w:t xml:space="preserve"> results</w:t>
      </w:r>
      <w:r w:rsidR="006B106D" w:rsidRPr="00083031">
        <w:t xml:space="preserve">, PDR findings show </w:t>
      </w:r>
      <w:r w:rsidRPr="00083031">
        <w:t>O</w:t>
      </w:r>
      <w:r w:rsidR="006B106D" w:rsidRPr="00083031">
        <w:t xml:space="preserve">utcomes lower than </w:t>
      </w:r>
      <w:r w:rsidRPr="00083031">
        <w:t>S</w:t>
      </w:r>
      <w:r w:rsidR="006B106D" w:rsidRPr="00083031">
        <w:t>upports across all My Life Areas, the greatest differen</w:t>
      </w:r>
      <w:r w:rsidRPr="00083031">
        <w:t>ce</w:t>
      </w:r>
      <w:r w:rsidR="006B106D" w:rsidRPr="00083031">
        <w:t xml:space="preserve"> in My Safety</w:t>
      </w:r>
      <w:r w:rsidRPr="00083031">
        <w:t xml:space="preserve"> with </w:t>
      </w:r>
      <w:r w:rsidR="00346F92" w:rsidRPr="00083031">
        <w:t>less than 80</w:t>
      </w:r>
      <w:r w:rsidRPr="00083031">
        <w:t xml:space="preserve"> percent of Outcomes present</w:t>
      </w:r>
      <w:r w:rsidR="00346F92" w:rsidRPr="00083031">
        <w:t xml:space="preserve"> during both time periods</w:t>
      </w:r>
      <w:r w:rsidRPr="00083031">
        <w:t>.</w:t>
      </w:r>
    </w:p>
    <w:p w14:paraId="6A2CEB1A" w14:textId="40E8819A" w:rsidR="00911F2A" w:rsidRPr="000A4E14" w:rsidRDefault="00083031" w:rsidP="00083031">
      <w:pPr>
        <w:pStyle w:val="ListParagraph"/>
        <w:numPr>
          <w:ilvl w:val="0"/>
          <w:numId w:val="35"/>
        </w:numPr>
      </w:pPr>
      <w:r>
        <w:rPr>
          <w:noProof/>
        </w:rPr>
        <w:drawing>
          <wp:anchor distT="0" distB="0" distL="114300" distR="114300" simplePos="0" relativeHeight="251685943" behindDoc="0" locked="0" layoutInCell="1" allowOverlap="1" wp14:anchorId="4B57AC09" wp14:editId="510D2375">
            <wp:simplePos x="0" y="0"/>
            <wp:positionH relativeFrom="column">
              <wp:posOffset>3181350</wp:posOffset>
            </wp:positionH>
            <wp:positionV relativeFrom="paragraph">
              <wp:posOffset>661685</wp:posOffset>
            </wp:positionV>
            <wp:extent cx="3032760" cy="3864610"/>
            <wp:effectExtent l="0" t="0" r="0" b="254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E0541D" w:rsidRPr="00595F64">
        <w:t>Outcomes for individuals living in the Suncoas</w:t>
      </w:r>
      <w:r w:rsidR="00926ED7">
        <w:t>t</w:t>
      </w:r>
      <w:r w:rsidR="00E0541D" w:rsidRPr="00595F64">
        <w:t xml:space="preserve"> and Southeast regions were </w:t>
      </w:r>
      <w:r w:rsidR="00595F64" w:rsidRPr="00595F64">
        <w:t>lower than in other regions.</w:t>
      </w:r>
      <w:r w:rsidR="00346F92" w:rsidRPr="00595F64">
        <w:t xml:space="preserve"> </w:t>
      </w:r>
      <w:r w:rsidR="00EC0561">
        <w:rPr>
          <w:noProof/>
        </w:rPr>
        <w:drawing>
          <wp:anchor distT="0" distB="0" distL="114300" distR="114300" simplePos="0" relativeHeight="251658280" behindDoc="0" locked="0" layoutInCell="1" allowOverlap="1" wp14:anchorId="2527A585" wp14:editId="529A0B04">
            <wp:simplePos x="0" y="0"/>
            <wp:positionH relativeFrom="page">
              <wp:posOffset>672914</wp:posOffset>
            </wp:positionH>
            <wp:positionV relativeFrom="paragraph">
              <wp:posOffset>647313</wp:posOffset>
            </wp:positionV>
            <wp:extent cx="3242310" cy="4088765"/>
            <wp:effectExtent l="0" t="0" r="0" b="6985"/>
            <wp:wrapSquare wrapText="bothSides"/>
            <wp:docPr id="7179" name="Chart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bookmarkEnd w:id="45"/>
    </w:p>
    <w:p w14:paraId="621D5631" w14:textId="59E4711A" w:rsidR="0096718B" w:rsidRDefault="0096718B" w:rsidP="00867675">
      <w:bookmarkStart w:id="46" w:name="_Toc369864680"/>
    </w:p>
    <w:p w14:paraId="0424F41C" w14:textId="45200E6E" w:rsidR="0096718B" w:rsidRDefault="0096718B" w:rsidP="00867675"/>
    <w:p w14:paraId="11B5A87A" w14:textId="7C0908D7" w:rsidR="00BC37A0" w:rsidRDefault="00BC37A0" w:rsidP="00867675"/>
    <w:p w14:paraId="4BD4AEC9" w14:textId="15775D25" w:rsidR="0096718B" w:rsidRDefault="0096718B" w:rsidP="00867675"/>
    <w:p w14:paraId="00A29E9C" w14:textId="70B8873D" w:rsidR="0096718B" w:rsidRDefault="00083031" w:rsidP="00867675">
      <w:r>
        <w:rPr>
          <w:noProof/>
        </w:rPr>
        <w:drawing>
          <wp:anchor distT="0" distB="0" distL="114300" distR="114300" simplePos="0" relativeHeight="251686967" behindDoc="0" locked="0" layoutInCell="1" allowOverlap="1" wp14:anchorId="75B2AD15" wp14:editId="59C19C43">
            <wp:simplePos x="0" y="0"/>
            <wp:positionH relativeFrom="column">
              <wp:posOffset>3225800</wp:posOffset>
            </wp:positionH>
            <wp:positionV relativeFrom="paragraph">
              <wp:posOffset>202565</wp:posOffset>
            </wp:positionV>
            <wp:extent cx="3371850" cy="3315335"/>
            <wp:effectExtent l="0" t="0" r="0" b="0"/>
            <wp:wrapSquare wrapText="bothSides"/>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0096718B">
        <w:rPr>
          <w:noProof/>
        </w:rPr>
        <w:drawing>
          <wp:anchor distT="0" distB="0" distL="114300" distR="114300" simplePos="0" relativeHeight="251667511" behindDoc="0" locked="0" layoutInCell="1" allowOverlap="1" wp14:anchorId="506C353F" wp14:editId="679A49AC">
            <wp:simplePos x="0" y="0"/>
            <wp:positionH relativeFrom="margin">
              <wp:posOffset>-342265</wp:posOffset>
            </wp:positionH>
            <wp:positionV relativeFrom="paragraph">
              <wp:posOffset>232410</wp:posOffset>
            </wp:positionV>
            <wp:extent cx="3338195" cy="3307715"/>
            <wp:effectExtent l="0" t="0" r="0" b="6985"/>
            <wp:wrapSquare wrapText="bothSides"/>
            <wp:docPr id="7182" name="Chart 7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14:paraId="77C28F0D" w14:textId="77777777" w:rsidR="00083031" w:rsidRDefault="00083031" w:rsidP="00867675"/>
    <w:p w14:paraId="3C909B2B" w14:textId="77777777" w:rsidR="00083031" w:rsidRDefault="00083031" w:rsidP="00867675"/>
    <w:p w14:paraId="2A01E675" w14:textId="2A87F361" w:rsidR="0096718B" w:rsidRPr="004A422B" w:rsidRDefault="0096718B" w:rsidP="0096718B">
      <w:pPr>
        <w:pStyle w:val="Heading3"/>
      </w:pPr>
      <w:bookmarkStart w:id="47" w:name="_Toc64285537"/>
      <w:r w:rsidRPr="00B41112">
        <w:t>Observation</w:t>
      </w:r>
      <w:r>
        <w:t>s</w:t>
      </w:r>
      <w:bookmarkEnd w:id="47"/>
      <w:r w:rsidRPr="00B41112">
        <w:t xml:space="preserve"> </w:t>
      </w:r>
    </w:p>
    <w:p w14:paraId="25F2DB24" w14:textId="35AF06CA" w:rsidR="0096718B" w:rsidRDefault="0096718B" w:rsidP="0096718B">
      <w:r>
        <w:t xml:space="preserve">Temporarily discontinued due to the </w:t>
      </w:r>
      <w:r w:rsidR="00083031">
        <w:t>Covid-19</w:t>
      </w:r>
      <w:r>
        <w:t xml:space="preserve"> pandemic.</w:t>
      </w:r>
    </w:p>
    <w:p w14:paraId="2F5026E2" w14:textId="77777777" w:rsidR="00083031" w:rsidRDefault="00083031" w:rsidP="0096718B"/>
    <w:p w14:paraId="29488E0E" w14:textId="6A4D5FC4" w:rsidR="00F34C75" w:rsidRPr="000A4E14" w:rsidRDefault="00F34C75" w:rsidP="00F34C75">
      <w:pPr>
        <w:pStyle w:val="Heading3"/>
      </w:pPr>
      <w:bookmarkStart w:id="48" w:name="_Toc64285538"/>
      <w:r w:rsidRPr="00CC11AD">
        <w:t xml:space="preserve">Administrative </w:t>
      </w:r>
      <w:r w:rsidRPr="000A4E14">
        <w:t>Policies and Procedure</w:t>
      </w:r>
      <w:bookmarkEnd w:id="46"/>
      <w:r w:rsidRPr="000A4E14">
        <w:t>s</w:t>
      </w:r>
      <w:bookmarkEnd w:id="48"/>
    </w:p>
    <w:p w14:paraId="5F7E833B" w14:textId="0EE27E83" w:rsidR="00F34C75" w:rsidRPr="002D40E2" w:rsidRDefault="00F34C75" w:rsidP="00F34C75">
      <w:r w:rsidRPr="000A4E14">
        <w:rPr>
          <w:noProof/>
        </w:rPr>
        <w:drawing>
          <wp:anchor distT="0" distB="0" distL="114300" distR="114300" simplePos="0" relativeHeight="251658260" behindDoc="0" locked="0" layoutInCell="1" allowOverlap="1" wp14:anchorId="565F343A" wp14:editId="03511E94">
            <wp:simplePos x="0" y="0"/>
            <wp:positionH relativeFrom="margin">
              <wp:align>left</wp:align>
            </wp:positionH>
            <wp:positionV relativeFrom="paragraph">
              <wp:posOffset>173355</wp:posOffset>
            </wp:positionV>
            <wp:extent cx="949325" cy="896620"/>
            <wp:effectExtent l="0" t="0" r="317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nders[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49325" cy="896620"/>
                    </a:xfrm>
                    <a:prstGeom prst="rect">
                      <a:avLst/>
                    </a:prstGeom>
                  </pic:spPr>
                </pic:pic>
              </a:graphicData>
            </a:graphic>
            <wp14:sizeRelH relativeFrom="margin">
              <wp14:pctWidth>0</wp14:pctWidth>
            </wp14:sizeRelH>
            <wp14:sizeRelV relativeFrom="margin">
              <wp14:pctHeight>0</wp14:pctHeight>
            </wp14:sizeRelV>
          </wp:anchor>
        </w:drawing>
      </w:r>
      <w:r w:rsidRPr="000A4E14">
        <w:t xml:space="preserve">Each </w:t>
      </w:r>
      <w:r w:rsidR="002D40E2">
        <w:t>provider is reviewed on up to 19</w:t>
      </w:r>
      <w:r w:rsidRPr="000A4E14">
        <w:t xml:space="preserve"> standards to determine compliance with Policies and</w:t>
      </w:r>
      <w:r w:rsidRPr="005C7BF0">
        <w:t xml:space="preserve"> Procedures (P&amp;P) as dictated in the Florida Developmental Disabilities</w:t>
      </w:r>
      <w:r w:rsidRPr="00DA427F">
        <w:t xml:space="preserve"> Individual Budgeting Waiver Services Coverage</w:t>
      </w:r>
      <w:r>
        <w:t xml:space="preserve"> </w:t>
      </w:r>
      <w:r w:rsidRPr="00F94398">
        <w:t>and Limitations Handbook.</w:t>
      </w:r>
      <w:r w:rsidRPr="002815AB">
        <w:t xml:space="preserve"> </w:t>
      </w:r>
      <w:r>
        <w:t>Results for all P&amp;P s</w:t>
      </w:r>
      <w:r w:rsidRPr="007808CB">
        <w:t>tandards reviewed</w:t>
      </w:r>
      <w:r>
        <w:t xml:space="preserve"> </w:t>
      </w:r>
      <w:r w:rsidRPr="007808CB">
        <w:t xml:space="preserve">are shown in Table </w:t>
      </w:r>
      <w:r w:rsidR="00B37E28">
        <w:t>1</w:t>
      </w:r>
      <w:r w:rsidR="00FF70F0">
        <w:t>5</w:t>
      </w:r>
      <w:r w:rsidR="00B37E28">
        <w:t xml:space="preserve"> for service providers</w:t>
      </w:r>
      <w:r w:rsidR="00642A89">
        <w:t xml:space="preserve"> and Table 1</w:t>
      </w:r>
      <w:r w:rsidR="00FF70F0">
        <w:t>6</w:t>
      </w:r>
      <w:r w:rsidR="00B37E28">
        <w:t xml:space="preserve"> for WSCs</w:t>
      </w:r>
      <w:r>
        <w:t xml:space="preserve">. WSC services are different than other provider services, therefore findings are </w:t>
      </w:r>
      <w:r w:rsidRPr="002A09B3">
        <w:t>presented separately for WSCs and service providers.</w:t>
      </w:r>
      <w:r w:rsidRPr="002A09B3">
        <w:rPr>
          <w:rStyle w:val="FootnoteReference"/>
        </w:rPr>
        <w:footnoteReference w:id="14"/>
      </w:r>
      <w:r w:rsidRPr="002A09B3">
        <w:t xml:space="preserve"> Most of the P&amp;P tool applies</w:t>
      </w:r>
      <w:r w:rsidR="00FF70F0">
        <w:t xml:space="preserve"> only</w:t>
      </w:r>
      <w:r w:rsidRPr="002A09B3">
        <w:t xml:space="preserve"> to agency providers</w:t>
      </w:r>
      <w:r w:rsidR="00C1649E">
        <w:t>;</w:t>
      </w:r>
      <w:r w:rsidRPr="002A09B3">
        <w:t xml:space="preserve"> however, some questions may also be </w:t>
      </w:r>
      <w:r w:rsidRPr="002A09B3">
        <w:lastRenderedPageBreak/>
        <w:t xml:space="preserve">asked of </w:t>
      </w:r>
      <w:r w:rsidRPr="00334478">
        <w:t xml:space="preserve">solo </w:t>
      </w:r>
      <w:r w:rsidR="00C1649E" w:rsidRPr="00BC529B">
        <w:t>providers</w:t>
      </w:r>
      <w:r w:rsidRPr="006E6D1D">
        <w:t xml:space="preserve">. Service providers </w:t>
      </w:r>
      <w:r w:rsidRPr="00DE6354">
        <w:t xml:space="preserve">reviewed </w:t>
      </w:r>
      <w:r w:rsidR="00165AF8" w:rsidRPr="00DE6354">
        <w:t xml:space="preserve">between July and </w:t>
      </w:r>
      <w:r w:rsidR="00FF70F0" w:rsidRPr="00DE6354">
        <w:t>December</w:t>
      </w:r>
      <w:r w:rsidR="00165AF8" w:rsidRPr="00DE6354">
        <w:t xml:space="preserve"> 2020 </w:t>
      </w:r>
      <w:r w:rsidRPr="00DE6354">
        <w:t xml:space="preserve">averaged </w:t>
      </w:r>
      <w:r w:rsidR="00266667" w:rsidRPr="00DE6354">
        <w:t>92.</w:t>
      </w:r>
      <w:r w:rsidR="00A8151F">
        <w:t>3</w:t>
      </w:r>
      <w:r w:rsidR="003E0E6F" w:rsidRPr="00DE6354">
        <w:t xml:space="preserve"> </w:t>
      </w:r>
      <w:r w:rsidRPr="00DE6354">
        <w:t xml:space="preserve">percent compliance with </w:t>
      </w:r>
      <w:r w:rsidR="002D40E2" w:rsidRPr="00DE6354">
        <w:t>P&amp;P</w:t>
      </w:r>
      <w:r w:rsidRPr="00DE6354">
        <w:t xml:space="preserve"> requirements</w:t>
      </w:r>
      <w:r w:rsidR="006E6D1D" w:rsidRPr="00DE6354">
        <w:t>. R</w:t>
      </w:r>
      <w:r w:rsidR="00165AF8" w:rsidRPr="00DE6354">
        <w:t xml:space="preserve">esults by indicator </w:t>
      </w:r>
      <w:r w:rsidR="006E6D1D" w:rsidRPr="00DE6354">
        <w:t>we</w:t>
      </w:r>
      <w:r w:rsidR="00165AF8" w:rsidRPr="00DE6354">
        <w:t xml:space="preserve">re similar to the </w:t>
      </w:r>
      <w:r w:rsidR="00266667" w:rsidRPr="00DE6354">
        <w:t>4</w:t>
      </w:r>
      <w:r w:rsidR="00266667" w:rsidRPr="00DE6354">
        <w:rPr>
          <w:vertAlign w:val="superscript"/>
        </w:rPr>
        <w:t>th</w:t>
      </w:r>
      <w:r w:rsidR="00266667" w:rsidRPr="00DE6354">
        <w:t xml:space="preserve"> quarter in Year 3</w:t>
      </w:r>
      <w:r w:rsidR="00165AF8" w:rsidRPr="00DE6354">
        <w:t>.</w:t>
      </w:r>
      <w:r w:rsidR="00266667" w:rsidRPr="00DE6354">
        <w:t xml:space="preserve"> Providers were least like to maintain written procedures on how maintain confidentiality of the person’s record, </w:t>
      </w:r>
      <w:r w:rsidR="00315E2B">
        <w:t>a decrease of approximately four</w:t>
      </w:r>
      <w:r w:rsidR="00DE6354" w:rsidRPr="00DE6354">
        <w:t xml:space="preserve"> </w:t>
      </w:r>
      <w:r w:rsidR="00315E2B">
        <w:t xml:space="preserve">and a half </w:t>
      </w:r>
      <w:r w:rsidR="00DE6354" w:rsidRPr="00DE6354">
        <w:t>points from last year to 75.</w:t>
      </w:r>
      <w:r w:rsidR="00315E2B">
        <w:t>5</w:t>
      </w:r>
      <w:r w:rsidR="00DE6354" w:rsidRPr="00DE6354">
        <w:t xml:space="preserve"> percent</w:t>
      </w:r>
      <w:r w:rsidR="00266667" w:rsidRPr="00DE6354">
        <w:t xml:space="preserve"> </w:t>
      </w:r>
      <w:r w:rsidR="00165AF8" w:rsidRPr="00DE6354">
        <w:t xml:space="preserve"> </w:t>
      </w:r>
      <w:r w:rsidR="006E6D1D" w:rsidRPr="00A53419">
        <w:t>T</w:t>
      </w:r>
      <w:r w:rsidRPr="00A53419">
        <w:t xml:space="preserve">he WSC average </w:t>
      </w:r>
      <w:r w:rsidR="006E6D1D" w:rsidRPr="00A53419">
        <w:t xml:space="preserve">of </w:t>
      </w:r>
      <w:r w:rsidR="00A53419" w:rsidRPr="00A53419">
        <w:t>95.1</w:t>
      </w:r>
      <w:r w:rsidR="00BC529B" w:rsidRPr="00A53419">
        <w:t xml:space="preserve"> percent</w:t>
      </w:r>
      <w:r w:rsidR="006E6D1D" w:rsidRPr="00A53419">
        <w:t xml:space="preserve"> is </w:t>
      </w:r>
      <w:r w:rsidR="00A53419" w:rsidRPr="00A53419">
        <w:t>similar to the 4</w:t>
      </w:r>
      <w:r w:rsidR="00A53419" w:rsidRPr="00A53419">
        <w:rPr>
          <w:vertAlign w:val="superscript"/>
        </w:rPr>
        <w:t>th</w:t>
      </w:r>
      <w:r w:rsidR="00A53419" w:rsidRPr="00A53419">
        <w:t xml:space="preserve"> quarter last year, with all indicators showing a score of 90 percent or higher</w:t>
      </w:r>
      <w:r w:rsidR="006E6D1D" w:rsidRPr="00A53419">
        <w:t>.</w:t>
      </w:r>
      <w:r w:rsidR="007055C8">
        <w:t xml:space="preserve"> </w:t>
      </w:r>
    </w:p>
    <w:p w14:paraId="6F5BA0C8" w14:textId="4AD12059" w:rsidR="00642A89" w:rsidRDefault="00642A89" w:rsidP="00F34C75">
      <w:bookmarkStart w:id="49" w:name="_Toc369864681"/>
    </w:p>
    <w:tbl>
      <w:tblPr>
        <w:tblStyle w:val="MediumShading1-Accent5"/>
        <w:tblW w:w="0" w:type="auto"/>
        <w:tblLayout w:type="fixed"/>
        <w:tblLook w:val="04A0" w:firstRow="1" w:lastRow="0" w:firstColumn="1" w:lastColumn="0" w:noHBand="0" w:noVBand="1"/>
      </w:tblPr>
      <w:tblGrid>
        <w:gridCol w:w="4850"/>
        <w:gridCol w:w="1120"/>
        <w:gridCol w:w="783"/>
        <w:gridCol w:w="337"/>
        <w:gridCol w:w="1120"/>
        <w:gridCol w:w="1120"/>
      </w:tblGrid>
      <w:tr w:rsidR="00642A89" w:rsidRPr="000E2DA2" w14:paraId="5B047BE4" w14:textId="77777777" w:rsidTr="00E419D1">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30" w:type="dxa"/>
            <w:gridSpan w:val="6"/>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52AD3CDB" w14:textId="0497765B" w:rsidR="00642A89" w:rsidRPr="002612F9" w:rsidRDefault="00642A89" w:rsidP="00A31325">
            <w:pPr>
              <w:spacing w:line="240" w:lineRule="auto"/>
              <w:jc w:val="center"/>
              <w:rPr>
                <w:rFonts w:ascii="Franklin Gothic Medium" w:eastAsia="Times New Roman" w:hAnsi="Franklin Gothic Medium" w:cs="Times New Roman"/>
                <w:b w:val="0"/>
                <w:sz w:val="22"/>
                <w:szCs w:val="24"/>
              </w:rPr>
            </w:pPr>
            <w:r w:rsidRPr="002612F9">
              <w:rPr>
                <w:rFonts w:ascii="Franklin Gothic Medium" w:eastAsia="Times New Roman" w:hAnsi="Franklin Gothic Medium" w:cs="Times New Roman"/>
                <w:b w:val="0"/>
                <w:sz w:val="22"/>
                <w:szCs w:val="24"/>
              </w:rPr>
              <w:t xml:space="preserve">Table </w:t>
            </w:r>
            <w:r w:rsidR="00B37E28">
              <w:rPr>
                <w:rFonts w:ascii="Franklin Gothic Medium" w:eastAsia="Times New Roman" w:hAnsi="Franklin Gothic Medium" w:cs="Times New Roman"/>
                <w:b w:val="0"/>
                <w:sz w:val="22"/>
                <w:szCs w:val="24"/>
              </w:rPr>
              <w:t>1</w:t>
            </w:r>
            <w:r w:rsidR="00A31325">
              <w:rPr>
                <w:rFonts w:ascii="Franklin Gothic Medium" w:eastAsia="Times New Roman" w:hAnsi="Franklin Gothic Medium" w:cs="Times New Roman"/>
                <w:b w:val="0"/>
                <w:sz w:val="22"/>
                <w:szCs w:val="24"/>
              </w:rPr>
              <w:t>4</w:t>
            </w:r>
            <w:r>
              <w:rPr>
                <w:rFonts w:ascii="Franklin Gothic Medium" w:eastAsia="Times New Roman" w:hAnsi="Franklin Gothic Medium" w:cs="Times New Roman"/>
                <w:b w:val="0"/>
                <w:sz w:val="22"/>
                <w:szCs w:val="24"/>
              </w:rPr>
              <w:t xml:space="preserve">. </w:t>
            </w:r>
            <w:r w:rsidRPr="002612F9">
              <w:rPr>
                <w:rFonts w:ascii="Franklin Gothic Medium" w:eastAsia="Times New Roman" w:hAnsi="Franklin Gothic Medium" w:cs="Times New Roman"/>
                <w:b w:val="0"/>
                <w:sz w:val="22"/>
                <w:szCs w:val="24"/>
              </w:rPr>
              <w:t xml:space="preserve">  PDR Policies and Procedures Results by Standard </w:t>
            </w:r>
            <w:r w:rsidR="003F6E5E">
              <w:rPr>
                <w:rFonts w:ascii="Franklin Gothic Medium" w:eastAsia="Times New Roman" w:hAnsi="Franklin Gothic Medium" w:cs="Times New Roman"/>
                <w:b w:val="0"/>
                <w:sz w:val="22"/>
                <w:szCs w:val="24"/>
              </w:rPr>
              <w:t>(Service Providers)</w:t>
            </w:r>
          </w:p>
        </w:tc>
      </w:tr>
      <w:tr w:rsidR="00642A89" w:rsidRPr="00CF0177" w14:paraId="52D8B9FA" w14:textId="77777777" w:rsidTr="003F6E5E">
        <w:trPr>
          <w:cnfStyle w:val="100000000000" w:firstRow="1" w:lastRow="0" w:firstColumn="0" w:lastColumn="0" w:oddVBand="0" w:evenVBand="0" w:oddHBand="0" w:evenHBand="0" w:firstRowFirstColumn="0" w:firstRowLastColumn="0" w:lastRowFirstColumn="0" w:lastRowLastColumn="0"/>
          <w:trHeight w:val="2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tcPr>
          <w:p w14:paraId="11800CC3" w14:textId="77777777" w:rsidR="00642A89" w:rsidRPr="00B50178" w:rsidRDefault="00642A89" w:rsidP="00E419D1">
            <w:pPr>
              <w:spacing w:line="240" w:lineRule="auto"/>
              <w:rPr>
                <w:rFonts w:ascii="Franklin Gothic Medium" w:eastAsia="Times New Roman" w:hAnsi="Franklin Gothic Medium" w:cs="Times New Roman"/>
                <w:b w:val="0"/>
                <w:sz w:val="20"/>
                <w:szCs w:val="20"/>
              </w:rPr>
            </w:pPr>
          </w:p>
        </w:tc>
        <w:tc>
          <w:tcPr>
            <w:tcW w:w="1903"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78764D1C" w14:textId="1BB7D3BC" w:rsidR="00642A89" w:rsidRPr="00B50178" w:rsidRDefault="00E97DD3" w:rsidP="00E97DD3">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Pr>
                <w:rFonts w:ascii="Franklin Gothic Medium" w:eastAsia="Times New Roman" w:hAnsi="Franklin Gothic Medium" w:cs="Times New Roman"/>
                <w:b w:val="0"/>
                <w:sz w:val="20"/>
                <w:szCs w:val="20"/>
              </w:rPr>
              <w:t>Y3Q4</w:t>
            </w:r>
            <w:r w:rsidR="00642A89">
              <w:rPr>
                <w:rFonts w:ascii="Franklin Gothic Medium" w:eastAsia="Times New Roman" w:hAnsi="Franklin Gothic Medium" w:cs="Times New Roman"/>
                <w:b w:val="0"/>
                <w:sz w:val="20"/>
                <w:szCs w:val="20"/>
              </w:rPr>
              <w:t xml:space="preserve"> (</w:t>
            </w:r>
            <w:r w:rsidR="00BC529B">
              <w:rPr>
                <w:rFonts w:ascii="Franklin Gothic Medium" w:eastAsia="Times New Roman" w:hAnsi="Franklin Gothic Medium" w:cs="Times New Roman"/>
                <w:b w:val="0"/>
                <w:sz w:val="20"/>
                <w:szCs w:val="20"/>
              </w:rPr>
              <w:t>537</w:t>
            </w:r>
            <w:r w:rsidR="00642A89">
              <w:rPr>
                <w:rFonts w:ascii="Franklin Gothic Medium" w:eastAsia="Times New Roman" w:hAnsi="Franklin Gothic Medium" w:cs="Times New Roman"/>
                <w:b w:val="0"/>
                <w:sz w:val="20"/>
                <w:szCs w:val="20"/>
              </w:rPr>
              <w:t>)</w:t>
            </w:r>
          </w:p>
        </w:tc>
        <w:tc>
          <w:tcPr>
            <w:tcW w:w="2577" w:type="dxa"/>
            <w:gridSpan w:val="3"/>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59209A9F" w14:textId="270454C8" w:rsidR="00642A89" w:rsidRPr="00B50178" w:rsidRDefault="00E97DD3" w:rsidP="00FF70F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Pr>
                <w:rFonts w:ascii="Franklin Gothic Medium" w:eastAsia="Times New Roman" w:hAnsi="Franklin Gothic Medium" w:cs="Times New Roman"/>
                <w:b w:val="0"/>
                <w:sz w:val="20"/>
                <w:szCs w:val="20"/>
              </w:rPr>
              <w:t>Y4Q1</w:t>
            </w:r>
            <w:r w:rsidR="00FF70F0">
              <w:rPr>
                <w:rFonts w:ascii="Franklin Gothic Medium" w:eastAsia="Times New Roman" w:hAnsi="Franklin Gothic Medium" w:cs="Times New Roman"/>
                <w:b w:val="0"/>
                <w:sz w:val="20"/>
                <w:szCs w:val="20"/>
              </w:rPr>
              <w:t>-2</w:t>
            </w:r>
            <w:r>
              <w:rPr>
                <w:rFonts w:ascii="Franklin Gothic Medium" w:eastAsia="Times New Roman" w:hAnsi="Franklin Gothic Medium" w:cs="Times New Roman"/>
                <w:b w:val="0"/>
                <w:sz w:val="20"/>
                <w:szCs w:val="20"/>
              </w:rPr>
              <w:t xml:space="preserve"> </w:t>
            </w:r>
            <w:r w:rsidR="00B37E28">
              <w:rPr>
                <w:rFonts w:ascii="Franklin Gothic Medium" w:eastAsia="Times New Roman" w:hAnsi="Franklin Gothic Medium" w:cs="Times New Roman"/>
                <w:b w:val="0"/>
                <w:sz w:val="20"/>
                <w:szCs w:val="20"/>
              </w:rPr>
              <w:t>(</w:t>
            </w:r>
            <w:r w:rsidR="00FF70F0">
              <w:rPr>
                <w:rFonts w:ascii="Franklin Gothic Medium" w:eastAsia="Times New Roman" w:hAnsi="Franklin Gothic Medium" w:cs="Times New Roman"/>
                <w:b w:val="0"/>
                <w:sz w:val="20"/>
                <w:szCs w:val="20"/>
              </w:rPr>
              <w:t>719</w:t>
            </w:r>
            <w:r w:rsidR="00642A89">
              <w:rPr>
                <w:rFonts w:ascii="Franklin Gothic Medium" w:eastAsia="Times New Roman" w:hAnsi="Franklin Gothic Medium" w:cs="Times New Roman"/>
                <w:b w:val="0"/>
                <w:sz w:val="20"/>
                <w:szCs w:val="20"/>
              </w:rPr>
              <w:t>)</w:t>
            </w:r>
          </w:p>
        </w:tc>
      </w:tr>
      <w:tr w:rsidR="00642A89" w:rsidRPr="00CF0177" w14:paraId="74835D50" w14:textId="77777777" w:rsidTr="00E419D1">
        <w:trPr>
          <w:cnfStyle w:val="100000000000" w:firstRow="1" w:lastRow="0" w:firstColumn="0" w:lastColumn="0" w:oddVBand="0" w:evenVBand="0" w:oddHBand="0" w:evenHBand="0" w:firstRowFirstColumn="0" w:firstRowLastColumn="0" w:lastRowFirstColumn="0" w:lastRowLastColumn="0"/>
          <w:trHeight w:val="4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5F637B18" w14:textId="77777777" w:rsidR="00642A89" w:rsidRPr="00B50178" w:rsidRDefault="00642A89" w:rsidP="00E419D1">
            <w:pPr>
              <w:spacing w:line="240" w:lineRule="auto"/>
              <w:jc w:val="center"/>
              <w:rPr>
                <w:rFonts w:ascii="Franklin Gothic Medium" w:eastAsia="Times New Roman" w:hAnsi="Franklin Gothic Medium" w:cs="Times New Roman"/>
                <w:bCs w:val="0"/>
                <w:sz w:val="20"/>
                <w:szCs w:val="20"/>
              </w:rPr>
            </w:pPr>
            <w:r w:rsidRPr="00B50178">
              <w:rPr>
                <w:rFonts w:ascii="Franklin Gothic Medium" w:eastAsia="Times New Roman" w:hAnsi="Franklin Gothic Medium" w:cs="Times New Roman"/>
                <w:b w:val="0"/>
                <w:sz w:val="20"/>
                <w:szCs w:val="20"/>
              </w:rPr>
              <w:t>P&amp;P Standard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0676284E" w14:textId="77777777" w:rsidR="00642A89" w:rsidRPr="00B50178"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Standards Reviewed</w:t>
            </w:r>
          </w:p>
        </w:tc>
        <w:tc>
          <w:tcPr>
            <w:tcW w:w="1120"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7DF4F0FA" w14:textId="77777777" w:rsidR="00642A89" w:rsidRPr="00B50178"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 xml:space="preserve">% </w:t>
            </w:r>
          </w:p>
          <w:p w14:paraId="38CDB350" w14:textId="77777777" w:rsidR="00642A89" w:rsidRPr="00B50178"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Met</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4664CDB8" w14:textId="77777777" w:rsidR="00642A89" w:rsidRPr="00266667"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266667">
              <w:rPr>
                <w:rFonts w:ascii="Franklin Gothic Medium" w:eastAsia="Times New Roman" w:hAnsi="Franklin Gothic Medium" w:cs="Times New Roman"/>
                <w:b w:val="0"/>
                <w:sz w:val="20"/>
                <w:szCs w:val="20"/>
              </w:rPr>
              <w:t>Standards Reviewed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2434D487" w14:textId="77777777" w:rsidR="00642A89" w:rsidRPr="00266667"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266667">
              <w:rPr>
                <w:rFonts w:ascii="Franklin Gothic Medium" w:eastAsia="Times New Roman" w:hAnsi="Franklin Gothic Medium" w:cs="Times New Roman"/>
                <w:b w:val="0"/>
                <w:sz w:val="20"/>
                <w:szCs w:val="20"/>
              </w:rPr>
              <w:t xml:space="preserve">% </w:t>
            </w:r>
          </w:p>
          <w:p w14:paraId="19C9F9DD" w14:textId="77777777" w:rsidR="00642A89" w:rsidRPr="00266667" w:rsidRDefault="00642A89" w:rsidP="00E419D1">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266667">
              <w:rPr>
                <w:rFonts w:ascii="Franklin Gothic Medium" w:eastAsia="Times New Roman" w:hAnsi="Franklin Gothic Medium" w:cs="Times New Roman"/>
                <w:b w:val="0"/>
                <w:sz w:val="20"/>
                <w:szCs w:val="20"/>
              </w:rPr>
              <w:t>Met</w:t>
            </w:r>
          </w:p>
        </w:tc>
      </w:tr>
      <w:tr w:rsidR="00315E2B" w:rsidRPr="00C9152E" w14:paraId="0D0BE13F" w14:textId="77777777" w:rsidTr="00315E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6E9FB195" w14:textId="77A063E9"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Agency vehicles used for transportation are properly insured.</w:t>
            </w:r>
          </w:p>
        </w:tc>
        <w:tc>
          <w:tcPr>
            <w:tcW w:w="1120" w:type="dxa"/>
            <w:tcBorders>
              <w:left w:val="none" w:sz="0" w:space="0" w:color="auto"/>
              <w:right w:val="none" w:sz="0" w:space="0" w:color="auto"/>
            </w:tcBorders>
            <w:vAlign w:val="center"/>
          </w:tcPr>
          <w:p w14:paraId="7F6C9424" w14:textId="4A591EF6"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172</w:t>
            </w:r>
          </w:p>
        </w:tc>
        <w:tc>
          <w:tcPr>
            <w:tcW w:w="1120" w:type="dxa"/>
            <w:gridSpan w:val="2"/>
            <w:tcBorders>
              <w:left w:val="none" w:sz="0" w:space="0" w:color="auto"/>
              <w:right w:val="none" w:sz="0" w:space="0" w:color="auto"/>
            </w:tcBorders>
            <w:vAlign w:val="center"/>
          </w:tcPr>
          <w:p w14:paraId="037C2264" w14:textId="60F411BD"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99.4%</w:t>
            </w:r>
          </w:p>
        </w:tc>
        <w:tc>
          <w:tcPr>
            <w:tcW w:w="1120" w:type="dxa"/>
            <w:tcBorders>
              <w:left w:val="none" w:sz="0" w:space="0" w:color="auto"/>
              <w:right w:val="none" w:sz="0" w:space="0" w:color="auto"/>
            </w:tcBorders>
            <w:noWrap/>
            <w:vAlign w:val="center"/>
          </w:tcPr>
          <w:p w14:paraId="4C400CCD" w14:textId="1293D26B" w:rsidR="00315E2B" w:rsidRPr="00315E2B" w:rsidRDefault="00315E2B" w:rsidP="00315E2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263</w:t>
            </w:r>
          </w:p>
        </w:tc>
        <w:tc>
          <w:tcPr>
            <w:tcW w:w="1120" w:type="dxa"/>
            <w:tcBorders>
              <w:left w:val="none" w:sz="0" w:space="0" w:color="auto"/>
            </w:tcBorders>
            <w:noWrap/>
            <w:vAlign w:val="center"/>
          </w:tcPr>
          <w:p w14:paraId="5037F056" w14:textId="1FA8E934" w:rsidR="00315E2B" w:rsidRPr="00315E2B" w:rsidRDefault="00315E2B" w:rsidP="00315E2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96.6%</w:t>
            </w:r>
          </w:p>
        </w:tc>
      </w:tr>
      <w:tr w:rsidR="00315E2B" w:rsidRPr="00C9152E" w14:paraId="13B8A6E5" w14:textId="77777777" w:rsidTr="00315E2B">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1BCCE4BD" w14:textId="03413E8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Agency vehicles used for transportation are properly registered.</w:t>
            </w:r>
          </w:p>
        </w:tc>
        <w:tc>
          <w:tcPr>
            <w:tcW w:w="1120" w:type="dxa"/>
            <w:tcBorders>
              <w:left w:val="none" w:sz="0" w:space="0" w:color="auto"/>
              <w:right w:val="none" w:sz="0" w:space="0" w:color="auto"/>
            </w:tcBorders>
            <w:vAlign w:val="center"/>
          </w:tcPr>
          <w:p w14:paraId="1E6FD8A4" w14:textId="33EEFA22"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173</w:t>
            </w:r>
          </w:p>
        </w:tc>
        <w:tc>
          <w:tcPr>
            <w:tcW w:w="1120" w:type="dxa"/>
            <w:gridSpan w:val="2"/>
            <w:tcBorders>
              <w:left w:val="none" w:sz="0" w:space="0" w:color="auto"/>
              <w:right w:val="none" w:sz="0" w:space="0" w:color="auto"/>
            </w:tcBorders>
            <w:vAlign w:val="center"/>
          </w:tcPr>
          <w:p w14:paraId="43D6C4F9" w14:textId="3A62CA5A"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97.7%</w:t>
            </w:r>
          </w:p>
        </w:tc>
        <w:tc>
          <w:tcPr>
            <w:tcW w:w="1120" w:type="dxa"/>
            <w:tcBorders>
              <w:left w:val="none" w:sz="0" w:space="0" w:color="auto"/>
              <w:right w:val="none" w:sz="0" w:space="0" w:color="auto"/>
            </w:tcBorders>
            <w:noWrap/>
            <w:vAlign w:val="center"/>
          </w:tcPr>
          <w:p w14:paraId="214F638B" w14:textId="64ECE769" w:rsidR="00315E2B" w:rsidRPr="00315E2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265</w:t>
            </w:r>
          </w:p>
        </w:tc>
        <w:tc>
          <w:tcPr>
            <w:tcW w:w="1120" w:type="dxa"/>
            <w:tcBorders>
              <w:left w:val="none" w:sz="0" w:space="0" w:color="auto"/>
            </w:tcBorders>
            <w:noWrap/>
            <w:vAlign w:val="center"/>
          </w:tcPr>
          <w:p w14:paraId="7DAA923A" w14:textId="33611123" w:rsidR="00315E2B" w:rsidRPr="00315E2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97.4%</w:t>
            </w:r>
          </w:p>
        </w:tc>
      </w:tr>
      <w:tr w:rsidR="00315E2B" w:rsidRPr="00C9152E" w14:paraId="46BE4AFA" w14:textId="77777777" w:rsidTr="00315E2B">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2DE7615B" w14:textId="600F55CA"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All instances of abuse, neglect, and exploitation are reported.</w:t>
            </w:r>
          </w:p>
        </w:tc>
        <w:tc>
          <w:tcPr>
            <w:tcW w:w="1120" w:type="dxa"/>
            <w:tcBorders>
              <w:left w:val="none" w:sz="0" w:space="0" w:color="auto"/>
              <w:right w:val="none" w:sz="0" w:space="0" w:color="auto"/>
            </w:tcBorders>
            <w:vAlign w:val="center"/>
          </w:tcPr>
          <w:p w14:paraId="208EA273" w14:textId="0C323935"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54</w:t>
            </w:r>
          </w:p>
        </w:tc>
        <w:tc>
          <w:tcPr>
            <w:tcW w:w="1120" w:type="dxa"/>
            <w:gridSpan w:val="2"/>
            <w:tcBorders>
              <w:left w:val="none" w:sz="0" w:space="0" w:color="auto"/>
              <w:right w:val="none" w:sz="0" w:space="0" w:color="auto"/>
            </w:tcBorders>
            <w:vAlign w:val="center"/>
          </w:tcPr>
          <w:p w14:paraId="1AFAC6B5" w14:textId="2F30FBDE"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21A5D8AF" w14:textId="5024E8F7" w:rsidR="00315E2B" w:rsidRPr="00315E2B" w:rsidRDefault="00315E2B" w:rsidP="00315E2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65</w:t>
            </w:r>
          </w:p>
        </w:tc>
        <w:tc>
          <w:tcPr>
            <w:tcW w:w="1120" w:type="dxa"/>
            <w:tcBorders>
              <w:left w:val="none" w:sz="0" w:space="0" w:color="auto"/>
            </w:tcBorders>
            <w:noWrap/>
            <w:vAlign w:val="center"/>
          </w:tcPr>
          <w:p w14:paraId="72767DA0" w14:textId="26D1A967" w:rsidR="00315E2B" w:rsidRPr="00315E2B" w:rsidRDefault="00315E2B" w:rsidP="00315E2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15E2B">
              <w:rPr>
                <w:rFonts w:asciiTheme="minorHAnsi" w:hAnsiTheme="minorHAnsi" w:cstheme="minorHAnsi"/>
                <w:sz w:val="20"/>
                <w:szCs w:val="20"/>
              </w:rPr>
              <w:t>98.5%</w:t>
            </w:r>
          </w:p>
        </w:tc>
      </w:tr>
      <w:tr w:rsidR="00315E2B" w:rsidRPr="00C9152E" w14:paraId="1F378F11" w14:textId="77777777" w:rsidTr="00315E2B">
        <w:trPr>
          <w:cnfStyle w:val="000000010000" w:firstRow="0" w:lastRow="0" w:firstColumn="0" w:lastColumn="0" w:oddVBand="0" w:evenVBand="0" w:oddHBand="0" w:evenHBand="1"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0D4F295F" w14:textId="4D2A1C53"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If provider operates Enhanced Intensive Behavior group homes the Program or Clinical Services Director meets the qualifications of a Level 1 Behavior Analyst.</w:t>
            </w:r>
          </w:p>
        </w:tc>
        <w:tc>
          <w:tcPr>
            <w:tcW w:w="1120" w:type="dxa"/>
            <w:tcBorders>
              <w:left w:val="none" w:sz="0" w:space="0" w:color="auto"/>
              <w:right w:val="none" w:sz="0" w:space="0" w:color="auto"/>
            </w:tcBorders>
            <w:vAlign w:val="center"/>
          </w:tcPr>
          <w:p w14:paraId="30F2DF1B" w14:textId="47A0842A"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w:t>
            </w:r>
          </w:p>
        </w:tc>
        <w:tc>
          <w:tcPr>
            <w:tcW w:w="1120" w:type="dxa"/>
            <w:gridSpan w:val="2"/>
            <w:tcBorders>
              <w:left w:val="none" w:sz="0" w:space="0" w:color="auto"/>
              <w:right w:val="none" w:sz="0" w:space="0" w:color="auto"/>
            </w:tcBorders>
            <w:vAlign w:val="center"/>
          </w:tcPr>
          <w:p w14:paraId="7065CE1F" w14:textId="056B89D3"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0CA167C3" w14:textId="00F23E89"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2</w:t>
            </w:r>
          </w:p>
        </w:tc>
        <w:tc>
          <w:tcPr>
            <w:tcW w:w="1120" w:type="dxa"/>
            <w:tcBorders>
              <w:left w:val="none" w:sz="0" w:space="0" w:color="auto"/>
            </w:tcBorders>
            <w:noWrap/>
            <w:vAlign w:val="center"/>
          </w:tcPr>
          <w:p w14:paraId="271657EB" w14:textId="3B007549"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100.0%</w:t>
            </w:r>
          </w:p>
        </w:tc>
      </w:tr>
      <w:tr w:rsidR="00315E2B" w:rsidRPr="00C9152E" w14:paraId="5BFB2753" w14:textId="77777777" w:rsidTr="00315E2B">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31783799" w14:textId="69B4ACA0"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If provider operates Intensive Behavior group homes the Program or Clinical Services Director meets the qualifications of a Level 1 Behavior Analyst.</w:t>
            </w:r>
          </w:p>
        </w:tc>
        <w:tc>
          <w:tcPr>
            <w:tcW w:w="1120" w:type="dxa"/>
            <w:tcBorders>
              <w:left w:val="none" w:sz="0" w:space="0" w:color="auto"/>
              <w:right w:val="none" w:sz="0" w:space="0" w:color="auto"/>
            </w:tcBorders>
            <w:vAlign w:val="center"/>
          </w:tcPr>
          <w:p w14:paraId="6BF9B9CD" w14:textId="281FA159"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14</w:t>
            </w:r>
          </w:p>
        </w:tc>
        <w:tc>
          <w:tcPr>
            <w:tcW w:w="1120" w:type="dxa"/>
            <w:gridSpan w:val="2"/>
            <w:tcBorders>
              <w:left w:val="none" w:sz="0" w:space="0" w:color="auto"/>
              <w:right w:val="none" w:sz="0" w:space="0" w:color="auto"/>
            </w:tcBorders>
            <w:vAlign w:val="center"/>
          </w:tcPr>
          <w:p w14:paraId="6659E9C7" w14:textId="4DCE60A9"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EA3996">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226A5E52" w14:textId="716363FA"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17</w:t>
            </w:r>
          </w:p>
        </w:tc>
        <w:tc>
          <w:tcPr>
            <w:tcW w:w="1120" w:type="dxa"/>
            <w:tcBorders>
              <w:left w:val="none" w:sz="0" w:space="0" w:color="auto"/>
            </w:tcBorders>
            <w:noWrap/>
            <w:vAlign w:val="center"/>
          </w:tcPr>
          <w:p w14:paraId="65B14043" w14:textId="3BFC2712"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100.0%</w:t>
            </w:r>
          </w:p>
        </w:tc>
      </w:tr>
      <w:tr w:rsidR="00315E2B" w:rsidRPr="00C9152E" w14:paraId="36994B02" w14:textId="77777777" w:rsidTr="00315E2B">
        <w:trPr>
          <w:cnfStyle w:val="000000010000" w:firstRow="0" w:lastRow="0" w:firstColumn="0" w:lastColumn="0" w:oddVBand="0" w:evenVBand="0" w:oddHBand="0" w:evenHBand="1"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4D2084F3" w14:textId="11F05AE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addresses all incident reports.</w:t>
            </w:r>
          </w:p>
        </w:tc>
        <w:tc>
          <w:tcPr>
            <w:tcW w:w="1120" w:type="dxa"/>
            <w:tcBorders>
              <w:left w:val="none" w:sz="0" w:space="0" w:color="auto"/>
              <w:right w:val="none" w:sz="0" w:space="0" w:color="auto"/>
            </w:tcBorders>
            <w:vAlign w:val="center"/>
          </w:tcPr>
          <w:p w14:paraId="73994A65" w14:textId="401CFFE9"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242</w:t>
            </w:r>
          </w:p>
        </w:tc>
        <w:tc>
          <w:tcPr>
            <w:tcW w:w="1120" w:type="dxa"/>
            <w:gridSpan w:val="2"/>
            <w:tcBorders>
              <w:left w:val="none" w:sz="0" w:space="0" w:color="auto"/>
              <w:right w:val="none" w:sz="0" w:space="0" w:color="auto"/>
            </w:tcBorders>
            <w:vAlign w:val="center"/>
          </w:tcPr>
          <w:p w14:paraId="5AC80903" w14:textId="52E48BA8"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97.1%</w:t>
            </w:r>
          </w:p>
        </w:tc>
        <w:tc>
          <w:tcPr>
            <w:tcW w:w="1120" w:type="dxa"/>
            <w:tcBorders>
              <w:left w:val="none" w:sz="0" w:space="0" w:color="auto"/>
              <w:right w:val="none" w:sz="0" w:space="0" w:color="auto"/>
            </w:tcBorders>
            <w:noWrap/>
            <w:vAlign w:val="center"/>
          </w:tcPr>
          <w:p w14:paraId="470EAFE6" w14:textId="18EFFA2E"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304</w:t>
            </w:r>
          </w:p>
        </w:tc>
        <w:tc>
          <w:tcPr>
            <w:tcW w:w="1120" w:type="dxa"/>
            <w:tcBorders>
              <w:left w:val="none" w:sz="0" w:space="0" w:color="auto"/>
            </w:tcBorders>
            <w:noWrap/>
            <w:vAlign w:val="center"/>
          </w:tcPr>
          <w:p w14:paraId="197EF568" w14:textId="22D041CE"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97.7%</w:t>
            </w:r>
          </w:p>
        </w:tc>
      </w:tr>
      <w:tr w:rsidR="00315E2B" w:rsidRPr="000E2DA2" w14:paraId="083A6A3D" w14:textId="77777777" w:rsidTr="00315E2B">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31DF565B" w14:textId="7F216C5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identifies addresses and reports all medication errors.</w:t>
            </w:r>
          </w:p>
        </w:tc>
        <w:tc>
          <w:tcPr>
            <w:tcW w:w="1120" w:type="dxa"/>
            <w:tcBorders>
              <w:left w:val="none" w:sz="0" w:space="0" w:color="auto"/>
              <w:right w:val="none" w:sz="0" w:space="0" w:color="auto"/>
            </w:tcBorders>
            <w:vAlign w:val="center"/>
          </w:tcPr>
          <w:p w14:paraId="6000B799" w14:textId="41DF84E3"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39</w:t>
            </w:r>
          </w:p>
        </w:tc>
        <w:tc>
          <w:tcPr>
            <w:tcW w:w="1120" w:type="dxa"/>
            <w:gridSpan w:val="2"/>
            <w:tcBorders>
              <w:left w:val="none" w:sz="0" w:space="0" w:color="auto"/>
              <w:right w:val="none" w:sz="0" w:space="0" w:color="auto"/>
            </w:tcBorders>
            <w:vAlign w:val="center"/>
          </w:tcPr>
          <w:p w14:paraId="169060EB" w14:textId="07EB2A5A"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97.4%</w:t>
            </w:r>
          </w:p>
        </w:tc>
        <w:tc>
          <w:tcPr>
            <w:tcW w:w="1120" w:type="dxa"/>
            <w:tcBorders>
              <w:left w:val="none" w:sz="0" w:space="0" w:color="auto"/>
              <w:right w:val="none" w:sz="0" w:space="0" w:color="auto"/>
            </w:tcBorders>
            <w:noWrap/>
            <w:vAlign w:val="center"/>
          </w:tcPr>
          <w:p w14:paraId="3BE2E645" w14:textId="09E755E6"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33</w:t>
            </w:r>
          </w:p>
        </w:tc>
        <w:tc>
          <w:tcPr>
            <w:tcW w:w="1120" w:type="dxa"/>
            <w:tcBorders>
              <w:left w:val="none" w:sz="0" w:space="0" w:color="auto"/>
            </w:tcBorders>
            <w:noWrap/>
            <w:vAlign w:val="center"/>
          </w:tcPr>
          <w:p w14:paraId="0AA8C92D" w14:textId="747FDCE6"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100.0%</w:t>
            </w:r>
          </w:p>
        </w:tc>
      </w:tr>
      <w:tr w:rsidR="00315E2B" w:rsidRPr="00094EBF" w14:paraId="1414F8E8" w14:textId="77777777" w:rsidTr="00315E2B">
        <w:trPr>
          <w:cnfStyle w:val="000000010000" w:firstRow="0" w:lastRow="0" w:firstColumn="0" w:lastColumn="0" w:oddVBand="0" w:evenVBand="0" w:oddHBand="0" w:evenHBand="1"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440A640D" w14:textId="283A98EA"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identifies and addresses concerns related to abuse, neglect, and exploitation.</w:t>
            </w:r>
          </w:p>
        </w:tc>
        <w:tc>
          <w:tcPr>
            <w:tcW w:w="1120" w:type="dxa"/>
            <w:tcBorders>
              <w:left w:val="none" w:sz="0" w:space="0" w:color="auto"/>
              <w:right w:val="none" w:sz="0" w:space="0" w:color="auto"/>
            </w:tcBorders>
            <w:vAlign w:val="center"/>
          </w:tcPr>
          <w:p w14:paraId="5DAD21E9" w14:textId="5493FE28"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67</w:t>
            </w:r>
          </w:p>
        </w:tc>
        <w:tc>
          <w:tcPr>
            <w:tcW w:w="1120" w:type="dxa"/>
            <w:gridSpan w:val="2"/>
            <w:tcBorders>
              <w:left w:val="none" w:sz="0" w:space="0" w:color="auto"/>
              <w:right w:val="none" w:sz="0" w:space="0" w:color="auto"/>
            </w:tcBorders>
            <w:vAlign w:val="center"/>
          </w:tcPr>
          <w:p w14:paraId="55FAC3A8" w14:textId="6937BA21"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1030DFF9" w14:textId="06161B81"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69</w:t>
            </w:r>
          </w:p>
        </w:tc>
        <w:tc>
          <w:tcPr>
            <w:tcW w:w="1120" w:type="dxa"/>
            <w:tcBorders>
              <w:left w:val="none" w:sz="0" w:space="0" w:color="auto"/>
            </w:tcBorders>
            <w:noWrap/>
            <w:vAlign w:val="center"/>
          </w:tcPr>
          <w:p w14:paraId="3E0D0210" w14:textId="75C98FAE"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98.6%</w:t>
            </w:r>
          </w:p>
        </w:tc>
      </w:tr>
      <w:tr w:rsidR="00315E2B" w:rsidRPr="000E2DA2" w14:paraId="25AA9803" w14:textId="77777777" w:rsidTr="00315E2B">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039D8EA3" w14:textId="2130A22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an Employee/Contractor Roster within the Department of Children and Families/Agency for Persons with Disabilities Background Screening Clearinghouse.</w:t>
            </w:r>
          </w:p>
        </w:tc>
        <w:tc>
          <w:tcPr>
            <w:tcW w:w="1120" w:type="dxa"/>
            <w:tcBorders>
              <w:left w:val="none" w:sz="0" w:space="0" w:color="auto"/>
              <w:right w:val="none" w:sz="0" w:space="0" w:color="auto"/>
            </w:tcBorders>
            <w:vAlign w:val="center"/>
          </w:tcPr>
          <w:p w14:paraId="4E75B916" w14:textId="68B9D141"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534</w:t>
            </w:r>
          </w:p>
        </w:tc>
        <w:tc>
          <w:tcPr>
            <w:tcW w:w="1120" w:type="dxa"/>
            <w:gridSpan w:val="2"/>
            <w:tcBorders>
              <w:left w:val="none" w:sz="0" w:space="0" w:color="auto"/>
              <w:right w:val="none" w:sz="0" w:space="0" w:color="auto"/>
            </w:tcBorders>
            <w:vAlign w:val="center"/>
          </w:tcPr>
          <w:p w14:paraId="154A71D6" w14:textId="1470119B"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92.7</w:t>
            </w:r>
            <w:r w:rsidRPr="00EA3996">
              <w:rPr>
                <w:rFonts w:asciiTheme="minorHAnsi" w:hAnsiTheme="minorHAnsi" w:cstheme="minorHAnsi"/>
                <w:sz w:val="20"/>
                <w:szCs w:val="20"/>
              </w:rPr>
              <w:t>%</w:t>
            </w:r>
          </w:p>
        </w:tc>
        <w:tc>
          <w:tcPr>
            <w:tcW w:w="1120" w:type="dxa"/>
            <w:tcBorders>
              <w:left w:val="none" w:sz="0" w:space="0" w:color="auto"/>
              <w:right w:val="none" w:sz="0" w:space="0" w:color="auto"/>
            </w:tcBorders>
            <w:noWrap/>
            <w:vAlign w:val="center"/>
          </w:tcPr>
          <w:p w14:paraId="63FDE759" w14:textId="3D2362A4"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819</w:t>
            </w:r>
          </w:p>
        </w:tc>
        <w:tc>
          <w:tcPr>
            <w:tcW w:w="1120" w:type="dxa"/>
            <w:tcBorders>
              <w:left w:val="none" w:sz="0" w:space="0" w:color="auto"/>
            </w:tcBorders>
            <w:noWrap/>
            <w:vAlign w:val="center"/>
          </w:tcPr>
          <w:p w14:paraId="1EA11B8C" w14:textId="43BD88C7"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91.1%</w:t>
            </w:r>
          </w:p>
        </w:tc>
      </w:tr>
      <w:tr w:rsidR="00315E2B" w:rsidRPr="000E2DA2" w14:paraId="2DD85CA2" w14:textId="77777777" w:rsidTr="00315E2B">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1C966FE0" w14:textId="5A6DD33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detailing hours and days of operation and the notification process to be used if the provider is unable to provide services for a specific time and day scheduled.</w:t>
            </w:r>
          </w:p>
        </w:tc>
        <w:tc>
          <w:tcPr>
            <w:tcW w:w="1120" w:type="dxa"/>
            <w:tcBorders>
              <w:left w:val="none" w:sz="0" w:space="0" w:color="auto"/>
              <w:right w:val="none" w:sz="0" w:space="0" w:color="auto"/>
            </w:tcBorders>
            <w:vAlign w:val="center"/>
          </w:tcPr>
          <w:p w14:paraId="524EB479" w14:textId="760A377C"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306E6677" w14:textId="60155CC1"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93.5%</w:t>
            </w:r>
          </w:p>
        </w:tc>
        <w:tc>
          <w:tcPr>
            <w:tcW w:w="1120" w:type="dxa"/>
            <w:tcBorders>
              <w:left w:val="none" w:sz="0" w:space="0" w:color="auto"/>
              <w:right w:val="none" w:sz="0" w:space="0" w:color="auto"/>
            </w:tcBorders>
            <w:noWrap/>
            <w:vAlign w:val="center"/>
          </w:tcPr>
          <w:p w14:paraId="165DBB46" w14:textId="6272239E"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721</w:t>
            </w:r>
          </w:p>
        </w:tc>
        <w:tc>
          <w:tcPr>
            <w:tcW w:w="1120" w:type="dxa"/>
            <w:tcBorders>
              <w:left w:val="none" w:sz="0" w:space="0" w:color="auto"/>
            </w:tcBorders>
            <w:noWrap/>
            <w:vAlign w:val="center"/>
          </w:tcPr>
          <w:p w14:paraId="24E63051" w14:textId="152EDE68"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89.0%</w:t>
            </w:r>
          </w:p>
        </w:tc>
      </w:tr>
      <w:tr w:rsidR="00315E2B" w:rsidRPr="000E2DA2" w14:paraId="37125199" w14:textId="77777777" w:rsidTr="00315E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60667815" w14:textId="570EBADE"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detailing how the provider will ensure a smooth transition to and from another provider.</w:t>
            </w:r>
          </w:p>
        </w:tc>
        <w:tc>
          <w:tcPr>
            <w:tcW w:w="1120" w:type="dxa"/>
            <w:tcBorders>
              <w:left w:val="none" w:sz="0" w:space="0" w:color="auto"/>
              <w:right w:val="none" w:sz="0" w:space="0" w:color="auto"/>
            </w:tcBorders>
            <w:vAlign w:val="center"/>
          </w:tcPr>
          <w:p w14:paraId="5619B789" w14:textId="549AED0B"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33A2F0EA" w14:textId="5E72CDD7"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91.4%</w:t>
            </w:r>
          </w:p>
        </w:tc>
        <w:tc>
          <w:tcPr>
            <w:tcW w:w="1120" w:type="dxa"/>
            <w:tcBorders>
              <w:left w:val="none" w:sz="0" w:space="0" w:color="auto"/>
              <w:right w:val="none" w:sz="0" w:space="0" w:color="auto"/>
            </w:tcBorders>
            <w:noWrap/>
            <w:vAlign w:val="center"/>
          </w:tcPr>
          <w:p w14:paraId="0D011B4D" w14:textId="04AEEB1C"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721</w:t>
            </w:r>
          </w:p>
        </w:tc>
        <w:tc>
          <w:tcPr>
            <w:tcW w:w="1120" w:type="dxa"/>
            <w:tcBorders>
              <w:left w:val="none" w:sz="0" w:space="0" w:color="auto"/>
            </w:tcBorders>
            <w:noWrap/>
            <w:vAlign w:val="center"/>
          </w:tcPr>
          <w:p w14:paraId="7E8107B9" w14:textId="1847840A"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90.4%</w:t>
            </w:r>
          </w:p>
        </w:tc>
      </w:tr>
      <w:tr w:rsidR="00315E2B" w:rsidRPr="000E2DA2" w14:paraId="6FAECE7A" w14:textId="77777777" w:rsidTr="00315E2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54D12B21" w14:textId="0D192D89"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detailing how the provider will ensure compliance with background screening and five-year rescreening.</w:t>
            </w:r>
          </w:p>
        </w:tc>
        <w:tc>
          <w:tcPr>
            <w:tcW w:w="1120" w:type="dxa"/>
            <w:tcBorders>
              <w:left w:val="none" w:sz="0" w:space="0" w:color="auto"/>
              <w:right w:val="none" w:sz="0" w:space="0" w:color="auto"/>
            </w:tcBorders>
            <w:vAlign w:val="center"/>
          </w:tcPr>
          <w:p w14:paraId="777074F1" w14:textId="573882F0"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3043273B" w14:textId="00FCA1D3"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91.7%</w:t>
            </w:r>
          </w:p>
        </w:tc>
        <w:tc>
          <w:tcPr>
            <w:tcW w:w="1120" w:type="dxa"/>
            <w:tcBorders>
              <w:left w:val="none" w:sz="0" w:space="0" w:color="auto"/>
              <w:right w:val="none" w:sz="0" w:space="0" w:color="auto"/>
            </w:tcBorders>
            <w:noWrap/>
            <w:vAlign w:val="center"/>
          </w:tcPr>
          <w:p w14:paraId="1B44C8A5" w14:textId="6590F5E2"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721</w:t>
            </w:r>
          </w:p>
        </w:tc>
        <w:tc>
          <w:tcPr>
            <w:tcW w:w="1120" w:type="dxa"/>
            <w:tcBorders>
              <w:left w:val="none" w:sz="0" w:space="0" w:color="auto"/>
            </w:tcBorders>
            <w:noWrap/>
            <w:vAlign w:val="center"/>
          </w:tcPr>
          <w:p w14:paraId="38D21CFC" w14:textId="7A7D5647"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89.7%</w:t>
            </w:r>
          </w:p>
        </w:tc>
      </w:tr>
      <w:tr w:rsidR="00315E2B" w:rsidRPr="000E2DA2" w14:paraId="5AB8DC27" w14:textId="77777777" w:rsidTr="00315E2B">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203423D8" w14:textId="2EA8C8C9"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detailing how the provider will ensure the individuals' medications are administered and handled safely.</w:t>
            </w:r>
          </w:p>
        </w:tc>
        <w:tc>
          <w:tcPr>
            <w:tcW w:w="1120" w:type="dxa"/>
            <w:tcBorders>
              <w:left w:val="none" w:sz="0" w:space="0" w:color="auto"/>
              <w:right w:val="none" w:sz="0" w:space="0" w:color="auto"/>
            </w:tcBorders>
            <w:vAlign w:val="center"/>
          </w:tcPr>
          <w:p w14:paraId="0B4FE353" w14:textId="4F3D26D0"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320</w:t>
            </w:r>
          </w:p>
        </w:tc>
        <w:tc>
          <w:tcPr>
            <w:tcW w:w="1120" w:type="dxa"/>
            <w:gridSpan w:val="2"/>
            <w:tcBorders>
              <w:left w:val="none" w:sz="0" w:space="0" w:color="auto"/>
              <w:right w:val="none" w:sz="0" w:space="0" w:color="auto"/>
            </w:tcBorders>
            <w:vAlign w:val="center"/>
          </w:tcPr>
          <w:p w14:paraId="12D09011" w14:textId="713B00BF"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95.9%</w:t>
            </w:r>
          </w:p>
        </w:tc>
        <w:tc>
          <w:tcPr>
            <w:tcW w:w="1120" w:type="dxa"/>
            <w:tcBorders>
              <w:left w:val="none" w:sz="0" w:space="0" w:color="auto"/>
              <w:right w:val="none" w:sz="0" w:space="0" w:color="auto"/>
            </w:tcBorders>
            <w:noWrap/>
            <w:vAlign w:val="center"/>
          </w:tcPr>
          <w:p w14:paraId="66339665" w14:textId="53662ADE"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471</w:t>
            </w:r>
          </w:p>
        </w:tc>
        <w:tc>
          <w:tcPr>
            <w:tcW w:w="1120" w:type="dxa"/>
            <w:tcBorders>
              <w:left w:val="none" w:sz="0" w:space="0" w:color="auto"/>
            </w:tcBorders>
            <w:noWrap/>
            <w:vAlign w:val="center"/>
          </w:tcPr>
          <w:p w14:paraId="641D7FB3" w14:textId="150B64DD"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94.9%</w:t>
            </w:r>
          </w:p>
        </w:tc>
      </w:tr>
      <w:tr w:rsidR="00315E2B" w:rsidRPr="000E2DA2" w14:paraId="0F9EBC69" w14:textId="77777777" w:rsidTr="00315E2B">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00E2B41D" w14:textId="30FD90B1"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lastRenderedPageBreak/>
              <w:t>The provider maintains written policies and procedures detailing the process for addressing individual complaints and grievances regarding possible service delivery issues.</w:t>
            </w:r>
          </w:p>
        </w:tc>
        <w:tc>
          <w:tcPr>
            <w:tcW w:w="1120" w:type="dxa"/>
            <w:tcBorders>
              <w:left w:val="none" w:sz="0" w:space="0" w:color="auto"/>
              <w:right w:val="none" w:sz="0" w:space="0" w:color="auto"/>
            </w:tcBorders>
            <w:vAlign w:val="center"/>
          </w:tcPr>
          <w:p w14:paraId="14247E40" w14:textId="68658503"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570C1C31" w14:textId="3708101A"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98.1%</w:t>
            </w:r>
          </w:p>
        </w:tc>
        <w:tc>
          <w:tcPr>
            <w:tcW w:w="1120" w:type="dxa"/>
            <w:tcBorders>
              <w:left w:val="none" w:sz="0" w:space="0" w:color="auto"/>
              <w:right w:val="none" w:sz="0" w:space="0" w:color="auto"/>
            </w:tcBorders>
            <w:noWrap/>
            <w:vAlign w:val="center"/>
          </w:tcPr>
          <w:p w14:paraId="06A258F6" w14:textId="55F0351A"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315E2B">
              <w:rPr>
                <w:rFonts w:asciiTheme="minorHAnsi" w:hAnsiTheme="minorHAnsi" w:cstheme="minorHAnsi"/>
                <w:sz w:val="20"/>
                <w:szCs w:val="20"/>
              </w:rPr>
              <w:t>720</w:t>
            </w:r>
          </w:p>
        </w:tc>
        <w:tc>
          <w:tcPr>
            <w:tcW w:w="1120" w:type="dxa"/>
            <w:tcBorders>
              <w:left w:val="none" w:sz="0" w:space="0" w:color="auto"/>
            </w:tcBorders>
            <w:noWrap/>
            <w:vAlign w:val="center"/>
          </w:tcPr>
          <w:p w14:paraId="1D3B865F" w14:textId="48C03C80"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315E2B">
              <w:rPr>
                <w:rFonts w:asciiTheme="minorHAnsi" w:hAnsiTheme="minorHAnsi" w:cstheme="minorHAnsi"/>
                <w:sz w:val="20"/>
                <w:szCs w:val="20"/>
              </w:rPr>
              <w:t>98.1%</w:t>
            </w:r>
          </w:p>
        </w:tc>
      </w:tr>
      <w:tr w:rsidR="00315E2B" w:rsidRPr="000E2DA2" w14:paraId="7607C4A9" w14:textId="77777777" w:rsidTr="00315E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57AED013" w14:textId="582C4E39"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in compliance with 65G-8.003 (Reactive Strategy Policy and Procedures).</w:t>
            </w:r>
          </w:p>
        </w:tc>
        <w:tc>
          <w:tcPr>
            <w:tcW w:w="1120" w:type="dxa"/>
            <w:tcBorders>
              <w:left w:val="none" w:sz="0" w:space="0" w:color="auto"/>
              <w:right w:val="none" w:sz="0" w:space="0" w:color="auto"/>
            </w:tcBorders>
            <w:vAlign w:val="center"/>
          </w:tcPr>
          <w:p w14:paraId="68715120" w14:textId="4579AC5A"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110</w:t>
            </w:r>
          </w:p>
        </w:tc>
        <w:tc>
          <w:tcPr>
            <w:tcW w:w="1120" w:type="dxa"/>
            <w:gridSpan w:val="2"/>
            <w:tcBorders>
              <w:left w:val="none" w:sz="0" w:space="0" w:color="auto"/>
              <w:right w:val="none" w:sz="0" w:space="0" w:color="auto"/>
            </w:tcBorders>
            <w:vAlign w:val="center"/>
          </w:tcPr>
          <w:p w14:paraId="5E422BDD" w14:textId="70AC74CC"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96.4%</w:t>
            </w:r>
          </w:p>
        </w:tc>
        <w:tc>
          <w:tcPr>
            <w:tcW w:w="1120" w:type="dxa"/>
            <w:tcBorders>
              <w:left w:val="none" w:sz="0" w:space="0" w:color="auto"/>
              <w:right w:val="none" w:sz="0" w:space="0" w:color="auto"/>
            </w:tcBorders>
            <w:noWrap/>
            <w:vAlign w:val="center"/>
          </w:tcPr>
          <w:p w14:paraId="2B99A510" w14:textId="07AECDB1"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182</w:t>
            </w:r>
          </w:p>
        </w:tc>
        <w:tc>
          <w:tcPr>
            <w:tcW w:w="1120" w:type="dxa"/>
            <w:tcBorders>
              <w:left w:val="none" w:sz="0" w:space="0" w:color="auto"/>
            </w:tcBorders>
            <w:noWrap/>
            <w:vAlign w:val="center"/>
          </w:tcPr>
          <w:p w14:paraId="405E203E" w14:textId="55A5F4E0"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98.4%</w:t>
            </w:r>
          </w:p>
        </w:tc>
      </w:tr>
      <w:tr w:rsidR="00315E2B" w:rsidRPr="000E2DA2" w14:paraId="1C09548E" w14:textId="77777777" w:rsidTr="00315E2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231074F1" w14:textId="65D9E050"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with a detailed description of how the provider uses a person-centered approach to identify individually determined goals and promote choice.</w:t>
            </w:r>
          </w:p>
        </w:tc>
        <w:tc>
          <w:tcPr>
            <w:tcW w:w="1120" w:type="dxa"/>
            <w:tcBorders>
              <w:left w:val="none" w:sz="0" w:space="0" w:color="auto"/>
              <w:right w:val="none" w:sz="0" w:space="0" w:color="auto"/>
            </w:tcBorders>
            <w:vAlign w:val="center"/>
          </w:tcPr>
          <w:p w14:paraId="49630A9B" w14:textId="1627C50F"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779AB9F7" w14:textId="7855AF6C"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97.5%</w:t>
            </w:r>
          </w:p>
        </w:tc>
        <w:tc>
          <w:tcPr>
            <w:tcW w:w="1120" w:type="dxa"/>
            <w:tcBorders>
              <w:left w:val="none" w:sz="0" w:space="0" w:color="auto"/>
              <w:right w:val="none" w:sz="0" w:space="0" w:color="auto"/>
            </w:tcBorders>
            <w:noWrap/>
            <w:vAlign w:val="center"/>
          </w:tcPr>
          <w:p w14:paraId="05DD3AE3" w14:textId="301EF8D3"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718</w:t>
            </w:r>
          </w:p>
        </w:tc>
        <w:tc>
          <w:tcPr>
            <w:tcW w:w="1120" w:type="dxa"/>
            <w:tcBorders>
              <w:left w:val="none" w:sz="0" w:space="0" w:color="auto"/>
            </w:tcBorders>
            <w:noWrap/>
            <w:vAlign w:val="center"/>
          </w:tcPr>
          <w:p w14:paraId="1328B736" w14:textId="407D4F16"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96.8%</w:t>
            </w:r>
          </w:p>
        </w:tc>
      </w:tr>
      <w:tr w:rsidR="00315E2B" w:rsidRPr="000E2DA2" w14:paraId="46CB3E66" w14:textId="77777777" w:rsidTr="00315E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2CFD9F6F" w14:textId="6BD2ACAF"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with a detailed description of how the provider will protect health, safety, and wellbeing of the individuals served.</w:t>
            </w:r>
          </w:p>
        </w:tc>
        <w:tc>
          <w:tcPr>
            <w:tcW w:w="1120" w:type="dxa"/>
            <w:tcBorders>
              <w:left w:val="none" w:sz="0" w:space="0" w:color="auto"/>
              <w:right w:val="none" w:sz="0" w:space="0" w:color="auto"/>
            </w:tcBorders>
            <w:vAlign w:val="center"/>
          </w:tcPr>
          <w:p w14:paraId="18DA229E" w14:textId="4CDB8C5B"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036ED135" w14:textId="5502BEE6"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96.5%</w:t>
            </w:r>
          </w:p>
        </w:tc>
        <w:tc>
          <w:tcPr>
            <w:tcW w:w="1120" w:type="dxa"/>
            <w:tcBorders>
              <w:left w:val="none" w:sz="0" w:space="0" w:color="auto"/>
              <w:right w:val="none" w:sz="0" w:space="0" w:color="auto"/>
            </w:tcBorders>
            <w:noWrap/>
            <w:vAlign w:val="center"/>
          </w:tcPr>
          <w:p w14:paraId="4D5C8E82" w14:textId="6A444BCF"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721</w:t>
            </w:r>
          </w:p>
        </w:tc>
        <w:tc>
          <w:tcPr>
            <w:tcW w:w="1120" w:type="dxa"/>
            <w:tcBorders>
              <w:left w:val="none" w:sz="0" w:space="0" w:color="auto"/>
            </w:tcBorders>
            <w:noWrap/>
            <w:vAlign w:val="center"/>
          </w:tcPr>
          <w:p w14:paraId="72D3EA2A" w14:textId="523ABC13"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95.6%</w:t>
            </w:r>
          </w:p>
        </w:tc>
      </w:tr>
      <w:tr w:rsidR="00315E2B" w:rsidRPr="000E2DA2" w14:paraId="7F05BFF0" w14:textId="77777777" w:rsidTr="00315E2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7E25B3AE" w14:textId="37E0C60C" w:rsidR="00315E2B" w:rsidRPr="00EA3996" w:rsidRDefault="00315E2B" w:rsidP="00315E2B">
            <w:pPr>
              <w:spacing w:line="240" w:lineRule="auto"/>
              <w:rPr>
                <w:rFonts w:asciiTheme="minorHAnsi" w:hAnsiTheme="minorHAnsi" w:cstheme="minorHAnsi"/>
                <w:b w:val="0"/>
                <w:color w:val="000000"/>
                <w:sz w:val="20"/>
                <w:szCs w:val="20"/>
              </w:rPr>
            </w:pPr>
            <w:r w:rsidRPr="00EA3996">
              <w:rPr>
                <w:rFonts w:asciiTheme="minorHAnsi" w:hAnsiTheme="minorHAnsi" w:cstheme="minorHAnsi"/>
                <w:b w:val="0"/>
                <w:sz w:val="20"/>
                <w:szCs w:val="20"/>
              </w:rPr>
              <w:t>The provider maintains written policies and procedures, which detail methods for ensuring the person's confidentiality and maintaining and storing records in a secure manner.</w:t>
            </w:r>
          </w:p>
        </w:tc>
        <w:tc>
          <w:tcPr>
            <w:tcW w:w="1120" w:type="dxa"/>
            <w:tcBorders>
              <w:left w:val="none" w:sz="0" w:space="0" w:color="auto"/>
              <w:right w:val="none" w:sz="0" w:space="0" w:color="auto"/>
            </w:tcBorders>
            <w:vAlign w:val="center"/>
          </w:tcPr>
          <w:p w14:paraId="076B183E" w14:textId="2694C722"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432</w:t>
            </w:r>
          </w:p>
        </w:tc>
        <w:tc>
          <w:tcPr>
            <w:tcW w:w="1120" w:type="dxa"/>
            <w:gridSpan w:val="2"/>
            <w:tcBorders>
              <w:left w:val="none" w:sz="0" w:space="0" w:color="auto"/>
              <w:right w:val="none" w:sz="0" w:space="0" w:color="auto"/>
            </w:tcBorders>
            <w:vAlign w:val="center"/>
          </w:tcPr>
          <w:p w14:paraId="328DCA15" w14:textId="473D5933" w:rsidR="00315E2B" w:rsidRPr="00EA3996"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EA3996">
              <w:rPr>
                <w:rFonts w:asciiTheme="minorHAnsi" w:hAnsiTheme="minorHAnsi" w:cstheme="minorHAnsi"/>
                <w:sz w:val="20"/>
                <w:szCs w:val="20"/>
              </w:rPr>
              <w:t>79.9%</w:t>
            </w:r>
          </w:p>
        </w:tc>
        <w:tc>
          <w:tcPr>
            <w:tcW w:w="1120" w:type="dxa"/>
            <w:tcBorders>
              <w:left w:val="none" w:sz="0" w:space="0" w:color="auto"/>
              <w:right w:val="none" w:sz="0" w:space="0" w:color="auto"/>
            </w:tcBorders>
            <w:noWrap/>
            <w:vAlign w:val="center"/>
          </w:tcPr>
          <w:p w14:paraId="048E4D04" w14:textId="73FC1EA9"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721</w:t>
            </w:r>
          </w:p>
        </w:tc>
        <w:tc>
          <w:tcPr>
            <w:tcW w:w="1120" w:type="dxa"/>
            <w:tcBorders>
              <w:left w:val="none" w:sz="0" w:space="0" w:color="auto"/>
            </w:tcBorders>
            <w:noWrap/>
            <w:vAlign w:val="center"/>
          </w:tcPr>
          <w:p w14:paraId="622D4D92" w14:textId="3B1FCF7D" w:rsidR="00315E2B" w:rsidRPr="00315E2B" w:rsidRDefault="00315E2B" w:rsidP="00315E2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15E2B">
              <w:rPr>
                <w:rFonts w:asciiTheme="minorHAnsi" w:hAnsiTheme="minorHAnsi" w:cstheme="minorHAnsi"/>
                <w:sz w:val="20"/>
                <w:szCs w:val="20"/>
              </w:rPr>
              <w:t>75.5%</w:t>
            </w:r>
          </w:p>
        </w:tc>
      </w:tr>
      <w:tr w:rsidR="00315E2B" w:rsidRPr="000E2DA2" w14:paraId="641B1974" w14:textId="77777777" w:rsidTr="00315E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1AA15B97" w14:textId="41847993" w:rsidR="00315E2B" w:rsidRPr="00EA3996" w:rsidRDefault="00315E2B" w:rsidP="00315E2B">
            <w:pPr>
              <w:spacing w:line="240" w:lineRule="auto"/>
              <w:rPr>
                <w:rFonts w:asciiTheme="minorHAnsi" w:hAnsiTheme="minorHAnsi" w:cstheme="minorHAnsi"/>
                <w:b w:val="0"/>
                <w:sz w:val="20"/>
                <w:szCs w:val="20"/>
              </w:rPr>
            </w:pPr>
            <w:r w:rsidRPr="00EA3996">
              <w:rPr>
                <w:rFonts w:asciiTheme="minorHAnsi" w:hAnsiTheme="minorHAnsi" w:cstheme="minorHAnsi"/>
                <w:b w:val="0"/>
                <w:sz w:val="20"/>
                <w:szCs w:val="20"/>
              </w:rPr>
              <w:t>The provider maintains written policies and procedures, which detail the methods for management and accounting of any personal funds, of all individuals in the care of, or receiving services from, the provider.</w:t>
            </w:r>
          </w:p>
        </w:tc>
        <w:tc>
          <w:tcPr>
            <w:tcW w:w="1120" w:type="dxa"/>
            <w:tcBorders>
              <w:left w:val="none" w:sz="0" w:space="0" w:color="auto"/>
              <w:right w:val="none" w:sz="0" w:space="0" w:color="auto"/>
            </w:tcBorders>
            <w:vAlign w:val="center"/>
          </w:tcPr>
          <w:p w14:paraId="3B437E02" w14:textId="2B3A8648"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EA3996">
              <w:rPr>
                <w:rFonts w:asciiTheme="minorHAnsi" w:hAnsiTheme="minorHAnsi" w:cstheme="minorHAnsi"/>
                <w:sz w:val="20"/>
                <w:szCs w:val="20"/>
              </w:rPr>
              <w:t>331</w:t>
            </w:r>
          </w:p>
        </w:tc>
        <w:tc>
          <w:tcPr>
            <w:tcW w:w="1120" w:type="dxa"/>
            <w:gridSpan w:val="2"/>
            <w:tcBorders>
              <w:left w:val="none" w:sz="0" w:space="0" w:color="auto"/>
              <w:right w:val="none" w:sz="0" w:space="0" w:color="auto"/>
            </w:tcBorders>
            <w:vAlign w:val="center"/>
          </w:tcPr>
          <w:p w14:paraId="2745D783" w14:textId="6670FB71" w:rsidR="00315E2B" w:rsidRPr="00EA3996"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EA3996">
              <w:rPr>
                <w:rFonts w:asciiTheme="minorHAnsi" w:hAnsiTheme="minorHAnsi" w:cstheme="minorHAnsi"/>
                <w:sz w:val="20"/>
                <w:szCs w:val="20"/>
              </w:rPr>
              <w:t>97.6%</w:t>
            </w:r>
          </w:p>
        </w:tc>
        <w:tc>
          <w:tcPr>
            <w:tcW w:w="1120" w:type="dxa"/>
            <w:tcBorders>
              <w:left w:val="none" w:sz="0" w:space="0" w:color="auto"/>
              <w:right w:val="none" w:sz="0" w:space="0" w:color="auto"/>
            </w:tcBorders>
            <w:noWrap/>
            <w:vAlign w:val="center"/>
          </w:tcPr>
          <w:p w14:paraId="3D698CB0" w14:textId="7CEA82E5"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534</w:t>
            </w:r>
          </w:p>
        </w:tc>
        <w:tc>
          <w:tcPr>
            <w:tcW w:w="1120" w:type="dxa"/>
            <w:tcBorders>
              <w:left w:val="none" w:sz="0" w:space="0" w:color="auto"/>
            </w:tcBorders>
            <w:noWrap/>
            <w:vAlign w:val="center"/>
          </w:tcPr>
          <w:p w14:paraId="15471C73" w14:textId="34F698D1" w:rsidR="00315E2B" w:rsidRPr="00315E2B" w:rsidRDefault="00315E2B" w:rsidP="00315E2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15E2B">
              <w:rPr>
                <w:rFonts w:asciiTheme="minorHAnsi" w:hAnsiTheme="minorHAnsi" w:cstheme="minorHAnsi"/>
                <w:sz w:val="20"/>
                <w:szCs w:val="20"/>
              </w:rPr>
              <w:t>95.1%</w:t>
            </w:r>
          </w:p>
        </w:tc>
      </w:tr>
      <w:tr w:rsidR="00315E2B" w:rsidRPr="00057DC1" w14:paraId="66BCCE16" w14:textId="77777777" w:rsidTr="00315E2B">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7EAC6163" w14:textId="0FE084A1" w:rsidR="00315E2B" w:rsidRPr="00457ECB" w:rsidRDefault="00315E2B" w:rsidP="00315E2B">
            <w:pPr>
              <w:spacing w:line="240" w:lineRule="auto"/>
              <w:rPr>
                <w:rFonts w:asciiTheme="minorHAnsi" w:hAnsiTheme="minorHAnsi"/>
                <w:color w:val="000000"/>
                <w:sz w:val="22"/>
                <w:szCs w:val="20"/>
              </w:rPr>
            </w:pPr>
            <w:r w:rsidRPr="00457ECB">
              <w:rPr>
                <w:rFonts w:asciiTheme="minorHAnsi" w:hAnsiTheme="minorHAnsi"/>
                <w:color w:val="000000"/>
                <w:sz w:val="22"/>
                <w:szCs w:val="20"/>
              </w:rPr>
              <w:t>Average Policies and Procedures</w:t>
            </w:r>
            <w:r>
              <w:rPr>
                <w:rFonts w:asciiTheme="minorHAnsi" w:hAnsiTheme="minorHAnsi"/>
                <w:color w:val="000000"/>
                <w:sz w:val="22"/>
                <w:szCs w:val="20"/>
              </w:rPr>
              <w:t xml:space="preserve"> </w:t>
            </w:r>
          </w:p>
        </w:tc>
        <w:tc>
          <w:tcPr>
            <w:tcW w:w="1120" w:type="dxa"/>
            <w:tcBorders>
              <w:left w:val="none" w:sz="0" w:space="0" w:color="auto"/>
              <w:right w:val="none" w:sz="0" w:space="0" w:color="auto"/>
            </w:tcBorders>
            <w:vAlign w:val="center"/>
          </w:tcPr>
          <w:p w14:paraId="36210289" w14:textId="65F05E9C" w:rsidR="00315E2B" w:rsidRPr="00457EC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Pr>
                <w:rFonts w:asciiTheme="minorHAnsi" w:hAnsiTheme="minorHAnsi" w:cstheme="minorHAnsi"/>
                <w:b/>
                <w:color w:val="000000"/>
                <w:sz w:val="22"/>
                <w:szCs w:val="20"/>
              </w:rPr>
              <w:t>5,084</w:t>
            </w:r>
          </w:p>
        </w:tc>
        <w:tc>
          <w:tcPr>
            <w:tcW w:w="1120" w:type="dxa"/>
            <w:gridSpan w:val="2"/>
            <w:tcBorders>
              <w:left w:val="none" w:sz="0" w:space="0" w:color="auto"/>
              <w:right w:val="none" w:sz="0" w:space="0" w:color="auto"/>
            </w:tcBorders>
            <w:vAlign w:val="center"/>
          </w:tcPr>
          <w:p w14:paraId="2B6B0714" w14:textId="544CCEA4" w:rsidR="00315E2B" w:rsidRPr="00457EC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Pr>
                <w:rFonts w:asciiTheme="minorHAnsi" w:hAnsiTheme="minorHAnsi" w:cstheme="minorHAnsi"/>
                <w:b/>
                <w:sz w:val="22"/>
                <w:szCs w:val="20"/>
              </w:rPr>
              <w:t>94.1</w:t>
            </w:r>
            <w:r w:rsidRPr="00457ECB">
              <w:rPr>
                <w:rFonts w:asciiTheme="minorHAnsi" w:hAnsiTheme="minorHAnsi" w:cstheme="minorHAnsi"/>
                <w:b/>
                <w:sz w:val="22"/>
                <w:szCs w:val="20"/>
              </w:rPr>
              <w:t>%</w:t>
            </w:r>
          </w:p>
        </w:tc>
        <w:tc>
          <w:tcPr>
            <w:tcW w:w="1120" w:type="dxa"/>
            <w:tcBorders>
              <w:left w:val="none" w:sz="0" w:space="0" w:color="auto"/>
              <w:right w:val="none" w:sz="0" w:space="0" w:color="auto"/>
            </w:tcBorders>
            <w:noWrap/>
            <w:vAlign w:val="center"/>
          </w:tcPr>
          <w:p w14:paraId="43FB64C7" w14:textId="76BDB029" w:rsidR="00315E2B" w:rsidRPr="00315E2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0"/>
                <w:szCs w:val="20"/>
              </w:rPr>
            </w:pPr>
            <w:r w:rsidRPr="00315E2B">
              <w:rPr>
                <w:rFonts w:asciiTheme="minorHAnsi" w:hAnsiTheme="minorHAnsi" w:cstheme="minorHAnsi"/>
                <w:b/>
                <w:color w:val="000000"/>
                <w:sz w:val="20"/>
                <w:szCs w:val="20"/>
              </w:rPr>
              <w:t>8,067</w:t>
            </w:r>
          </w:p>
        </w:tc>
        <w:tc>
          <w:tcPr>
            <w:tcW w:w="1120" w:type="dxa"/>
            <w:tcBorders>
              <w:left w:val="none" w:sz="0" w:space="0" w:color="auto"/>
            </w:tcBorders>
            <w:noWrap/>
            <w:vAlign w:val="center"/>
          </w:tcPr>
          <w:p w14:paraId="1E561052" w14:textId="7B0104F3" w:rsidR="00315E2B" w:rsidRPr="00315E2B" w:rsidRDefault="00315E2B" w:rsidP="00315E2B">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0"/>
                <w:szCs w:val="20"/>
              </w:rPr>
            </w:pPr>
            <w:r w:rsidRPr="00315E2B">
              <w:rPr>
                <w:rFonts w:asciiTheme="minorHAnsi" w:hAnsiTheme="minorHAnsi" w:cstheme="minorHAnsi"/>
                <w:b/>
                <w:color w:val="000000"/>
                <w:sz w:val="20"/>
                <w:szCs w:val="20"/>
              </w:rPr>
              <w:t>92.3%</w:t>
            </w:r>
          </w:p>
        </w:tc>
      </w:tr>
    </w:tbl>
    <w:p w14:paraId="53D2C4DB" w14:textId="153C402A" w:rsidR="00642A89" w:rsidRDefault="00642A89" w:rsidP="00F34C75"/>
    <w:tbl>
      <w:tblPr>
        <w:tblStyle w:val="MediumShading1-Accent5"/>
        <w:tblW w:w="0" w:type="auto"/>
        <w:tblLayout w:type="fixed"/>
        <w:tblLook w:val="04A0" w:firstRow="1" w:lastRow="0" w:firstColumn="1" w:lastColumn="0" w:noHBand="0" w:noVBand="1"/>
      </w:tblPr>
      <w:tblGrid>
        <w:gridCol w:w="4850"/>
        <w:gridCol w:w="1120"/>
        <w:gridCol w:w="783"/>
        <w:gridCol w:w="337"/>
        <w:gridCol w:w="1120"/>
        <w:gridCol w:w="1120"/>
      </w:tblGrid>
      <w:tr w:rsidR="00E97DD3" w:rsidRPr="000E2DA2" w14:paraId="2D80C564" w14:textId="77777777" w:rsidTr="00385367">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30" w:type="dxa"/>
            <w:gridSpan w:val="6"/>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3FB8BEE9" w14:textId="2F979405" w:rsidR="00E97DD3" w:rsidRPr="002612F9" w:rsidRDefault="00E97DD3" w:rsidP="00A31325">
            <w:pPr>
              <w:spacing w:line="240" w:lineRule="auto"/>
              <w:jc w:val="center"/>
              <w:rPr>
                <w:rFonts w:ascii="Franklin Gothic Medium" w:eastAsia="Times New Roman" w:hAnsi="Franklin Gothic Medium" w:cs="Times New Roman"/>
                <w:b w:val="0"/>
                <w:sz w:val="22"/>
                <w:szCs w:val="24"/>
              </w:rPr>
            </w:pPr>
            <w:r w:rsidRPr="002612F9">
              <w:rPr>
                <w:rFonts w:ascii="Franklin Gothic Medium" w:eastAsia="Times New Roman" w:hAnsi="Franklin Gothic Medium" w:cs="Times New Roman"/>
                <w:b w:val="0"/>
                <w:sz w:val="22"/>
                <w:szCs w:val="24"/>
              </w:rPr>
              <w:t xml:space="preserve">Table </w:t>
            </w:r>
            <w:r w:rsidR="00A31325">
              <w:rPr>
                <w:rFonts w:ascii="Franklin Gothic Medium" w:eastAsia="Times New Roman" w:hAnsi="Franklin Gothic Medium" w:cs="Times New Roman"/>
                <w:b w:val="0"/>
                <w:sz w:val="22"/>
                <w:szCs w:val="24"/>
              </w:rPr>
              <w:t>15</w:t>
            </w:r>
            <w:r>
              <w:rPr>
                <w:rFonts w:ascii="Franklin Gothic Medium" w:eastAsia="Times New Roman" w:hAnsi="Franklin Gothic Medium" w:cs="Times New Roman"/>
                <w:b w:val="0"/>
                <w:sz w:val="22"/>
                <w:szCs w:val="24"/>
              </w:rPr>
              <w:t xml:space="preserve">. </w:t>
            </w:r>
            <w:r w:rsidRPr="002612F9">
              <w:rPr>
                <w:rFonts w:ascii="Franklin Gothic Medium" w:eastAsia="Times New Roman" w:hAnsi="Franklin Gothic Medium" w:cs="Times New Roman"/>
                <w:b w:val="0"/>
                <w:sz w:val="22"/>
                <w:szCs w:val="24"/>
              </w:rPr>
              <w:t xml:space="preserve">  PDR Policies and Procedures Results by Standard </w:t>
            </w:r>
            <w:r w:rsidR="003F6E5E">
              <w:rPr>
                <w:rFonts w:ascii="Franklin Gothic Medium" w:eastAsia="Times New Roman" w:hAnsi="Franklin Gothic Medium" w:cs="Times New Roman"/>
                <w:b w:val="0"/>
                <w:sz w:val="22"/>
                <w:szCs w:val="24"/>
              </w:rPr>
              <w:t xml:space="preserve"> (</w:t>
            </w:r>
            <w:r w:rsidR="003F6E5E" w:rsidRPr="00DF7BBC">
              <w:rPr>
                <w:rFonts w:ascii="Franklin Gothic Medium" w:eastAsia="Times New Roman" w:hAnsi="Franklin Gothic Medium" w:cs="Times New Roman"/>
                <w:sz w:val="22"/>
                <w:szCs w:val="24"/>
              </w:rPr>
              <w:t>WSCs</w:t>
            </w:r>
            <w:r w:rsidR="003F6E5E">
              <w:rPr>
                <w:rFonts w:ascii="Franklin Gothic Medium" w:eastAsia="Times New Roman" w:hAnsi="Franklin Gothic Medium" w:cs="Times New Roman"/>
                <w:b w:val="0"/>
                <w:sz w:val="22"/>
                <w:szCs w:val="24"/>
              </w:rPr>
              <w:t>)</w:t>
            </w:r>
          </w:p>
        </w:tc>
      </w:tr>
      <w:tr w:rsidR="00E97DD3" w:rsidRPr="00CF0177" w14:paraId="7DD335CE" w14:textId="77777777" w:rsidTr="003F6E5E">
        <w:trPr>
          <w:cnfStyle w:val="100000000000" w:firstRow="1" w:lastRow="0" w:firstColumn="0" w:lastColumn="0" w:oddVBand="0" w:evenVBand="0" w:oddHBand="0" w:evenHBand="0" w:firstRowFirstColumn="0" w:firstRowLastColumn="0" w:lastRowFirstColumn="0" w:lastRowLastColumn="0"/>
          <w:trHeight w:val="286"/>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tcPr>
          <w:p w14:paraId="2BD0C23C" w14:textId="77777777" w:rsidR="00E97DD3" w:rsidRPr="00B50178" w:rsidRDefault="00E97DD3" w:rsidP="00385367">
            <w:pPr>
              <w:spacing w:line="240" w:lineRule="auto"/>
              <w:rPr>
                <w:rFonts w:ascii="Franklin Gothic Medium" w:eastAsia="Times New Roman" w:hAnsi="Franklin Gothic Medium" w:cs="Times New Roman"/>
                <w:b w:val="0"/>
                <w:sz w:val="20"/>
                <w:szCs w:val="20"/>
              </w:rPr>
            </w:pPr>
          </w:p>
        </w:tc>
        <w:tc>
          <w:tcPr>
            <w:tcW w:w="1903"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02B84CD8" w14:textId="73D6E9B1" w:rsidR="00E97DD3" w:rsidRPr="00B50178" w:rsidRDefault="00E97DD3" w:rsidP="003F6E5E">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Pr>
                <w:rFonts w:ascii="Franklin Gothic Medium" w:eastAsia="Times New Roman" w:hAnsi="Franklin Gothic Medium" w:cs="Times New Roman"/>
                <w:b w:val="0"/>
                <w:sz w:val="20"/>
                <w:szCs w:val="20"/>
              </w:rPr>
              <w:t>Y3Q4 (171)</w:t>
            </w:r>
          </w:p>
        </w:tc>
        <w:tc>
          <w:tcPr>
            <w:tcW w:w="2577" w:type="dxa"/>
            <w:gridSpan w:val="3"/>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12D483DB" w14:textId="4BF8D017" w:rsidR="00E97DD3" w:rsidRPr="00B50178" w:rsidRDefault="0034718C" w:rsidP="0034718C">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Pr>
                <w:rFonts w:ascii="Franklin Gothic Medium" w:eastAsia="Times New Roman" w:hAnsi="Franklin Gothic Medium" w:cs="Times New Roman"/>
                <w:b w:val="0"/>
                <w:sz w:val="20"/>
                <w:szCs w:val="20"/>
              </w:rPr>
              <w:t xml:space="preserve">4Q1-2 </w:t>
            </w:r>
            <w:r w:rsidR="00E97DD3">
              <w:rPr>
                <w:rFonts w:ascii="Franklin Gothic Medium" w:eastAsia="Times New Roman" w:hAnsi="Franklin Gothic Medium" w:cs="Times New Roman"/>
                <w:b w:val="0"/>
                <w:sz w:val="20"/>
                <w:szCs w:val="20"/>
              </w:rPr>
              <w:t>(</w:t>
            </w:r>
            <w:r w:rsidR="00DE6354">
              <w:rPr>
                <w:rFonts w:ascii="Franklin Gothic Medium" w:eastAsia="Times New Roman" w:hAnsi="Franklin Gothic Medium" w:cs="Times New Roman"/>
                <w:b w:val="0"/>
                <w:sz w:val="20"/>
                <w:szCs w:val="20"/>
              </w:rPr>
              <w:t>250</w:t>
            </w:r>
            <w:r w:rsidR="00E97DD3">
              <w:rPr>
                <w:rFonts w:ascii="Franklin Gothic Medium" w:eastAsia="Times New Roman" w:hAnsi="Franklin Gothic Medium" w:cs="Times New Roman"/>
                <w:b w:val="0"/>
                <w:sz w:val="20"/>
                <w:szCs w:val="20"/>
              </w:rPr>
              <w:t>)</w:t>
            </w:r>
          </w:p>
        </w:tc>
      </w:tr>
      <w:tr w:rsidR="00E97DD3" w:rsidRPr="00CF0177" w14:paraId="389648D9" w14:textId="77777777" w:rsidTr="00385367">
        <w:trPr>
          <w:cnfStyle w:val="100000000000" w:firstRow="1" w:lastRow="0" w:firstColumn="0" w:lastColumn="0" w:oddVBand="0" w:evenVBand="0" w:oddHBand="0" w:evenHBand="0" w:firstRowFirstColumn="0" w:firstRowLastColumn="0" w:lastRowFirstColumn="0" w:lastRowLastColumn="0"/>
          <w:trHeight w:val="4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2AC42A74" w14:textId="77777777" w:rsidR="00E97DD3" w:rsidRPr="00B50178" w:rsidRDefault="00E97DD3" w:rsidP="00385367">
            <w:pPr>
              <w:spacing w:line="240" w:lineRule="auto"/>
              <w:jc w:val="center"/>
              <w:rPr>
                <w:rFonts w:ascii="Franklin Gothic Medium" w:eastAsia="Times New Roman" w:hAnsi="Franklin Gothic Medium" w:cs="Times New Roman"/>
                <w:bCs w:val="0"/>
                <w:sz w:val="20"/>
                <w:szCs w:val="20"/>
              </w:rPr>
            </w:pPr>
            <w:r w:rsidRPr="00B50178">
              <w:rPr>
                <w:rFonts w:ascii="Franklin Gothic Medium" w:eastAsia="Times New Roman" w:hAnsi="Franklin Gothic Medium" w:cs="Times New Roman"/>
                <w:b w:val="0"/>
                <w:sz w:val="20"/>
                <w:szCs w:val="20"/>
              </w:rPr>
              <w:t>P&amp;P Standard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429D7F7A"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Standards Reviewed</w:t>
            </w:r>
          </w:p>
        </w:tc>
        <w:tc>
          <w:tcPr>
            <w:tcW w:w="1120"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2F305545"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 xml:space="preserve">% </w:t>
            </w:r>
          </w:p>
          <w:p w14:paraId="6C440BC2"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B50178">
              <w:rPr>
                <w:rFonts w:ascii="Franklin Gothic Medium" w:eastAsia="Times New Roman" w:hAnsi="Franklin Gothic Medium" w:cs="Times New Roman"/>
                <w:b w:val="0"/>
                <w:sz w:val="20"/>
                <w:szCs w:val="20"/>
              </w:rPr>
              <w:t>Met</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09840D90"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B50178">
              <w:rPr>
                <w:rFonts w:asciiTheme="minorHAnsi" w:eastAsia="Times New Roman" w:hAnsiTheme="minorHAnsi" w:cstheme="minorHAnsi"/>
                <w:b w:val="0"/>
                <w:sz w:val="20"/>
                <w:szCs w:val="20"/>
              </w:rPr>
              <w:t>Standards Reviewed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2A08F8FF"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B50178">
              <w:rPr>
                <w:rFonts w:asciiTheme="minorHAnsi" w:eastAsia="Times New Roman" w:hAnsiTheme="minorHAnsi" w:cstheme="minorHAnsi"/>
                <w:b w:val="0"/>
                <w:sz w:val="20"/>
                <w:szCs w:val="20"/>
              </w:rPr>
              <w:t xml:space="preserve">% </w:t>
            </w:r>
          </w:p>
          <w:p w14:paraId="35452481" w14:textId="77777777" w:rsidR="00E97DD3" w:rsidRPr="00B50178" w:rsidRDefault="00E97DD3" w:rsidP="0038536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B50178">
              <w:rPr>
                <w:rFonts w:asciiTheme="minorHAnsi" w:eastAsia="Times New Roman" w:hAnsiTheme="minorHAnsi" w:cstheme="minorHAnsi"/>
                <w:b w:val="0"/>
                <w:sz w:val="20"/>
                <w:szCs w:val="20"/>
              </w:rPr>
              <w:t>Met</w:t>
            </w:r>
          </w:p>
        </w:tc>
      </w:tr>
      <w:tr w:rsidR="003F6E5E" w:rsidRPr="00C9152E" w14:paraId="5027A8C4" w14:textId="77777777" w:rsidTr="003F6E5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78757A74" w14:textId="1C1EB5D0" w:rsidR="003F6E5E" w:rsidRPr="00752E7E" w:rsidRDefault="003F6E5E" w:rsidP="003F6E5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Agency vehicles used for transportation are properly insured.</w:t>
            </w:r>
          </w:p>
        </w:tc>
        <w:tc>
          <w:tcPr>
            <w:tcW w:w="1120" w:type="dxa"/>
            <w:tcBorders>
              <w:left w:val="none" w:sz="0" w:space="0" w:color="auto"/>
              <w:right w:val="none" w:sz="0" w:space="0" w:color="auto"/>
            </w:tcBorders>
            <w:vAlign w:val="center"/>
          </w:tcPr>
          <w:p w14:paraId="4DE7BB3C" w14:textId="5FB525D6" w:rsidR="003F6E5E" w:rsidRPr="00752E7E" w:rsidRDefault="003F6E5E" w:rsidP="003F6E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Pr>
                <w:rFonts w:asciiTheme="minorHAnsi" w:hAnsiTheme="minorHAnsi" w:cstheme="minorHAnsi"/>
                <w:sz w:val="20"/>
                <w:szCs w:val="20"/>
              </w:rPr>
              <w:t>NA</w:t>
            </w:r>
          </w:p>
        </w:tc>
        <w:tc>
          <w:tcPr>
            <w:tcW w:w="1120" w:type="dxa"/>
            <w:gridSpan w:val="2"/>
            <w:tcBorders>
              <w:left w:val="none" w:sz="0" w:space="0" w:color="auto"/>
              <w:right w:val="none" w:sz="0" w:space="0" w:color="auto"/>
            </w:tcBorders>
            <w:vAlign w:val="center"/>
          </w:tcPr>
          <w:p w14:paraId="4E06D9D1" w14:textId="79A16EC9" w:rsidR="003F6E5E" w:rsidRPr="003F6E5E" w:rsidRDefault="003F6E5E" w:rsidP="003F6E5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c>
          <w:tcPr>
            <w:tcW w:w="1120" w:type="dxa"/>
            <w:tcBorders>
              <w:left w:val="none" w:sz="0" w:space="0" w:color="auto"/>
              <w:right w:val="none" w:sz="0" w:space="0" w:color="auto"/>
            </w:tcBorders>
            <w:noWrap/>
            <w:vAlign w:val="center"/>
          </w:tcPr>
          <w:p w14:paraId="77DF0BC7" w14:textId="1E91716D" w:rsidR="003F6E5E" w:rsidRPr="003F6E5E" w:rsidRDefault="003F6E5E" w:rsidP="003F6E5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c>
          <w:tcPr>
            <w:tcW w:w="1120" w:type="dxa"/>
            <w:tcBorders>
              <w:left w:val="none" w:sz="0" w:space="0" w:color="auto"/>
            </w:tcBorders>
            <w:noWrap/>
            <w:vAlign w:val="center"/>
          </w:tcPr>
          <w:p w14:paraId="42D3BDDD" w14:textId="773C9E48" w:rsidR="003F6E5E" w:rsidRPr="003F6E5E" w:rsidRDefault="003F6E5E" w:rsidP="003F6E5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r>
      <w:tr w:rsidR="003F6E5E" w:rsidRPr="00C9152E" w14:paraId="728333FE" w14:textId="77777777" w:rsidTr="003F6E5E">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1C824D1C" w14:textId="5C6E4722" w:rsidR="003F6E5E" w:rsidRPr="00752E7E" w:rsidRDefault="003F6E5E" w:rsidP="003F6E5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Agency vehicles used for transportation are properly registered.</w:t>
            </w:r>
          </w:p>
        </w:tc>
        <w:tc>
          <w:tcPr>
            <w:tcW w:w="1120" w:type="dxa"/>
            <w:tcBorders>
              <w:left w:val="none" w:sz="0" w:space="0" w:color="auto"/>
              <w:right w:val="none" w:sz="0" w:space="0" w:color="auto"/>
            </w:tcBorders>
            <w:vAlign w:val="center"/>
          </w:tcPr>
          <w:p w14:paraId="4DD4DFD9" w14:textId="4A8BF992" w:rsidR="003F6E5E" w:rsidRPr="00752E7E" w:rsidRDefault="003F6E5E" w:rsidP="003F6E5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Pr>
                <w:rFonts w:asciiTheme="minorHAnsi" w:hAnsiTheme="minorHAnsi" w:cstheme="minorHAnsi"/>
                <w:sz w:val="20"/>
                <w:szCs w:val="20"/>
              </w:rPr>
              <w:t>NA</w:t>
            </w:r>
          </w:p>
        </w:tc>
        <w:tc>
          <w:tcPr>
            <w:tcW w:w="1120" w:type="dxa"/>
            <w:gridSpan w:val="2"/>
            <w:tcBorders>
              <w:left w:val="none" w:sz="0" w:space="0" w:color="auto"/>
              <w:right w:val="none" w:sz="0" w:space="0" w:color="auto"/>
            </w:tcBorders>
            <w:vAlign w:val="center"/>
          </w:tcPr>
          <w:p w14:paraId="7A9C55E7" w14:textId="4124099C" w:rsidR="003F6E5E" w:rsidRPr="003F6E5E" w:rsidRDefault="003F6E5E" w:rsidP="003F6E5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c>
          <w:tcPr>
            <w:tcW w:w="1120" w:type="dxa"/>
            <w:tcBorders>
              <w:left w:val="none" w:sz="0" w:space="0" w:color="auto"/>
              <w:right w:val="none" w:sz="0" w:space="0" w:color="auto"/>
            </w:tcBorders>
            <w:noWrap/>
            <w:vAlign w:val="center"/>
          </w:tcPr>
          <w:p w14:paraId="5A988976" w14:textId="4CB92E93" w:rsidR="003F6E5E" w:rsidRPr="003F6E5E" w:rsidRDefault="003F6E5E" w:rsidP="003F6E5E">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c>
          <w:tcPr>
            <w:tcW w:w="1120" w:type="dxa"/>
            <w:tcBorders>
              <w:left w:val="none" w:sz="0" w:space="0" w:color="auto"/>
            </w:tcBorders>
            <w:noWrap/>
            <w:vAlign w:val="center"/>
          </w:tcPr>
          <w:p w14:paraId="28DE482A" w14:textId="6B912B09" w:rsidR="003F6E5E" w:rsidRPr="003F6E5E" w:rsidRDefault="003F6E5E" w:rsidP="003F6E5E">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3F6E5E">
              <w:rPr>
                <w:rFonts w:asciiTheme="minorHAnsi" w:hAnsiTheme="minorHAnsi" w:cstheme="minorHAnsi"/>
                <w:sz w:val="20"/>
                <w:szCs w:val="20"/>
              </w:rPr>
              <w:t>NA</w:t>
            </w:r>
          </w:p>
        </w:tc>
      </w:tr>
      <w:tr w:rsidR="00752E7E" w:rsidRPr="00C9152E" w14:paraId="79C0434F" w14:textId="77777777" w:rsidTr="00752E7E">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2E6E9514" w14:textId="1393727B" w:rsidR="00752E7E" w:rsidRPr="00752E7E" w:rsidRDefault="00752E7E" w:rsidP="00752E7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All instances of abuse, neglect, and exploitation are reported.</w:t>
            </w:r>
          </w:p>
        </w:tc>
        <w:tc>
          <w:tcPr>
            <w:tcW w:w="1120" w:type="dxa"/>
            <w:tcBorders>
              <w:left w:val="none" w:sz="0" w:space="0" w:color="auto"/>
              <w:right w:val="none" w:sz="0" w:space="0" w:color="auto"/>
            </w:tcBorders>
            <w:vAlign w:val="center"/>
          </w:tcPr>
          <w:p w14:paraId="6359F934" w14:textId="5CBE8E2B" w:rsidR="00752E7E" w:rsidRPr="00752E7E" w:rsidRDefault="00752E7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24</w:t>
            </w:r>
          </w:p>
        </w:tc>
        <w:tc>
          <w:tcPr>
            <w:tcW w:w="1120" w:type="dxa"/>
            <w:gridSpan w:val="2"/>
            <w:tcBorders>
              <w:left w:val="none" w:sz="0" w:space="0" w:color="auto"/>
              <w:right w:val="none" w:sz="0" w:space="0" w:color="auto"/>
            </w:tcBorders>
            <w:vAlign w:val="center"/>
          </w:tcPr>
          <w:p w14:paraId="0DBA3109" w14:textId="1560EE5A" w:rsidR="00752E7E" w:rsidRPr="00752E7E" w:rsidRDefault="00752E7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3AF7E463" w14:textId="3FEF9D17" w:rsidR="00752E7E" w:rsidRPr="00752E7E" w:rsidRDefault="00315E2B" w:rsidP="00752E7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34</w:t>
            </w:r>
          </w:p>
        </w:tc>
        <w:tc>
          <w:tcPr>
            <w:tcW w:w="1120" w:type="dxa"/>
            <w:tcBorders>
              <w:left w:val="none" w:sz="0" w:space="0" w:color="auto"/>
            </w:tcBorders>
            <w:noWrap/>
            <w:vAlign w:val="center"/>
          </w:tcPr>
          <w:p w14:paraId="530173B2" w14:textId="439EF79C" w:rsidR="00752E7E" w:rsidRPr="00752E7E" w:rsidRDefault="00752E7E" w:rsidP="00752E7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52E7E">
              <w:rPr>
                <w:rFonts w:asciiTheme="minorHAnsi" w:hAnsiTheme="minorHAnsi" w:cstheme="minorHAnsi"/>
                <w:sz w:val="20"/>
                <w:szCs w:val="20"/>
              </w:rPr>
              <w:t>100%</w:t>
            </w:r>
          </w:p>
        </w:tc>
      </w:tr>
      <w:tr w:rsidR="00752E7E" w:rsidRPr="00C9152E" w14:paraId="08D40394" w14:textId="77777777" w:rsidTr="003F6E5E">
        <w:trPr>
          <w:cnfStyle w:val="000000010000" w:firstRow="0" w:lastRow="0" w:firstColumn="0" w:lastColumn="0" w:oddVBand="0" w:evenVBand="0" w:oddHBand="0" w:evenHBand="1"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5FE3311F" w14:textId="41B2D5B7" w:rsidR="00752E7E" w:rsidRPr="00752E7E" w:rsidRDefault="00752E7E" w:rsidP="00752E7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If provider operates Enhanced Intensive Behavior group homes the Program or Clinical Services Director meets the qualifications of a Level 1 Behavior Analyst.</w:t>
            </w:r>
          </w:p>
        </w:tc>
        <w:tc>
          <w:tcPr>
            <w:tcW w:w="1120" w:type="dxa"/>
            <w:tcBorders>
              <w:left w:val="none" w:sz="0" w:space="0" w:color="auto"/>
              <w:right w:val="none" w:sz="0" w:space="0" w:color="auto"/>
            </w:tcBorders>
            <w:vAlign w:val="center"/>
          </w:tcPr>
          <w:p w14:paraId="29E0632E" w14:textId="71F7920E" w:rsidR="00752E7E" w:rsidRPr="00752E7E" w:rsidRDefault="003F6E5E" w:rsidP="00752E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gridSpan w:val="2"/>
            <w:tcBorders>
              <w:left w:val="none" w:sz="0" w:space="0" w:color="auto"/>
              <w:right w:val="none" w:sz="0" w:space="0" w:color="auto"/>
            </w:tcBorders>
            <w:vAlign w:val="center"/>
          </w:tcPr>
          <w:p w14:paraId="2049AB49" w14:textId="4BAD5D24" w:rsidR="00752E7E" w:rsidRPr="00752E7E" w:rsidRDefault="003F6E5E" w:rsidP="00752E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Pr>
                <w:rFonts w:asciiTheme="minorHAnsi" w:hAnsiTheme="minorHAnsi" w:cstheme="minorHAnsi"/>
                <w:sz w:val="20"/>
                <w:szCs w:val="20"/>
              </w:rPr>
              <w:t>NA</w:t>
            </w:r>
          </w:p>
        </w:tc>
        <w:tc>
          <w:tcPr>
            <w:tcW w:w="1120" w:type="dxa"/>
            <w:tcBorders>
              <w:left w:val="none" w:sz="0" w:space="0" w:color="auto"/>
              <w:right w:val="none" w:sz="0" w:space="0" w:color="auto"/>
            </w:tcBorders>
            <w:noWrap/>
            <w:vAlign w:val="center"/>
          </w:tcPr>
          <w:p w14:paraId="453CE59D" w14:textId="578EBADE" w:rsidR="00752E7E" w:rsidRPr="00752E7E" w:rsidRDefault="003F6E5E" w:rsidP="00752E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tcBorders>
              <w:left w:val="none" w:sz="0" w:space="0" w:color="auto"/>
            </w:tcBorders>
            <w:noWrap/>
            <w:vAlign w:val="center"/>
          </w:tcPr>
          <w:p w14:paraId="4C41868F" w14:textId="5686B7C8" w:rsidR="00752E7E" w:rsidRPr="00752E7E" w:rsidRDefault="003F6E5E" w:rsidP="00752E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752E7E" w:rsidRPr="00C9152E" w14:paraId="6116458A" w14:textId="77777777" w:rsidTr="00752E7E">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489A0042" w14:textId="053158A6" w:rsidR="00752E7E" w:rsidRPr="00752E7E" w:rsidRDefault="00752E7E" w:rsidP="00752E7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If provider operates Intensive Behavior group homes the Program or Clinical Services Director meets the qualifications of a Level 1 Behavior Analyst.</w:t>
            </w:r>
          </w:p>
        </w:tc>
        <w:tc>
          <w:tcPr>
            <w:tcW w:w="1120" w:type="dxa"/>
            <w:tcBorders>
              <w:left w:val="none" w:sz="0" w:space="0" w:color="auto"/>
              <w:right w:val="none" w:sz="0" w:space="0" w:color="auto"/>
            </w:tcBorders>
            <w:vAlign w:val="center"/>
          </w:tcPr>
          <w:p w14:paraId="5708C65B" w14:textId="20FA9BBC"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gridSpan w:val="2"/>
            <w:tcBorders>
              <w:left w:val="none" w:sz="0" w:space="0" w:color="auto"/>
              <w:right w:val="none" w:sz="0" w:space="0" w:color="auto"/>
            </w:tcBorders>
            <w:vAlign w:val="center"/>
          </w:tcPr>
          <w:p w14:paraId="06AE7DDC" w14:textId="45DFF305"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Pr>
                <w:rFonts w:asciiTheme="minorHAnsi" w:hAnsiTheme="minorHAnsi" w:cstheme="minorHAnsi"/>
                <w:sz w:val="20"/>
                <w:szCs w:val="20"/>
              </w:rPr>
              <w:t>NA</w:t>
            </w:r>
          </w:p>
        </w:tc>
        <w:tc>
          <w:tcPr>
            <w:tcW w:w="1120" w:type="dxa"/>
            <w:tcBorders>
              <w:left w:val="none" w:sz="0" w:space="0" w:color="auto"/>
              <w:right w:val="none" w:sz="0" w:space="0" w:color="auto"/>
            </w:tcBorders>
            <w:noWrap/>
            <w:vAlign w:val="center"/>
          </w:tcPr>
          <w:p w14:paraId="6F1F0A81" w14:textId="7E65EA9D"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tcBorders>
              <w:left w:val="none" w:sz="0" w:space="0" w:color="auto"/>
            </w:tcBorders>
            <w:noWrap/>
            <w:vAlign w:val="center"/>
          </w:tcPr>
          <w:p w14:paraId="14E2EFCD" w14:textId="3EBFD5B8"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A53419" w:rsidRPr="00C9152E" w14:paraId="6185AB91" w14:textId="77777777" w:rsidTr="00A53419">
        <w:trPr>
          <w:cnfStyle w:val="000000010000" w:firstRow="0" w:lastRow="0" w:firstColumn="0" w:lastColumn="0" w:oddVBand="0" w:evenVBand="0" w:oddHBand="0" w:evenHBand="1"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2E76B692" w14:textId="1EA531E7"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addresses all incident reports.</w:t>
            </w:r>
          </w:p>
        </w:tc>
        <w:tc>
          <w:tcPr>
            <w:tcW w:w="1120" w:type="dxa"/>
            <w:tcBorders>
              <w:left w:val="none" w:sz="0" w:space="0" w:color="auto"/>
              <w:right w:val="none" w:sz="0" w:space="0" w:color="auto"/>
            </w:tcBorders>
            <w:vAlign w:val="center"/>
          </w:tcPr>
          <w:p w14:paraId="1B46C70C" w14:textId="1982A8B4"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112</w:t>
            </w:r>
          </w:p>
        </w:tc>
        <w:tc>
          <w:tcPr>
            <w:tcW w:w="1120" w:type="dxa"/>
            <w:gridSpan w:val="2"/>
            <w:tcBorders>
              <w:left w:val="none" w:sz="0" w:space="0" w:color="auto"/>
              <w:right w:val="none" w:sz="0" w:space="0" w:color="auto"/>
            </w:tcBorders>
            <w:vAlign w:val="center"/>
          </w:tcPr>
          <w:p w14:paraId="054EE032" w14:textId="35FC0970"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3DFB808E" w14:textId="1A87F106"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127</w:t>
            </w:r>
          </w:p>
        </w:tc>
        <w:tc>
          <w:tcPr>
            <w:tcW w:w="1120" w:type="dxa"/>
            <w:tcBorders>
              <w:left w:val="none" w:sz="0" w:space="0" w:color="auto"/>
            </w:tcBorders>
            <w:noWrap/>
            <w:vAlign w:val="center"/>
          </w:tcPr>
          <w:p w14:paraId="747FAFBC" w14:textId="6C362E25"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97.6%</w:t>
            </w:r>
          </w:p>
        </w:tc>
      </w:tr>
      <w:tr w:rsidR="00A53419" w:rsidRPr="000E2DA2" w14:paraId="2E17BF75" w14:textId="77777777" w:rsidTr="00A53419">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6013C5A5" w14:textId="03ECA096"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lastRenderedPageBreak/>
              <w:t>The provider identifies addresses and reports all medication errors.</w:t>
            </w:r>
          </w:p>
        </w:tc>
        <w:tc>
          <w:tcPr>
            <w:tcW w:w="1120" w:type="dxa"/>
            <w:tcBorders>
              <w:left w:val="none" w:sz="0" w:space="0" w:color="auto"/>
              <w:right w:val="none" w:sz="0" w:space="0" w:color="auto"/>
            </w:tcBorders>
            <w:vAlign w:val="center"/>
          </w:tcPr>
          <w:p w14:paraId="71924153" w14:textId="562F3929"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7</w:t>
            </w:r>
          </w:p>
        </w:tc>
        <w:tc>
          <w:tcPr>
            <w:tcW w:w="1120" w:type="dxa"/>
            <w:gridSpan w:val="2"/>
            <w:tcBorders>
              <w:left w:val="none" w:sz="0" w:space="0" w:color="auto"/>
              <w:right w:val="none" w:sz="0" w:space="0" w:color="auto"/>
            </w:tcBorders>
            <w:vAlign w:val="center"/>
          </w:tcPr>
          <w:p w14:paraId="12E10D0F" w14:textId="559ADA8D"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5EBEAE52" w14:textId="75953FC4"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4</w:t>
            </w:r>
          </w:p>
        </w:tc>
        <w:tc>
          <w:tcPr>
            <w:tcW w:w="1120" w:type="dxa"/>
            <w:tcBorders>
              <w:left w:val="none" w:sz="0" w:space="0" w:color="auto"/>
            </w:tcBorders>
            <w:noWrap/>
            <w:vAlign w:val="center"/>
          </w:tcPr>
          <w:p w14:paraId="543270A1" w14:textId="100E41B2"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100%</w:t>
            </w:r>
          </w:p>
        </w:tc>
      </w:tr>
      <w:tr w:rsidR="00A53419" w:rsidRPr="00094EBF" w14:paraId="69069601" w14:textId="77777777" w:rsidTr="00A53419">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6018C5B7" w14:textId="2FCC2086"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identifies and addresses concerns related to abuse, neglect, and exploitation.</w:t>
            </w:r>
          </w:p>
        </w:tc>
        <w:tc>
          <w:tcPr>
            <w:tcW w:w="1120" w:type="dxa"/>
            <w:tcBorders>
              <w:left w:val="none" w:sz="0" w:space="0" w:color="auto"/>
              <w:right w:val="none" w:sz="0" w:space="0" w:color="auto"/>
            </w:tcBorders>
            <w:vAlign w:val="center"/>
          </w:tcPr>
          <w:p w14:paraId="3165F1FF" w14:textId="7056C3C4"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28</w:t>
            </w:r>
          </w:p>
        </w:tc>
        <w:tc>
          <w:tcPr>
            <w:tcW w:w="1120" w:type="dxa"/>
            <w:gridSpan w:val="2"/>
            <w:tcBorders>
              <w:left w:val="none" w:sz="0" w:space="0" w:color="auto"/>
              <w:right w:val="none" w:sz="0" w:space="0" w:color="auto"/>
            </w:tcBorders>
            <w:vAlign w:val="center"/>
          </w:tcPr>
          <w:p w14:paraId="2F01886C" w14:textId="4BA13701"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68DB6755" w14:textId="47BC50F9"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39</w:t>
            </w:r>
          </w:p>
        </w:tc>
        <w:tc>
          <w:tcPr>
            <w:tcW w:w="1120" w:type="dxa"/>
            <w:tcBorders>
              <w:left w:val="none" w:sz="0" w:space="0" w:color="auto"/>
            </w:tcBorders>
            <w:noWrap/>
            <w:vAlign w:val="center"/>
          </w:tcPr>
          <w:p w14:paraId="44180863" w14:textId="21D7AD69"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100%</w:t>
            </w:r>
          </w:p>
        </w:tc>
      </w:tr>
      <w:tr w:rsidR="00A53419" w:rsidRPr="000E2DA2" w14:paraId="44E34328" w14:textId="77777777" w:rsidTr="00A53419">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3CB58E9D" w14:textId="4E613B87"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an Employee/Contractor Roster within the Department of Children and Families/Agency for Persons with Disabilities Background Screening Clearinghouse.</w:t>
            </w:r>
          </w:p>
        </w:tc>
        <w:tc>
          <w:tcPr>
            <w:tcW w:w="1120" w:type="dxa"/>
            <w:tcBorders>
              <w:left w:val="none" w:sz="0" w:space="0" w:color="auto"/>
              <w:right w:val="none" w:sz="0" w:space="0" w:color="auto"/>
            </w:tcBorders>
            <w:vAlign w:val="center"/>
          </w:tcPr>
          <w:p w14:paraId="1C2CE63E" w14:textId="3528B3C3"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162</w:t>
            </w:r>
          </w:p>
        </w:tc>
        <w:tc>
          <w:tcPr>
            <w:tcW w:w="1120" w:type="dxa"/>
            <w:gridSpan w:val="2"/>
            <w:tcBorders>
              <w:left w:val="none" w:sz="0" w:space="0" w:color="auto"/>
              <w:right w:val="none" w:sz="0" w:space="0" w:color="auto"/>
            </w:tcBorders>
            <w:vAlign w:val="center"/>
          </w:tcPr>
          <w:p w14:paraId="01899DC3" w14:textId="0E4B2FFC"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95%</w:t>
            </w:r>
          </w:p>
        </w:tc>
        <w:tc>
          <w:tcPr>
            <w:tcW w:w="1120" w:type="dxa"/>
            <w:tcBorders>
              <w:left w:val="none" w:sz="0" w:space="0" w:color="auto"/>
              <w:right w:val="none" w:sz="0" w:space="0" w:color="auto"/>
            </w:tcBorders>
            <w:noWrap/>
            <w:vAlign w:val="center"/>
          </w:tcPr>
          <w:p w14:paraId="1775EF06" w14:textId="7AE52B58"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250</w:t>
            </w:r>
          </w:p>
        </w:tc>
        <w:tc>
          <w:tcPr>
            <w:tcW w:w="1120" w:type="dxa"/>
            <w:tcBorders>
              <w:left w:val="none" w:sz="0" w:space="0" w:color="auto"/>
            </w:tcBorders>
            <w:noWrap/>
            <w:vAlign w:val="center"/>
          </w:tcPr>
          <w:p w14:paraId="225F80F7" w14:textId="44BCC6EE"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90.0%</w:t>
            </w:r>
          </w:p>
        </w:tc>
      </w:tr>
      <w:tr w:rsidR="00A53419" w:rsidRPr="000E2DA2" w14:paraId="198A891E" w14:textId="77777777" w:rsidTr="00A53419">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5D94394C" w14:textId="45C7D9DA"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detailing hours and days of operation and the notification process to be used if the provider is unable to provide services for a specific time and day scheduled.</w:t>
            </w:r>
          </w:p>
        </w:tc>
        <w:tc>
          <w:tcPr>
            <w:tcW w:w="1120" w:type="dxa"/>
            <w:tcBorders>
              <w:left w:val="none" w:sz="0" w:space="0" w:color="auto"/>
              <w:right w:val="none" w:sz="0" w:space="0" w:color="auto"/>
            </w:tcBorders>
            <w:vAlign w:val="center"/>
          </w:tcPr>
          <w:p w14:paraId="1A670003" w14:textId="78685D75"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45</w:t>
            </w:r>
          </w:p>
        </w:tc>
        <w:tc>
          <w:tcPr>
            <w:tcW w:w="1120" w:type="dxa"/>
            <w:gridSpan w:val="2"/>
            <w:tcBorders>
              <w:left w:val="none" w:sz="0" w:space="0" w:color="auto"/>
              <w:right w:val="none" w:sz="0" w:space="0" w:color="auto"/>
            </w:tcBorders>
            <w:vAlign w:val="center"/>
          </w:tcPr>
          <w:p w14:paraId="7C78400A" w14:textId="73B0C509"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2C3DAE61" w14:textId="19286AF6"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555784B2" w14:textId="3E9C1252"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96.9%</w:t>
            </w:r>
          </w:p>
        </w:tc>
      </w:tr>
      <w:tr w:rsidR="00A53419" w:rsidRPr="000E2DA2" w14:paraId="5FB52CF6" w14:textId="77777777" w:rsidTr="00A534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72BAFF50" w14:textId="63D2499A"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detailing how the provider will ensure a smooth transition to and from another provider.</w:t>
            </w:r>
          </w:p>
        </w:tc>
        <w:tc>
          <w:tcPr>
            <w:tcW w:w="1120" w:type="dxa"/>
            <w:tcBorders>
              <w:left w:val="none" w:sz="0" w:space="0" w:color="auto"/>
              <w:right w:val="none" w:sz="0" w:space="0" w:color="auto"/>
            </w:tcBorders>
            <w:vAlign w:val="center"/>
          </w:tcPr>
          <w:p w14:paraId="0AE1A1D8" w14:textId="63637AD2"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43</w:t>
            </w:r>
          </w:p>
        </w:tc>
        <w:tc>
          <w:tcPr>
            <w:tcW w:w="1120" w:type="dxa"/>
            <w:gridSpan w:val="2"/>
            <w:tcBorders>
              <w:left w:val="none" w:sz="0" w:space="0" w:color="auto"/>
              <w:right w:val="none" w:sz="0" w:space="0" w:color="auto"/>
            </w:tcBorders>
            <w:vAlign w:val="center"/>
          </w:tcPr>
          <w:p w14:paraId="0D0A7FAA" w14:textId="0F113154"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96%</w:t>
            </w:r>
          </w:p>
        </w:tc>
        <w:tc>
          <w:tcPr>
            <w:tcW w:w="1120" w:type="dxa"/>
            <w:tcBorders>
              <w:left w:val="none" w:sz="0" w:space="0" w:color="auto"/>
              <w:right w:val="none" w:sz="0" w:space="0" w:color="auto"/>
            </w:tcBorders>
            <w:noWrap/>
            <w:vAlign w:val="center"/>
          </w:tcPr>
          <w:p w14:paraId="66D045F7" w14:textId="04779B0D"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5F19112F" w14:textId="7B83EB3B"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90.6%</w:t>
            </w:r>
          </w:p>
        </w:tc>
      </w:tr>
      <w:tr w:rsidR="00A53419" w:rsidRPr="000E2DA2" w14:paraId="79E4DFDA" w14:textId="77777777" w:rsidTr="00A5341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448AC0FE" w14:textId="4752720D"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detailing how the provider will ensure compliance with background screening and five-year rescreening.</w:t>
            </w:r>
          </w:p>
        </w:tc>
        <w:tc>
          <w:tcPr>
            <w:tcW w:w="1120" w:type="dxa"/>
            <w:tcBorders>
              <w:left w:val="none" w:sz="0" w:space="0" w:color="auto"/>
              <w:right w:val="none" w:sz="0" w:space="0" w:color="auto"/>
            </w:tcBorders>
            <w:vAlign w:val="center"/>
          </w:tcPr>
          <w:p w14:paraId="1A1AB222" w14:textId="0DD8422D"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44</w:t>
            </w:r>
          </w:p>
        </w:tc>
        <w:tc>
          <w:tcPr>
            <w:tcW w:w="1120" w:type="dxa"/>
            <w:gridSpan w:val="2"/>
            <w:tcBorders>
              <w:left w:val="none" w:sz="0" w:space="0" w:color="auto"/>
              <w:right w:val="none" w:sz="0" w:space="0" w:color="auto"/>
            </w:tcBorders>
            <w:vAlign w:val="center"/>
          </w:tcPr>
          <w:p w14:paraId="0D307E5F" w14:textId="3C6F7E68"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98%</w:t>
            </w:r>
          </w:p>
        </w:tc>
        <w:tc>
          <w:tcPr>
            <w:tcW w:w="1120" w:type="dxa"/>
            <w:tcBorders>
              <w:left w:val="none" w:sz="0" w:space="0" w:color="auto"/>
              <w:right w:val="none" w:sz="0" w:space="0" w:color="auto"/>
            </w:tcBorders>
            <w:noWrap/>
            <w:vAlign w:val="center"/>
          </w:tcPr>
          <w:p w14:paraId="186CC8F2" w14:textId="0EE42867"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2065BBDD" w14:textId="61EEB588"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90.6%</w:t>
            </w:r>
          </w:p>
        </w:tc>
      </w:tr>
      <w:tr w:rsidR="00A53419" w:rsidRPr="000E2DA2" w14:paraId="065BA2C3" w14:textId="77777777" w:rsidTr="00A53419">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5C6CB4D7" w14:textId="718E916C"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detailing how the provider will ensure the individuals’ medications are administered and handled safely.</w:t>
            </w:r>
          </w:p>
        </w:tc>
        <w:tc>
          <w:tcPr>
            <w:tcW w:w="1120" w:type="dxa"/>
            <w:tcBorders>
              <w:left w:val="none" w:sz="0" w:space="0" w:color="auto"/>
              <w:right w:val="none" w:sz="0" w:space="0" w:color="auto"/>
            </w:tcBorders>
            <w:vAlign w:val="center"/>
          </w:tcPr>
          <w:p w14:paraId="516285AE" w14:textId="635DDE78"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7</w:t>
            </w:r>
          </w:p>
        </w:tc>
        <w:tc>
          <w:tcPr>
            <w:tcW w:w="1120" w:type="dxa"/>
            <w:gridSpan w:val="2"/>
            <w:tcBorders>
              <w:left w:val="none" w:sz="0" w:space="0" w:color="auto"/>
              <w:right w:val="none" w:sz="0" w:space="0" w:color="auto"/>
            </w:tcBorders>
            <w:vAlign w:val="center"/>
          </w:tcPr>
          <w:p w14:paraId="4BAF3B6D" w14:textId="232C8C25"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1C87AEEC" w14:textId="1DB71280"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3</w:t>
            </w:r>
          </w:p>
        </w:tc>
        <w:tc>
          <w:tcPr>
            <w:tcW w:w="1120" w:type="dxa"/>
            <w:tcBorders>
              <w:left w:val="none" w:sz="0" w:space="0" w:color="auto"/>
            </w:tcBorders>
            <w:noWrap/>
            <w:vAlign w:val="center"/>
          </w:tcPr>
          <w:p w14:paraId="1C4E63E9" w14:textId="3C9D390A"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100%</w:t>
            </w:r>
          </w:p>
        </w:tc>
      </w:tr>
      <w:tr w:rsidR="00A53419" w:rsidRPr="000E2DA2" w14:paraId="61C96462" w14:textId="77777777" w:rsidTr="00A53419">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047FC066" w14:textId="1D09A7A6"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detailing the process for addressing individual complaints and grievances regarding possible service delivery issues.</w:t>
            </w:r>
          </w:p>
        </w:tc>
        <w:tc>
          <w:tcPr>
            <w:tcW w:w="1120" w:type="dxa"/>
            <w:tcBorders>
              <w:left w:val="none" w:sz="0" w:space="0" w:color="auto"/>
              <w:right w:val="none" w:sz="0" w:space="0" w:color="auto"/>
            </w:tcBorders>
            <w:vAlign w:val="center"/>
          </w:tcPr>
          <w:p w14:paraId="3404CD51" w14:textId="10CA589C"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45</w:t>
            </w:r>
          </w:p>
        </w:tc>
        <w:tc>
          <w:tcPr>
            <w:tcW w:w="1120" w:type="dxa"/>
            <w:gridSpan w:val="2"/>
            <w:tcBorders>
              <w:left w:val="none" w:sz="0" w:space="0" w:color="auto"/>
              <w:right w:val="none" w:sz="0" w:space="0" w:color="auto"/>
            </w:tcBorders>
            <w:vAlign w:val="center"/>
          </w:tcPr>
          <w:p w14:paraId="3745621C" w14:textId="0B33A888"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7BD1A329" w14:textId="206CF6DE"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346D57AD" w14:textId="05F4FEEC"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A53419">
              <w:rPr>
                <w:rFonts w:asciiTheme="minorHAnsi" w:hAnsiTheme="minorHAnsi" w:cstheme="minorHAnsi"/>
                <w:sz w:val="20"/>
                <w:szCs w:val="20"/>
              </w:rPr>
              <w:t>100%</w:t>
            </w:r>
          </w:p>
        </w:tc>
      </w:tr>
      <w:tr w:rsidR="00752E7E" w:rsidRPr="000E2DA2" w14:paraId="27379825" w14:textId="77777777" w:rsidTr="00A534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061CE9F5" w14:textId="28AD3A27" w:rsidR="00752E7E" w:rsidRPr="00752E7E" w:rsidRDefault="00752E7E" w:rsidP="00752E7E">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in compliance with 65G-8.003 (Reactive Strategy Policy and Procedures).</w:t>
            </w:r>
          </w:p>
        </w:tc>
        <w:tc>
          <w:tcPr>
            <w:tcW w:w="1120" w:type="dxa"/>
            <w:tcBorders>
              <w:left w:val="none" w:sz="0" w:space="0" w:color="auto"/>
              <w:right w:val="none" w:sz="0" w:space="0" w:color="auto"/>
            </w:tcBorders>
            <w:vAlign w:val="center"/>
          </w:tcPr>
          <w:p w14:paraId="1E481421" w14:textId="0A9C5D17"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gridSpan w:val="2"/>
            <w:tcBorders>
              <w:left w:val="none" w:sz="0" w:space="0" w:color="auto"/>
              <w:right w:val="none" w:sz="0" w:space="0" w:color="auto"/>
            </w:tcBorders>
            <w:vAlign w:val="center"/>
          </w:tcPr>
          <w:p w14:paraId="4E38EB56" w14:textId="1F496944" w:rsidR="00752E7E" w:rsidRPr="00752E7E"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c>
          <w:tcPr>
            <w:tcW w:w="1120" w:type="dxa"/>
            <w:tcBorders>
              <w:left w:val="none" w:sz="0" w:space="0" w:color="auto"/>
              <w:right w:val="none" w:sz="0" w:space="0" w:color="auto"/>
            </w:tcBorders>
            <w:noWrap/>
            <w:vAlign w:val="center"/>
          </w:tcPr>
          <w:p w14:paraId="78A928AB" w14:textId="6B2B076E" w:rsidR="00752E7E" w:rsidRPr="00A53419"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NA</w:t>
            </w:r>
          </w:p>
        </w:tc>
        <w:tc>
          <w:tcPr>
            <w:tcW w:w="1120" w:type="dxa"/>
            <w:tcBorders>
              <w:left w:val="none" w:sz="0" w:space="0" w:color="auto"/>
            </w:tcBorders>
            <w:noWrap/>
            <w:vAlign w:val="center"/>
          </w:tcPr>
          <w:p w14:paraId="0C8A0D94" w14:textId="255E561F" w:rsidR="00752E7E" w:rsidRPr="00A53419" w:rsidRDefault="003F6E5E" w:rsidP="00752E7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NA</w:t>
            </w:r>
          </w:p>
        </w:tc>
      </w:tr>
      <w:tr w:rsidR="00A53419" w:rsidRPr="000E2DA2" w14:paraId="418473FA" w14:textId="77777777" w:rsidTr="00A5341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1AD491D2" w14:textId="3140E9F4"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with a detailed description of how the provider uses a person-centered approach to identify individually determined goals and promote choice.</w:t>
            </w:r>
          </w:p>
        </w:tc>
        <w:tc>
          <w:tcPr>
            <w:tcW w:w="1120" w:type="dxa"/>
            <w:tcBorders>
              <w:left w:val="none" w:sz="0" w:space="0" w:color="auto"/>
              <w:right w:val="none" w:sz="0" w:space="0" w:color="auto"/>
            </w:tcBorders>
            <w:vAlign w:val="center"/>
          </w:tcPr>
          <w:p w14:paraId="67EAD89D" w14:textId="3EC55623"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44</w:t>
            </w:r>
          </w:p>
        </w:tc>
        <w:tc>
          <w:tcPr>
            <w:tcW w:w="1120" w:type="dxa"/>
            <w:gridSpan w:val="2"/>
            <w:tcBorders>
              <w:left w:val="none" w:sz="0" w:space="0" w:color="auto"/>
              <w:right w:val="none" w:sz="0" w:space="0" w:color="auto"/>
            </w:tcBorders>
            <w:vAlign w:val="center"/>
          </w:tcPr>
          <w:p w14:paraId="3784E922" w14:textId="4202BAC2"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98%</w:t>
            </w:r>
          </w:p>
        </w:tc>
        <w:tc>
          <w:tcPr>
            <w:tcW w:w="1120" w:type="dxa"/>
            <w:tcBorders>
              <w:left w:val="none" w:sz="0" w:space="0" w:color="auto"/>
              <w:right w:val="none" w:sz="0" w:space="0" w:color="auto"/>
            </w:tcBorders>
            <w:noWrap/>
            <w:vAlign w:val="center"/>
          </w:tcPr>
          <w:p w14:paraId="00F09EFD" w14:textId="704813B7"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63</w:t>
            </w:r>
          </w:p>
        </w:tc>
        <w:tc>
          <w:tcPr>
            <w:tcW w:w="1120" w:type="dxa"/>
            <w:tcBorders>
              <w:left w:val="none" w:sz="0" w:space="0" w:color="auto"/>
            </w:tcBorders>
            <w:noWrap/>
            <w:vAlign w:val="center"/>
          </w:tcPr>
          <w:p w14:paraId="2A0FF706" w14:textId="497F2180"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100%</w:t>
            </w:r>
          </w:p>
        </w:tc>
      </w:tr>
      <w:tr w:rsidR="00A53419" w:rsidRPr="000E2DA2" w14:paraId="3DF8A98F" w14:textId="77777777" w:rsidTr="00A534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11621826" w14:textId="513BEACD"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with a detailed description of how the provider will protect health, safety, and wellbeing of the individuals served.</w:t>
            </w:r>
          </w:p>
        </w:tc>
        <w:tc>
          <w:tcPr>
            <w:tcW w:w="1120" w:type="dxa"/>
            <w:tcBorders>
              <w:left w:val="none" w:sz="0" w:space="0" w:color="auto"/>
              <w:right w:val="none" w:sz="0" w:space="0" w:color="auto"/>
            </w:tcBorders>
            <w:vAlign w:val="center"/>
          </w:tcPr>
          <w:p w14:paraId="7B452F2F" w14:textId="0E0074BC"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45</w:t>
            </w:r>
          </w:p>
        </w:tc>
        <w:tc>
          <w:tcPr>
            <w:tcW w:w="1120" w:type="dxa"/>
            <w:gridSpan w:val="2"/>
            <w:tcBorders>
              <w:left w:val="none" w:sz="0" w:space="0" w:color="auto"/>
              <w:right w:val="none" w:sz="0" w:space="0" w:color="auto"/>
            </w:tcBorders>
            <w:vAlign w:val="center"/>
          </w:tcPr>
          <w:p w14:paraId="283025EC" w14:textId="6A7E6735"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5A2B8E59" w14:textId="027C8958"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5400CE56" w14:textId="4ABDE687"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100%</w:t>
            </w:r>
          </w:p>
        </w:tc>
      </w:tr>
      <w:tr w:rsidR="00A53419" w:rsidRPr="000E2DA2" w14:paraId="12D4A3A3" w14:textId="77777777" w:rsidTr="00A5341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078DB782" w14:textId="509CA1CB" w:rsidR="00A53419" w:rsidRPr="00752E7E" w:rsidRDefault="00A53419" w:rsidP="00A53419">
            <w:pPr>
              <w:spacing w:line="240" w:lineRule="auto"/>
              <w:rPr>
                <w:rFonts w:asciiTheme="minorHAnsi" w:hAnsiTheme="minorHAnsi" w:cstheme="minorHAnsi"/>
                <w:b w:val="0"/>
                <w:color w:val="000000"/>
                <w:sz w:val="20"/>
                <w:szCs w:val="20"/>
              </w:rPr>
            </w:pPr>
            <w:r w:rsidRPr="00752E7E">
              <w:rPr>
                <w:rFonts w:asciiTheme="minorHAnsi" w:hAnsiTheme="minorHAnsi" w:cstheme="minorHAnsi"/>
                <w:b w:val="0"/>
                <w:sz w:val="20"/>
                <w:szCs w:val="20"/>
              </w:rPr>
              <w:t>The provider maintains written policies and procedures, which detail methods for ensuring the person’s confidentiality and maintaining and storing records in a secure manner.</w:t>
            </w:r>
          </w:p>
        </w:tc>
        <w:tc>
          <w:tcPr>
            <w:tcW w:w="1120" w:type="dxa"/>
            <w:tcBorders>
              <w:left w:val="none" w:sz="0" w:space="0" w:color="auto"/>
              <w:right w:val="none" w:sz="0" w:space="0" w:color="auto"/>
            </w:tcBorders>
            <w:vAlign w:val="center"/>
          </w:tcPr>
          <w:p w14:paraId="62C5A08F" w14:textId="75DF0468"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41</w:t>
            </w:r>
          </w:p>
        </w:tc>
        <w:tc>
          <w:tcPr>
            <w:tcW w:w="1120" w:type="dxa"/>
            <w:gridSpan w:val="2"/>
            <w:tcBorders>
              <w:left w:val="none" w:sz="0" w:space="0" w:color="auto"/>
              <w:right w:val="none" w:sz="0" w:space="0" w:color="auto"/>
            </w:tcBorders>
            <w:vAlign w:val="center"/>
          </w:tcPr>
          <w:p w14:paraId="52AD7FD7" w14:textId="6078FD9A" w:rsidR="00A53419" w:rsidRPr="00752E7E"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752E7E">
              <w:rPr>
                <w:rFonts w:asciiTheme="minorHAnsi" w:hAnsiTheme="minorHAnsi" w:cstheme="minorHAnsi"/>
                <w:sz w:val="20"/>
                <w:szCs w:val="20"/>
              </w:rPr>
              <w:t>91%</w:t>
            </w:r>
          </w:p>
        </w:tc>
        <w:tc>
          <w:tcPr>
            <w:tcW w:w="1120" w:type="dxa"/>
            <w:tcBorders>
              <w:left w:val="none" w:sz="0" w:space="0" w:color="auto"/>
              <w:right w:val="none" w:sz="0" w:space="0" w:color="auto"/>
            </w:tcBorders>
            <w:noWrap/>
            <w:vAlign w:val="center"/>
          </w:tcPr>
          <w:p w14:paraId="650E388A" w14:textId="68D03BD1"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64</w:t>
            </w:r>
          </w:p>
        </w:tc>
        <w:tc>
          <w:tcPr>
            <w:tcW w:w="1120" w:type="dxa"/>
            <w:tcBorders>
              <w:left w:val="none" w:sz="0" w:space="0" w:color="auto"/>
            </w:tcBorders>
            <w:noWrap/>
            <w:vAlign w:val="center"/>
          </w:tcPr>
          <w:p w14:paraId="6D9BF360" w14:textId="1793B119" w:rsidR="00A53419" w:rsidRPr="00A53419" w:rsidRDefault="00A53419" w:rsidP="00A53419">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53419">
              <w:rPr>
                <w:rFonts w:asciiTheme="minorHAnsi" w:hAnsiTheme="minorHAnsi" w:cstheme="minorHAnsi"/>
                <w:sz w:val="20"/>
                <w:szCs w:val="20"/>
              </w:rPr>
              <w:t>96.9%</w:t>
            </w:r>
          </w:p>
        </w:tc>
      </w:tr>
      <w:tr w:rsidR="00A53419" w:rsidRPr="000E2DA2" w14:paraId="470A9641" w14:textId="77777777" w:rsidTr="00A534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tcPr>
          <w:p w14:paraId="02965E23" w14:textId="21644C3D" w:rsidR="00A53419" w:rsidRPr="00752E7E" w:rsidRDefault="00A53419" w:rsidP="00A53419">
            <w:pPr>
              <w:spacing w:line="240" w:lineRule="auto"/>
              <w:rPr>
                <w:rFonts w:asciiTheme="minorHAnsi" w:hAnsiTheme="minorHAnsi" w:cstheme="minorHAnsi"/>
                <w:b w:val="0"/>
                <w:sz w:val="20"/>
                <w:szCs w:val="20"/>
              </w:rPr>
            </w:pPr>
            <w:r w:rsidRPr="00752E7E">
              <w:rPr>
                <w:rFonts w:asciiTheme="minorHAnsi" w:hAnsiTheme="minorHAnsi" w:cstheme="minorHAnsi"/>
                <w:b w:val="0"/>
                <w:sz w:val="20"/>
                <w:szCs w:val="20"/>
              </w:rPr>
              <w:t xml:space="preserve">The provider maintains written policies and procedures, which detail the methods for management and </w:t>
            </w:r>
            <w:r w:rsidRPr="00752E7E">
              <w:rPr>
                <w:rFonts w:asciiTheme="minorHAnsi" w:hAnsiTheme="minorHAnsi" w:cstheme="minorHAnsi"/>
                <w:b w:val="0"/>
                <w:sz w:val="20"/>
                <w:szCs w:val="20"/>
              </w:rPr>
              <w:lastRenderedPageBreak/>
              <w:t>accounting of any personal funds, of all individuals in the care of, or receiving services from, the provider.</w:t>
            </w:r>
          </w:p>
        </w:tc>
        <w:tc>
          <w:tcPr>
            <w:tcW w:w="1120" w:type="dxa"/>
            <w:tcBorders>
              <w:left w:val="none" w:sz="0" w:space="0" w:color="auto"/>
              <w:right w:val="none" w:sz="0" w:space="0" w:color="auto"/>
            </w:tcBorders>
            <w:vAlign w:val="center"/>
          </w:tcPr>
          <w:p w14:paraId="5DA627D9" w14:textId="278C6961"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752E7E">
              <w:rPr>
                <w:rFonts w:asciiTheme="minorHAnsi" w:hAnsiTheme="minorHAnsi" w:cstheme="minorHAnsi"/>
                <w:sz w:val="20"/>
                <w:szCs w:val="20"/>
              </w:rPr>
              <w:lastRenderedPageBreak/>
              <w:t>5</w:t>
            </w:r>
          </w:p>
        </w:tc>
        <w:tc>
          <w:tcPr>
            <w:tcW w:w="1120" w:type="dxa"/>
            <w:gridSpan w:val="2"/>
            <w:tcBorders>
              <w:left w:val="none" w:sz="0" w:space="0" w:color="auto"/>
              <w:right w:val="none" w:sz="0" w:space="0" w:color="auto"/>
            </w:tcBorders>
            <w:vAlign w:val="center"/>
          </w:tcPr>
          <w:p w14:paraId="4A53A672" w14:textId="11D46050" w:rsidR="00A53419" w:rsidRPr="00752E7E"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752E7E">
              <w:rPr>
                <w:rFonts w:asciiTheme="minorHAnsi" w:hAnsiTheme="minorHAnsi" w:cstheme="minorHAnsi"/>
                <w:sz w:val="20"/>
                <w:szCs w:val="20"/>
              </w:rPr>
              <w:t>100%</w:t>
            </w:r>
          </w:p>
        </w:tc>
        <w:tc>
          <w:tcPr>
            <w:tcW w:w="1120" w:type="dxa"/>
            <w:tcBorders>
              <w:left w:val="none" w:sz="0" w:space="0" w:color="auto"/>
              <w:right w:val="none" w:sz="0" w:space="0" w:color="auto"/>
            </w:tcBorders>
            <w:noWrap/>
            <w:vAlign w:val="center"/>
          </w:tcPr>
          <w:p w14:paraId="06254280" w14:textId="17FDBC57"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3</w:t>
            </w:r>
          </w:p>
        </w:tc>
        <w:tc>
          <w:tcPr>
            <w:tcW w:w="1120" w:type="dxa"/>
            <w:tcBorders>
              <w:left w:val="none" w:sz="0" w:space="0" w:color="auto"/>
            </w:tcBorders>
            <w:noWrap/>
            <w:vAlign w:val="center"/>
          </w:tcPr>
          <w:p w14:paraId="5E74EF3B" w14:textId="22F0C7EA" w:rsidR="00A53419" w:rsidRPr="00A53419" w:rsidRDefault="00A53419" w:rsidP="00A5341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53419">
              <w:rPr>
                <w:rFonts w:asciiTheme="minorHAnsi" w:hAnsiTheme="minorHAnsi" w:cstheme="minorHAnsi"/>
                <w:sz w:val="20"/>
                <w:szCs w:val="20"/>
              </w:rPr>
              <w:t>100%</w:t>
            </w:r>
          </w:p>
        </w:tc>
      </w:tr>
      <w:tr w:rsidR="00E97DD3" w:rsidRPr="00057DC1" w14:paraId="0E71485B" w14:textId="77777777" w:rsidTr="00752E7E">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7C33240F" w14:textId="70E7220F" w:rsidR="00E97DD3" w:rsidRPr="00457ECB" w:rsidRDefault="00E97DD3" w:rsidP="003F6E5E">
            <w:pPr>
              <w:spacing w:line="240" w:lineRule="auto"/>
              <w:rPr>
                <w:rFonts w:asciiTheme="minorHAnsi" w:hAnsiTheme="minorHAnsi"/>
                <w:color w:val="000000"/>
                <w:sz w:val="22"/>
                <w:szCs w:val="20"/>
              </w:rPr>
            </w:pPr>
            <w:r w:rsidRPr="00457ECB">
              <w:rPr>
                <w:rFonts w:asciiTheme="minorHAnsi" w:hAnsiTheme="minorHAnsi"/>
                <w:color w:val="000000"/>
                <w:sz w:val="22"/>
                <w:szCs w:val="20"/>
              </w:rPr>
              <w:t>Average Policies and Procedures</w:t>
            </w:r>
            <w:r>
              <w:rPr>
                <w:rFonts w:asciiTheme="minorHAnsi" w:hAnsiTheme="minorHAnsi"/>
                <w:color w:val="000000"/>
                <w:sz w:val="22"/>
                <w:szCs w:val="20"/>
              </w:rPr>
              <w:t xml:space="preserve"> </w:t>
            </w:r>
            <w:r w:rsidR="003F6E5E">
              <w:rPr>
                <w:rFonts w:asciiTheme="minorHAnsi" w:hAnsiTheme="minorHAnsi"/>
                <w:color w:val="000000"/>
                <w:sz w:val="22"/>
                <w:szCs w:val="20"/>
              </w:rPr>
              <w:t>(WSC)</w:t>
            </w:r>
          </w:p>
        </w:tc>
        <w:tc>
          <w:tcPr>
            <w:tcW w:w="1120" w:type="dxa"/>
            <w:tcBorders>
              <w:left w:val="none" w:sz="0" w:space="0" w:color="auto"/>
              <w:right w:val="none" w:sz="0" w:space="0" w:color="auto"/>
            </w:tcBorders>
            <w:vAlign w:val="center"/>
          </w:tcPr>
          <w:p w14:paraId="50FB5B98" w14:textId="2BB18691" w:rsidR="00E97DD3" w:rsidRPr="00752E7E" w:rsidRDefault="00E97DD3" w:rsidP="003F6E5E">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0"/>
                <w:szCs w:val="20"/>
              </w:rPr>
            </w:pPr>
            <w:r w:rsidRPr="00752E7E">
              <w:rPr>
                <w:rFonts w:asciiTheme="minorHAnsi" w:hAnsiTheme="minorHAnsi" w:cstheme="minorHAnsi"/>
                <w:b/>
                <w:sz w:val="20"/>
                <w:szCs w:val="20"/>
              </w:rPr>
              <w:t>6</w:t>
            </w:r>
            <w:r w:rsidR="003A3630" w:rsidRPr="00752E7E">
              <w:rPr>
                <w:rFonts w:asciiTheme="minorHAnsi" w:hAnsiTheme="minorHAnsi" w:cstheme="minorHAnsi"/>
                <w:b/>
                <w:sz w:val="20"/>
                <w:szCs w:val="20"/>
              </w:rPr>
              <w:t>5</w:t>
            </w:r>
            <w:r w:rsidR="003F6E5E">
              <w:rPr>
                <w:rFonts w:asciiTheme="minorHAnsi" w:hAnsiTheme="minorHAnsi" w:cstheme="minorHAnsi"/>
                <w:b/>
                <w:sz w:val="20"/>
                <w:szCs w:val="20"/>
              </w:rPr>
              <w:t>2</w:t>
            </w:r>
          </w:p>
        </w:tc>
        <w:tc>
          <w:tcPr>
            <w:tcW w:w="1120" w:type="dxa"/>
            <w:gridSpan w:val="2"/>
            <w:tcBorders>
              <w:left w:val="none" w:sz="0" w:space="0" w:color="auto"/>
              <w:right w:val="none" w:sz="0" w:space="0" w:color="auto"/>
            </w:tcBorders>
            <w:vAlign w:val="center"/>
          </w:tcPr>
          <w:p w14:paraId="55F5B1B5" w14:textId="063CC784" w:rsidR="00E97DD3" w:rsidRPr="00752E7E" w:rsidRDefault="00E97DD3" w:rsidP="00E97DD3">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0"/>
                <w:szCs w:val="20"/>
              </w:rPr>
            </w:pPr>
            <w:r w:rsidRPr="00752E7E">
              <w:rPr>
                <w:rFonts w:asciiTheme="minorHAnsi" w:hAnsiTheme="minorHAnsi" w:cstheme="minorHAnsi"/>
                <w:b/>
                <w:sz w:val="20"/>
                <w:szCs w:val="20"/>
              </w:rPr>
              <w:t>97.5%</w:t>
            </w:r>
          </w:p>
        </w:tc>
        <w:tc>
          <w:tcPr>
            <w:tcW w:w="1120" w:type="dxa"/>
            <w:tcBorders>
              <w:left w:val="none" w:sz="0" w:space="0" w:color="auto"/>
              <w:right w:val="none" w:sz="0" w:space="0" w:color="auto"/>
            </w:tcBorders>
            <w:noWrap/>
            <w:vAlign w:val="center"/>
          </w:tcPr>
          <w:p w14:paraId="4DAF3E46" w14:textId="55739D49" w:rsidR="00E97DD3" w:rsidRPr="00457ECB" w:rsidRDefault="00A53419" w:rsidP="00E97DD3">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Pr>
                <w:rFonts w:asciiTheme="minorHAnsi" w:hAnsiTheme="minorHAnsi" w:cstheme="minorHAnsi"/>
                <w:b/>
                <w:color w:val="000000"/>
                <w:sz w:val="22"/>
                <w:szCs w:val="20"/>
              </w:rPr>
              <w:t>9.7</w:t>
            </w:r>
          </w:p>
        </w:tc>
        <w:tc>
          <w:tcPr>
            <w:tcW w:w="1120" w:type="dxa"/>
            <w:tcBorders>
              <w:left w:val="none" w:sz="0" w:space="0" w:color="auto"/>
            </w:tcBorders>
            <w:noWrap/>
            <w:vAlign w:val="center"/>
          </w:tcPr>
          <w:p w14:paraId="56F4F53F" w14:textId="34B5AD47" w:rsidR="00E97DD3" w:rsidRPr="00457ECB" w:rsidRDefault="00A53419" w:rsidP="00E97DD3">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Pr>
                <w:rFonts w:asciiTheme="minorHAnsi" w:hAnsiTheme="minorHAnsi" w:cstheme="minorHAnsi"/>
                <w:b/>
                <w:color w:val="000000"/>
                <w:sz w:val="22"/>
                <w:szCs w:val="20"/>
              </w:rPr>
              <w:t>95.1</w:t>
            </w:r>
            <w:r w:rsidR="00752E7E">
              <w:rPr>
                <w:rFonts w:asciiTheme="minorHAnsi" w:hAnsiTheme="minorHAnsi" w:cstheme="minorHAnsi"/>
                <w:b/>
                <w:color w:val="000000"/>
                <w:sz w:val="22"/>
                <w:szCs w:val="20"/>
              </w:rPr>
              <w:t>%</w:t>
            </w:r>
          </w:p>
        </w:tc>
      </w:tr>
    </w:tbl>
    <w:p w14:paraId="43763DD6" w14:textId="77777777" w:rsidR="00E97DD3" w:rsidRDefault="00E97DD3" w:rsidP="00F34C75"/>
    <w:p w14:paraId="63B68E46" w14:textId="4ACB8AD5" w:rsidR="00F34C75" w:rsidRDefault="00F34C75" w:rsidP="00F34C75">
      <w:r w:rsidRPr="00FC413A">
        <w:t>F</w:t>
      </w:r>
      <w:r w:rsidRPr="007808CB">
        <w:t>indings by region are presented</w:t>
      </w:r>
      <w:r>
        <w:t xml:space="preserve"> for agencies and solo service providers and WSCs i</w:t>
      </w:r>
      <w:r w:rsidRPr="007808CB">
        <w:t>n Table</w:t>
      </w:r>
      <w:r w:rsidR="009B7777">
        <w:t xml:space="preserve"> 1</w:t>
      </w:r>
      <w:r w:rsidR="00A31325">
        <w:t>6</w:t>
      </w:r>
      <w:r w:rsidRPr="007808CB">
        <w:t>.</w:t>
      </w:r>
      <w:r>
        <w:t xml:space="preserve"> </w:t>
      </w:r>
      <w:r w:rsidRPr="003C091E">
        <w:t xml:space="preserve">WSCs </w:t>
      </w:r>
      <w:r w:rsidR="00457652" w:rsidRPr="003C091E">
        <w:t>we</w:t>
      </w:r>
      <w:r w:rsidRPr="003C091E">
        <w:t>re much more likely to operate as a solo entity</w:t>
      </w:r>
      <w:r w:rsidR="00A53419" w:rsidRPr="003C091E">
        <w:t>; however, all solo WSCs will be incorporated into an agency of four or more WSCs beginning July 1, 2021</w:t>
      </w:r>
      <w:r w:rsidRPr="003C091E">
        <w:t>. Many standards in the</w:t>
      </w:r>
      <w:r>
        <w:t xml:space="preserve"> Policies and Procedures review </w:t>
      </w:r>
      <w:r w:rsidR="00457652">
        <w:t>a</w:t>
      </w:r>
      <w:r>
        <w:t xml:space="preserve">re not applicable to solo providers; therefore, findings are presented separately by region for solo vs agency </w:t>
      </w:r>
      <w:r w:rsidRPr="008F6F11">
        <w:t>providers</w:t>
      </w:r>
      <w:r>
        <w:t xml:space="preserve"> and comparisons should be made with caution.</w:t>
      </w:r>
      <w:r w:rsidR="006640A5">
        <w:t xml:space="preserve"> On average, </w:t>
      </w:r>
      <w:r w:rsidR="000B0954">
        <w:t>agencies</w:t>
      </w:r>
      <w:r w:rsidR="006640A5">
        <w:t xml:space="preserve"> scored higher than solo providers</w:t>
      </w:r>
      <w:r w:rsidR="003C091E">
        <w:t xml:space="preserve"> and WSCs scored higher than service providers</w:t>
      </w:r>
      <w:r w:rsidR="006640A5">
        <w:t xml:space="preserve">.  </w:t>
      </w:r>
    </w:p>
    <w:p w14:paraId="56B74113" w14:textId="77777777" w:rsidR="003C091E" w:rsidRDefault="003C091E" w:rsidP="00E502EE">
      <w:pPr>
        <w:spacing w:line="240" w:lineRule="auto"/>
      </w:pPr>
    </w:p>
    <w:p w14:paraId="59B1AF60" w14:textId="62C09A85" w:rsidR="003C091E" w:rsidRDefault="003C091E" w:rsidP="00E502EE">
      <w:pPr>
        <w:spacing w:line="240" w:lineRule="auto"/>
        <w:rPr>
          <w:rFonts w:asciiTheme="minorHAnsi" w:hAnsiTheme="minorHAnsi"/>
          <w:sz w:val="22"/>
        </w:rPr>
      </w:pPr>
      <w:r>
        <w:fldChar w:fldCharType="begin"/>
      </w:r>
      <w:r>
        <w:instrText xml:space="preserve"> LINK </w:instrText>
      </w:r>
      <w:r w:rsidR="00B053B9">
        <w:instrText xml:space="preserve">Excel.Sheet.12 "C:\\Users\\kellys\\Desktop\\1 kelly folders\\1 FSQAP new jul 2017\\reports\\yr4q2\\Y4Q2 PDR Results_nr smk.xlsx" "6a.P&amp;P-Service Providers!R3C11:R21C20" </w:instrText>
      </w:r>
      <w:r>
        <w:instrText xml:space="preserve">\a \f 4 \h </w:instrText>
      </w:r>
      <w:r>
        <w:fldChar w:fldCharType="separate"/>
      </w:r>
    </w:p>
    <w:tbl>
      <w:tblPr>
        <w:tblW w:w="8740" w:type="dxa"/>
        <w:jc w:val="center"/>
        <w:tblLook w:val="04A0" w:firstRow="1" w:lastRow="0" w:firstColumn="1" w:lastColumn="0" w:noHBand="0" w:noVBand="1"/>
      </w:tblPr>
      <w:tblGrid>
        <w:gridCol w:w="1167"/>
        <w:gridCol w:w="551"/>
        <w:gridCol w:w="1134"/>
        <w:gridCol w:w="934"/>
        <w:gridCol w:w="778"/>
        <w:gridCol w:w="1156"/>
        <w:gridCol w:w="934"/>
        <w:gridCol w:w="551"/>
        <w:gridCol w:w="1164"/>
        <w:gridCol w:w="839"/>
      </w:tblGrid>
      <w:tr w:rsidR="003C091E" w:rsidRPr="003C091E" w14:paraId="5719C00D" w14:textId="77777777" w:rsidTr="003C091E">
        <w:trPr>
          <w:trHeight w:val="600"/>
          <w:jc w:val="center"/>
        </w:trPr>
        <w:tc>
          <w:tcPr>
            <w:tcW w:w="8740" w:type="dxa"/>
            <w:gridSpan w:val="10"/>
            <w:tcBorders>
              <w:top w:val="single" w:sz="8" w:space="0" w:color="auto"/>
              <w:left w:val="single" w:sz="8" w:space="0" w:color="auto"/>
              <w:bottom w:val="nil"/>
              <w:right w:val="single" w:sz="8" w:space="0" w:color="000000"/>
            </w:tcBorders>
            <w:shd w:val="clear" w:color="000000" w:fill="215967"/>
            <w:hideMark/>
          </w:tcPr>
          <w:p w14:paraId="57C90D8D" w14:textId="3D6F2579" w:rsidR="003C091E" w:rsidRPr="003C091E" w:rsidRDefault="003C091E" w:rsidP="003C091E">
            <w:pPr>
              <w:spacing w:line="240" w:lineRule="auto"/>
              <w:jc w:val="center"/>
              <w:rPr>
                <w:rFonts w:ascii="Calibri" w:eastAsia="Times New Roman" w:hAnsi="Calibri" w:cs="Calibri"/>
                <w:b/>
                <w:bCs/>
                <w:color w:val="FFFFFF"/>
                <w:sz w:val="22"/>
              </w:rPr>
            </w:pPr>
            <w:r>
              <w:rPr>
                <w:rFonts w:ascii="Calibri" w:eastAsia="Times New Roman" w:hAnsi="Calibri" w:cs="Calibri"/>
                <w:b/>
                <w:bCs/>
                <w:color w:val="FFFFFF"/>
                <w:sz w:val="22"/>
              </w:rPr>
              <w:t xml:space="preserve">Table 16.  </w:t>
            </w:r>
            <w:r w:rsidRPr="003C091E">
              <w:rPr>
                <w:rFonts w:ascii="Calibri" w:eastAsia="Times New Roman" w:hAnsi="Calibri" w:cs="Calibri"/>
                <w:b/>
                <w:bCs/>
                <w:color w:val="FFFFFF"/>
                <w:sz w:val="22"/>
              </w:rPr>
              <w:t xml:space="preserve">Policy and Procedure Results by Region  Agency v. Solo  </w:t>
            </w:r>
            <w:r w:rsidRPr="003C091E">
              <w:rPr>
                <w:rFonts w:ascii="Calibri" w:eastAsia="Times New Roman" w:hAnsi="Calibri" w:cs="Calibri"/>
                <w:b/>
                <w:bCs/>
                <w:color w:val="FFFFFF"/>
                <w:sz w:val="22"/>
              </w:rPr>
              <w:br/>
              <w:t>July -December 2020</w:t>
            </w:r>
          </w:p>
        </w:tc>
      </w:tr>
      <w:tr w:rsidR="003C091E" w:rsidRPr="003C091E" w14:paraId="094DF04F" w14:textId="77777777" w:rsidTr="003C091E">
        <w:trPr>
          <w:trHeight w:val="300"/>
          <w:jc w:val="center"/>
        </w:trPr>
        <w:tc>
          <w:tcPr>
            <w:tcW w:w="1038" w:type="dxa"/>
            <w:tcBorders>
              <w:top w:val="single" w:sz="4" w:space="0" w:color="auto"/>
              <w:left w:val="single" w:sz="8" w:space="0" w:color="auto"/>
              <w:bottom w:val="nil"/>
              <w:right w:val="double" w:sz="6" w:space="0" w:color="auto"/>
            </w:tcBorders>
            <w:shd w:val="clear" w:color="000000" w:fill="FCD5B4"/>
            <w:noWrap/>
            <w:vAlign w:val="bottom"/>
            <w:hideMark/>
          </w:tcPr>
          <w:p w14:paraId="11E99242"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 </w:t>
            </w:r>
          </w:p>
        </w:tc>
        <w:tc>
          <w:tcPr>
            <w:tcW w:w="2445" w:type="dxa"/>
            <w:gridSpan w:val="3"/>
            <w:tcBorders>
              <w:top w:val="single" w:sz="4" w:space="0" w:color="auto"/>
              <w:left w:val="nil"/>
              <w:bottom w:val="single" w:sz="4" w:space="0" w:color="auto"/>
              <w:right w:val="double" w:sz="6" w:space="0" w:color="000000"/>
            </w:tcBorders>
            <w:shd w:val="clear" w:color="000000" w:fill="FCD5B4"/>
            <w:hideMark/>
          </w:tcPr>
          <w:p w14:paraId="489CB828"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 xml:space="preserve">Service Provider Agencies </w:t>
            </w:r>
          </w:p>
        </w:tc>
        <w:tc>
          <w:tcPr>
            <w:tcW w:w="2868" w:type="dxa"/>
            <w:gridSpan w:val="3"/>
            <w:tcBorders>
              <w:top w:val="single" w:sz="4" w:space="0" w:color="auto"/>
              <w:left w:val="nil"/>
              <w:bottom w:val="single" w:sz="4" w:space="0" w:color="auto"/>
              <w:right w:val="nil"/>
            </w:tcBorders>
            <w:shd w:val="clear" w:color="000000" w:fill="FCD5B4"/>
            <w:hideMark/>
          </w:tcPr>
          <w:p w14:paraId="3F51A9A1"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Service Provider Solos</w:t>
            </w:r>
          </w:p>
        </w:tc>
        <w:tc>
          <w:tcPr>
            <w:tcW w:w="2389" w:type="dxa"/>
            <w:gridSpan w:val="3"/>
            <w:tcBorders>
              <w:top w:val="single" w:sz="4" w:space="0" w:color="auto"/>
              <w:left w:val="double" w:sz="6" w:space="0" w:color="auto"/>
              <w:bottom w:val="single" w:sz="4" w:space="0" w:color="auto"/>
              <w:right w:val="single" w:sz="8" w:space="0" w:color="000000"/>
            </w:tcBorders>
            <w:shd w:val="clear" w:color="000000" w:fill="FCD5B4"/>
            <w:hideMark/>
          </w:tcPr>
          <w:p w14:paraId="3AE549D3"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SP State Average</w:t>
            </w:r>
          </w:p>
        </w:tc>
      </w:tr>
      <w:tr w:rsidR="003C091E" w:rsidRPr="003C091E" w14:paraId="60B8D515" w14:textId="77777777" w:rsidTr="003C091E">
        <w:trPr>
          <w:trHeight w:val="615"/>
          <w:jc w:val="center"/>
        </w:trPr>
        <w:tc>
          <w:tcPr>
            <w:tcW w:w="1038" w:type="dxa"/>
            <w:tcBorders>
              <w:top w:val="nil"/>
              <w:left w:val="single" w:sz="8" w:space="0" w:color="auto"/>
              <w:bottom w:val="double" w:sz="6" w:space="0" w:color="auto"/>
              <w:right w:val="nil"/>
            </w:tcBorders>
            <w:shd w:val="clear" w:color="000000" w:fill="215967"/>
            <w:noWrap/>
            <w:vAlign w:val="bottom"/>
            <w:hideMark/>
          </w:tcPr>
          <w:p w14:paraId="0E08B336" w14:textId="77777777" w:rsidR="003C091E" w:rsidRPr="003C091E" w:rsidRDefault="003C091E" w:rsidP="003C091E">
            <w:pPr>
              <w:spacing w:line="240" w:lineRule="auto"/>
              <w:rPr>
                <w:rFonts w:ascii="Calibri" w:eastAsia="Times New Roman" w:hAnsi="Calibri" w:cs="Calibri"/>
                <w:color w:val="FFFFFF"/>
                <w:sz w:val="22"/>
              </w:rPr>
            </w:pPr>
            <w:r w:rsidRPr="003C091E">
              <w:rPr>
                <w:rFonts w:ascii="Calibri" w:eastAsia="Times New Roman" w:hAnsi="Calibri" w:cs="Calibri"/>
                <w:color w:val="FFFFFF"/>
                <w:sz w:val="22"/>
              </w:rPr>
              <w:t>Region</w:t>
            </w:r>
          </w:p>
        </w:tc>
        <w:tc>
          <w:tcPr>
            <w:tcW w:w="377" w:type="dxa"/>
            <w:tcBorders>
              <w:top w:val="nil"/>
              <w:left w:val="double" w:sz="6" w:space="0" w:color="auto"/>
              <w:bottom w:val="double" w:sz="6" w:space="0" w:color="auto"/>
              <w:right w:val="nil"/>
            </w:tcBorders>
            <w:shd w:val="clear" w:color="000000" w:fill="215967"/>
            <w:noWrap/>
            <w:vAlign w:val="bottom"/>
            <w:hideMark/>
          </w:tcPr>
          <w:p w14:paraId="7ECFCE0B"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34" w:type="dxa"/>
            <w:tcBorders>
              <w:top w:val="nil"/>
              <w:left w:val="nil"/>
              <w:bottom w:val="double" w:sz="6" w:space="0" w:color="auto"/>
              <w:right w:val="nil"/>
            </w:tcBorders>
            <w:shd w:val="clear" w:color="000000" w:fill="215967"/>
            <w:vAlign w:val="bottom"/>
            <w:hideMark/>
          </w:tcPr>
          <w:p w14:paraId="05207B61"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934" w:type="dxa"/>
            <w:tcBorders>
              <w:top w:val="nil"/>
              <w:left w:val="nil"/>
              <w:bottom w:val="double" w:sz="6" w:space="0" w:color="auto"/>
              <w:right w:val="double" w:sz="6" w:space="0" w:color="auto"/>
            </w:tcBorders>
            <w:shd w:val="clear" w:color="000000" w:fill="215967"/>
            <w:vAlign w:val="bottom"/>
            <w:hideMark/>
          </w:tcPr>
          <w:p w14:paraId="4A29E39F"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 xml:space="preserve">% </w:t>
            </w:r>
            <w:r w:rsidRPr="003C091E">
              <w:rPr>
                <w:rFonts w:ascii="Calibri" w:eastAsia="Times New Roman" w:hAnsi="Calibri" w:cs="Calibri"/>
                <w:color w:val="FFFFFF"/>
                <w:sz w:val="22"/>
              </w:rPr>
              <w:br/>
              <w:t xml:space="preserve">Met </w:t>
            </w:r>
          </w:p>
        </w:tc>
        <w:tc>
          <w:tcPr>
            <w:tcW w:w="778" w:type="dxa"/>
            <w:tcBorders>
              <w:top w:val="nil"/>
              <w:left w:val="nil"/>
              <w:bottom w:val="double" w:sz="6" w:space="0" w:color="auto"/>
              <w:right w:val="nil"/>
            </w:tcBorders>
            <w:shd w:val="clear" w:color="000000" w:fill="215967"/>
            <w:vAlign w:val="bottom"/>
            <w:hideMark/>
          </w:tcPr>
          <w:p w14:paraId="440E2B1F"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56" w:type="dxa"/>
            <w:tcBorders>
              <w:top w:val="nil"/>
              <w:left w:val="nil"/>
              <w:bottom w:val="double" w:sz="6" w:space="0" w:color="auto"/>
              <w:right w:val="nil"/>
            </w:tcBorders>
            <w:shd w:val="clear" w:color="000000" w:fill="215967"/>
            <w:vAlign w:val="bottom"/>
            <w:hideMark/>
          </w:tcPr>
          <w:p w14:paraId="6E990E5D"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934" w:type="dxa"/>
            <w:tcBorders>
              <w:top w:val="nil"/>
              <w:left w:val="nil"/>
              <w:bottom w:val="double" w:sz="6" w:space="0" w:color="auto"/>
              <w:right w:val="double" w:sz="6" w:space="0" w:color="auto"/>
            </w:tcBorders>
            <w:shd w:val="clear" w:color="000000" w:fill="215967"/>
            <w:vAlign w:val="bottom"/>
            <w:hideMark/>
          </w:tcPr>
          <w:p w14:paraId="00C8F848"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w:t>
            </w:r>
            <w:r w:rsidRPr="003C091E">
              <w:rPr>
                <w:rFonts w:ascii="Calibri" w:eastAsia="Times New Roman" w:hAnsi="Calibri" w:cs="Calibri"/>
                <w:color w:val="FFFFFF"/>
                <w:sz w:val="22"/>
              </w:rPr>
              <w:br/>
              <w:t xml:space="preserve"> Met</w:t>
            </w:r>
          </w:p>
        </w:tc>
        <w:tc>
          <w:tcPr>
            <w:tcW w:w="386" w:type="dxa"/>
            <w:tcBorders>
              <w:top w:val="nil"/>
              <w:left w:val="nil"/>
              <w:bottom w:val="double" w:sz="6" w:space="0" w:color="auto"/>
              <w:right w:val="nil"/>
            </w:tcBorders>
            <w:shd w:val="clear" w:color="000000" w:fill="215967"/>
            <w:noWrap/>
            <w:vAlign w:val="bottom"/>
            <w:hideMark/>
          </w:tcPr>
          <w:p w14:paraId="38E98440"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64" w:type="dxa"/>
            <w:tcBorders>
              <w:top w:val="nil"/>
              <w:left w:val="nil"/>
              <w:bottom w:val="double" w:sz="6" w:space="0" w:color="auto"/>
              <w:right w:val="nil"/>
            </w:tcBorders>
            <w:shd w:val="clear" w:color="000000" w:fill="215967"/>
            <w:vAlign w:val="bottom"/>
            <w:hideMark/>
          </w:tcPr>
          <w:p w14:paraId="71835787"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839" w:type="dxa"/>
            <w:tcBorders>
              <w:top w:val="nil"/>
              <w:left w:val="nil"/>
              <w:bottom w:val="double" w:sz="6" w:space="0" w:color="auto"/>
              <w:right w:val="single" w:sz="8" w:space="0" w:color="auto"/>
            </w:tcBorders>
            <w:shd w:val="clear" w:color="000000" w:fill="215967"/>
            <w:vAlign w:val="bottom"/>
            <w:hideMark/>
          </w:tcPr>
          <w:p w14:paraId="56C1B7E6"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w:t>
            </w:r>
            <w:r w:rsidRPr="003C091E">
              <w:rPr>
                <w:rFonts w:ascii="Calibri" w:eastAsia="Times New Roman" w:hAnsi="Calibri" w:cs="Calibri"/>
                <w:color w:val="FFFFFF"/>
                <w:sz w:val="22"/>
              </w:rPr>
              <w:br/>
              <w:t xml:space="preserve"> Met</w:t>
            </w:r>
          </w:p>
        </w:tc>
      </w:tr>
      <w:tr w:rsidR="003C091E" w:rsidRPr="003C091E" w14:paraId="1BD65420" w14:textId="77777777" w:rsidTr="003C091E">
        <w:trPr>
          <w:trHeight w:val="315"/>
          <w:jc w:val="center"/>
        </w:trPr>
        <w:tc>
          <w:tcPr>
            <w:tcW w:w="1038" w:type="dxa"/>
            <w:tcBorders>
              <w:top w:val="nil"/>
              <w:left w:val="single" w:sz="8" w:space="0" w:color="auto"/>
              <w:bottom w:val="single" w:sz="4" w:space="0" w:color="auto"/>
              <w:right w:val="nil"/>
            </w:tcBorders>
            <w:shd w:val="clear" w:color="auto" w:fill="auto"/>
            <w:noWrap/>
            <w:vAlign w:val="bottom"/>
            <w:hideMark/>
          </w:tcPr>
          <w:p w14:paraId="2DD3815D"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Northwest</w:t>
            </w:r>
          </w:p>
        </w:tc>
        <w:tc>
          <w:tcPr>
            <w:tcW w:w="377" w:type="dxa"/>
            <w:tcBorders>
              <w:top w:val="nil"/>
              <w:left w:val="double" w:sz="6" w:space="0" w:color="auto"/>
              <w:bottom w:val="single" w:sz="4" w:space="0" w:color="auto"/>
              <w:right w:val="nil"/>
            </w:tcBorders>
            <w:shd w:val="clear" w:color="auto" w:fill="auto"/>
            <w:noWrap/>
            <w:vAlign w:val="bottom"/>
            <w:hideMark/>
          </w:tcPr>
          <w:p w14:paraId="2616947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26</w:t>
            </w:r>
          </w:p>
        </w:tc>
        <w:tc>
          <w:tcPr>
            <w:tcW w:w="1134" w:type="dxa"/>
            <w:tcBorders>
              <w:top w:val="nil"/>
              <w:left w:val="nil"/>
              <w:bottom w:val="single" w:sz="4" w:space="0" w:color="auto"/>
              <w:right w:val="nil"/>
            </w:tcBorders>
            <w:shd w:val="clear" w:color="auto" w:fill="auto"/>
            <w:noWrap/>
            <w:vAlign w:val="bottom"/>
            <w:hideMark/>
          </w:tcPr>
          <w:p w14:paraId="4B4B791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288</w:t>
            </w:r>
          </w:p>
        </w:tc>
        <w:tc>
          <w:tcPr>
            <w:tcW w:w="934" w:type="dxa"/>
            <w:tcBorders>
              <w:top w:val="nil"/>
              <w:left w:val="nil"/>
              <w:bottom w:val="single" w:sz="4" w:space="0" w:color="auto"/>
              <w:right w:val="double" w:sz="6" w:space="0" w:color="auto"/>
            </w:tcBorders>
            <w:shd w:val="clear" w:color="auto" w:fill="auto"/>
            <w:noWrap/>
            <w:vAlign w:val="bottom"/>
            <w:hideMark/>
          </w:tcPr>
          <w:p w14:paraId="297166F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98.3%</w:t>
            </w:r>
          </w:p>
        </w:tc>
        <w:tc>
          <w:tcPr>
            <w:tcW w:w="778" w:type="dxa"/>
            <w:tcBorders>
              <w:top w:val="nil"/>
              <w:left w:val="nil"/>
              <w:bottom w:val="single" w:sz="4" w:space="0" w:color="auto"/>
              <w:right w:val="nil"/>
            </w:tcBorders>
            <w:shd w:val="clear" w:color="auto" w:fill="auto"/>
            <w:noWrap/>
            <w:vAlign w:val="bottom"/>
            <w:hideMark/>
          </w:tcPr>
          <w:p w14:paraId="7E87ABA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15</w:t>
            </w:r>
          </w:p>
        </w:tc>
        <w:tc>
          <w:tcPr>
            <w:tcW w:w="1156" w:type="dxa"/>
            <w:tcBorders>
              <w:top w:val="nil"/>
              <w:left w:val="nil"/>
              <w:bottom w:val="single" w:sz="4" w:space="0" w:color="auto"/>
              <w:right w:val="nil"/>
            </w:tcBorders>
            <w:shd w:val="clear" w:color="auto" w:fill="auto"/>
            <w:noWrap/>
            <w:vAlign w:val="bottom"/>
            <w:hideMark/>
          </w:tcPr>
          <w:p w14:paraId="35D1200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15</w:t>
            </w:r>
          </w:p>
        </w:tc>
        <w:tc>
          <w:tcPr>
            <w:tcW w:w="934" w:type="dxa"/>
            <w:tcBorders>
              <w:top w:val="nil"/>
              <w:left w:val="nil"/>
              <w:bottom w:val="single" w:sz="4" w:space="0" w:color="auto"/>
              <w:right w:val="nil"/>
            </w:tcBorders>
            <w:shd w:val="clear" w:color="auto" w:fill="auto"/>
            <w:noWrap/>
            <w:vAlign w:val="bottom"/>
            <w:hideMark/>
          </w:tcPr>
          <w:p w14:paraId="32C677D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80.0%</w:t>
            </w:r>
          </w:p>
        </w:tc>
        <w:tc>
          <w:tcPr>
            <w:tcW w:w="386" w:type="dxa"/>
            <w:tcBorders>
              <w:top w:val="nil"/>
              <w:left w:val="double" w:sz="6" w:space="0" w:color="auto"/>
              <w:bottom w:val="single" w:sz="4" w:space="0" w:color="auto"/>
              <w:right w:val="nil"/>
            </w:tcBorders>
            <w:shd w:val="clear" w:color="auto" w:fill="auto"/>
            <w:noWrap/>
            <w:vAlign w:val="bottom"/>
            <w:hideMark/>
          </w:tcPr>
          <w:p w14:paraId="02F0885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41</w:t>
            </w:r>
          </w:p>
        </w:tc>
        <w:tc>
          <w:tcPr>
            <w:tcW w:w="1164" w:type="dxa"/>
            <w:tcBorders>
              <w:top w:val="nil"/>
              <w:left w:val="nil"/>
              <w:bottom w:val="single" w:sz="4" w:space="0" w:color="auto"/>
              <w:right w:val="nil"/>
            </w:tcBorders>
            <w:shd w:val="clear" w:color="auto" w:fill="auto"/>
            <w:noWrap/>
            <w:vAlign w:val="bottom"/>
            <w:hideMark/>
          </w:tcPr>
          <w:p w14:paraId="60AC2B0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303</w:t>
            </w:r>
          </w:p>
        </w:tc>
        <w:tc>
          <w:tcPr>
            <w:tcW w:w="839" w:type="dxa"/>
            <w:tcBorders>
              <w:top w:val="nil"/>
              <w:left w:val="nil"/>
              <w:bottom w:val="single" w:sz="4" w:space="0" w:color="auto"/>
              <w:right w:val="single" w:sz="8" w:space="0" w:color="auto"/>
            </w:tcBorders>
            <w:shd w:val="clear" w:color="auto" w:fill="auto"/>
            <w:hideMark/>
          </w:tcPr>
          <w:p w14:paraId="47FBA42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97.4%</w:t>
            </w:r>
          </w:p>
        </w:tc>
      </w:tr>
      <w:tr w:rsidR="003C091E" w:rsidRPr="003C091E" w14:paraId="0309974D"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08661A2F"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Northeast</w:t>
            </w:r>
          </w:p>
        </w:tc>
        <w:tc>
          <w:tcPr>
            <w:tcW w:w="377" w:type="dxa"/>
            <w:tcBorders>
              <w:top w:val="nil"/>
              <w:left w:val="double" w:sz="6" w:space="0" w:color="auto"/>
              <w:bottom w:val="single" w:sz="4" w:space="0" w:color="auto"/>
              <w:right w:val="nil"/>
            </w:tcBorders>
            <w:shd w:val="clear" w:color="auto" w:fill="auto"/>
            <w:noWrap/>
            <w:vAlign w:val="bottom"/>
            <w:hideMark/>
          </w:tcPr>
          <w:p w14:paraId="5007264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90</w:t>
            </w:r>
          </w:p>
        </w:tc>
        <w:tc>
          <w:tcPr>
            <w:tcW w:w="1134" w:type="dxa"/>
            <w:tcBorders>
              <w:top w:val="nil"/>
              <w:left w:val="nil"/>
              <w:bottom w:val="single" w:sz="4" w:space="0" w:color="auto"/>
              <w:right w:val="nil"/>
            </w:tcBorders>
            <w:shd w:val="clear" w:color="auto" w:fill="auto"/>
            <w:noWrap/>
            <w:vAlign w:val="bottom"/>
            <w:hideMark/>
          </w:tcPr>
          <w:p w14:paraId="3D54949D"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1,133</w:t>
            </w:r>
          </w:p>
        </w:tc>
        <w:tc>
          <w:tcPr>
            <w:tcW w:w="934" w:type="dxa"/>
            <w:tcBorders>
              <w:top w:val="nil"/>
              <w:left w:val="nil"/>
              <w:bottom w:val="single" w:sz="4" w:space="0" w:color="auto"/>
              <w:right w:val="double" w:sz="6" w:space="0" w:color="auto"/>
            </w:tcBorders>
            <w:shd w:val="clear" w:color="auto" w:fill="auto"/>
            <w:noWrap/>
            <w:vAlign w:val="bottom"/>
            <w:hideMark/>
          </w:tcPr>
          <w:p w14:paraId="70D6198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96.7%</w:t>
            </w:r>
          </w:p>
        </w:tc>
        <w:tc>
          <w:tcPr>
            <w:tcW w:w="778" w:type="dxa"/>
            <w:tcBorders>
              <w:top w:val="nil"/>
              <w:left w:val="nil"/>
              <w:bottom w:val="single" w:sz="4" w:space="0" w:color="auto"/>
              <w:right w:val="nil"/>
            </w:tcBorders>
            <w:shd w:val="clear" w:color="auto" w:fill="auto"/>
            <w:noWrap/>
            <w:vAlign w:val="bottom"/>
            <w:hideMark/>
          </w:tcPr>
          <w:p w14:paraId="609F6A9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28</w:t>
            </w:r>
          </w:p>
        </w:tc>
        <w:tc>
          <w:tcPr>
            <w:tcW w:w="1156" w:type="dxa"/>
            <w:tcBorders>
              <w:top w:val="nil"/>
              <w:left w:val="nil"/>
              <w:bottom w:val="single" w:sz="4" w:space="0" w:color="auto"/>
              <w:right w:val="nil"/>
            </w:tcBorders>
            <w:shd w:val="clear" w:color="auto" w:fill="auto"/>
            <w:noWrap/>
            <w:vAlign w:val="bottom"/>
            <w:hideMark/>
          </w:tcPr>
          <w:p w14:paraId="5EC86B5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51</w:t>
            </w:r>
          </w:p>
        </w:tc>
        <w:tc>
          <w:tcPr>
            <w:tcW w:w="934" w:type="dxa"/>
            <w:tcBorders>
              <w:top w:val="nil"/>
              <w:left w:val="nil"/>
              <w:bottom w:val="single" w:sz="4" w:space="0" w:color="auto"/>
              <w:right w:val="nil"/>
            </w:tcBorders>
            <w:shd w:val="clear" w:color="auto" w:fill="auto"/>
            <w:noWrap/>
            <w:vAlign w:val="bottom"/>
            <w:hideMark/>
          </w:tcPr>
          <w:p w14:paraId="49CA853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86.3%</w:t>
            </w:r>
          </w:p>
        </w:tc>
        <w:tc>
          <w:tcPr>
            <w:tcW w:w="386" w:type="dxa"/>
            <w:tcBorders>
              <w:top w:val="nil"/>
              <w:left w:val="double" w:sz="6" w:space="0" w:color="auto"/>
              <w:bottom w:val="single" w:sz="4" w:space="0" w:color="auto"/>
              <w:right w:val="nil"/>
            </w:tcBorders>
            <w:shd w:val="clear" w:color="auto" w:fill="auto"/>
            <w:noWrap/>
            <w:vAlign w:val="bottom"/>
            <w:hideMark/>
          </w:tcPr>
          <w:p w14:paraId="7965EAB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118</w:t>
            </w:r>
          </w:p>
        </w:tc>
        <w:tc>
          <w:tcPr>
            <w:tcW w:w="1164" w:type="dxa"/>
            <w:tcBorders>
              <w:top w:val="nil"/>
              <w:left w:val="nil"/>
              <w:bottom w:val="single" w:sz="4" w:space="0" w:color="auto"/>
              <w:right w:val="nil"/>
            </w:tcBorders>
            <w:shd w:val="clear" w:color="auto" w:fill="auto"/>
            <w:noWrap/>
            <w:vAlign w:val="bottom"/>
            <w:hideMark/>
          </w:tcPr>
          <w:p w14:paraId="55EB71B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1184</w:t>
            </w:r>
          </w:p>
        </w:tc>
        <w:tc>
          <w:tcPr>
            <w:tcW w:w="839" w:type="dxa"/>
            <w:tcBorders>
              <w:top w:val="nil"/>
              <w:left w:val="nil"/>
              <w:bottom w:val="single" w:sz="4" w:space="0" w:color="auto"/>
              <w:right w:val="single" w:sz="8" w:space="0" w:color="auto"/>
            </w:tcBorders>
            <w:shd w:val="clear" w:color="auto" w:fill="auto"/>
            <w:hideMark/>
          </w:tcPr>
          <w:p w14:paraId="4476222B"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96.3%</w:t>
            </w:r>
          </w:p>
        </w:tc>
      </w:tr>
      <w:tr w:rsidR="003C091E" w:rsidRPr="003C091E" w14:paraId="4B5041BE"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21FE29FC"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Central</w:t>
            </w:r>
          </w:p>
        </w:tc>
        <w:tc>
          <w:tcPr>
            <w:tcW w:w="377" w:type="dxa"/>
            <w:tcBorders>
              <w:top w:val="nil"/>
              <w:left w:val="double" w:sz="6" w:space="0" w:color="auto"/>
              <w:bottom w:val="single" w:sz="4" w:space="0" w:color="auto"/>
              <w:right w:val="nil"/>
            </w:tcBorders>
            <w:shd w:val="clear" w:color="auto" w:fill="auto"/>
            <w:noWrap/>
            <w:vAlign w:val="bottom"/>
            <w:hideMark/>
          </w:tcPr>
          <w:p w14:paraId="2E9D6731"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149</w:t>
            </w:r>
          </w:p>
        </w:tc>
        <w:tc>
          <w:tcPr>
            <w:tcW w:w="1134" w:type="dxa"/>
            <w:tcBorders>
              <w:top w:val="nil"/>
              <w:left w:val="nil"/>
              <w:bottom w:val="single" w:sz="4" w:space="0" w:color="auto"/>
              <w:right w:val="nil"/>
            </w:tcBorders>
            <w:shd w:val="clear" w:color="auto" w:fill="auto"/>
            <w:noWrap/>
            <w:vAlign w:val="bottom"/>
            <w:hideMark/>
          </w:tcPr>
          <w:p w14:paraId="678C879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1,643</w:t>
            </w:r>
          </w:p>
        </w:tc>
        <w:tc>
          <w:tcPr>
            <w:tcW w:w="934" w:type="dxa"/>
            <w:tcBorders>
              <w:top w:val="nil"/>
              <w:left w:val="nil"/>
              <w:bottom w:val="single" w:sz="4" w:space="0" w:color="auto"/>
              <w:right w:val="double" w:sz="6" w:space="0" w:color="auto"/>
            </w:tcBorders>
            <w:shd w:val="clear" w:color="auto" w:fill="auto"/>
            <w:noWrap/>
            <w:vAlign w:val="bottom"/>
            <w:hideMark/>
          </w:tcPr>
          <w:p w14:paraId="153A559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94.2%</w:t>
            </w:r>
          </w:p>
        </w:tc>
        <w:tc>
          <w:tcPr>
            <w:tcW w:w="778" w:type="dxa"/>
            <w:tcBorders>
              <w:top w:val="nil"/>
              <w:left w:val="nil"/>
              <w:bottom w:val="single" w:sz="4" w:space="0" w:color="auto"/>
              <w:right w:val="nil"/>
            </w:tcBorders>
            <w:shd w:val="clear" w:color="auto" w:fill="auto"/>
            <w:noWrap/>
            <w:vAlign w:val="bottom"/>
            <w:hideMark/>
          </w:tcPr>
          <w:p w14:paraId="79F2625C"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21</w:t>
            </w:r>
          </w:p>
        </w:tc>
        <w:tc>
          <w:tcPr>
            <w:tcW w:w="1156" w:type="dxa"/>
            <w:tcBorders>
              <w:top w:val="nil"/>
              <w:left w:val="nil"/>
              <w:bottom w:val="single" w:sz="4" w:space="0" w:color="auto"/>
              <w:right w:val="nil"/>
            </w:tcBorders>
            <w:shd w:val="clear" w:color="auto" w:fill="auto"/>
            <w:noWrap/>
            <w:vAlign w:val="bottom"/>
            <w:hideMark/>
          </w:tcPr>
          <w:p w14:paraId="62B461D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40</w:t>
            </w:r>
          </w:p>
        </w:tc>
        <w:tc>
          <w:tcPr>
            <w:tcW w:w="934" w:type="dxa"/>
            <w:tcBorders>
              <w:top w:val="nil"/>
              <w:left w:val="nil"/>
              <w:bottom w:val="single" w:sz="4" w:space="0" w:color="auto"/>
              <w:right w:val="nil"/>
            </w:tcBorders>
            <w:shd w:val="clear" w:color="auto" w:fill="auto"/>
            <w:noWrap/>
            <w:vAlign w:val="bottom"/>
            <w:hideMark/>
          </w:tcPr>
          <w:p w14:paraId="3D19C5F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87.5%</w:t>
            </w:r>
          </w:p>
        </w:tc>
        <w:tc>
          <w:tcPr>
            <w:tcW w:w="386" w:type="dxa"/>
            <w:tcBorders>
              <w:top w:val="nil"/>
              <w:left w:val="double" w:sz="6" w:space="0" w:color="auto"/>
              <w:bottom w:val="single" w:sz="4" w:space="0" w:color="auto"/>
              <w:right w:val="nil"/>
            </w:tcBorders>
            <w:shd w:val="clear" w:color="auto" w:fill="auto"/>
            <w:noWrap/>
            <w:vAlign w:val="bottom"/>
            <w:hideMark/>
          </w:tcPr>
          <w:p w14:paraId="20CCD7F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170</w:t>
            </w:r>
          </w:p>
        </w:tc>
        <w:tc>
          <w:tcPr>
            <w:tcW w:w="1164" w:type="dxa"/>
            <w:tcBorders>
              <w:top w:val="nil"/>
              <w:left w:val="nil"/>
              <w:bottom w:val="single" w:sz="4" w:space="0" w:color="auto"/>
              <w:right w:val="nil"/>
            </w:tcBorders>
            <w:shd w:val="clear" w:color="auto" w:fill="auto"/>
            <w:noWrap/>
            <w:vAlign w:val="bottom"/>
            <w:hideMark/>
          </w:tcPr>
          <w:p w14:paraId="6D8712B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1683</w:t>
            </w:r>
          </w:p>
        </w:tc>
        <w:tc>
          <w:tcPr>
            <w:tcW w:w="839" w:type="dxa"/>
            <w:tcBorders>
              <w:top w:val="nil"/>
              <w:left w:val="nil"/>
              <w:bottom w:val="single" w:sz="4" w:space="0" w:color="auto"/>
              <w:right w:val="single" w:sz="8" w:space="0" w:color="auto"/>
            </w:tcBorders>
            <w:shd w:val="clear" w:color="auto" w:fill="auto"/>
            <w:hideMark/>
          </w:tcPr>
          <w:p w14:paraId="71E723AB"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94.1%</w:t>
            </w:r>
          </w:p>
        </w:tc>
      </w:tr>
      <w:tr w:rsidR="003C091E" w:rsidRPr="003C091E" w14:paraId="15D2F5FB"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60F70225"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Suncoast</w:t>
            </w:r>
          </w:p>
        </w:tc>
        <w:tc>
          <w:tcPr>
            <w:tcW w:w="377" w:type="dxa"/>
            <w:tcBorders>
              <w:top w:val="nil"/>
              <w:left w:val="double" w:sz="6" w:space="0" w:color="auto"/>
              <w:bottom w:val="single" w:sz="4" w:space="0" w:color="auto"/>
              <w:right w:val="nil"/>
            </w:tcBorders>
            <w:shd w:val="clear" w:color="auto" w:fill="auto"/>
            <w:noWrap/>
            <w:vAlign w:val="bottom"/>
            <w:hideMark/>
          </w:tcPr>
          <w:p w14:paraId="7F1A236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213</w:t>
            </w:r>
          </w:p>
        </w:tc>
        <w:tc>
          <w:tcPr>
            <w:tcW w:w="1134" w:type="dxa"/>
            <w:tcBorders>
              <w:top w:val="nil"/>
              <w:left w:val="nil"/>
              <w:bottom w:val="single" w:sz="4" w:space="0" w:color="auto"/>
              <w:right w:val="nil"/>
            </w:tcBorders>
            <w:shd w:val="clear" w:color="auto" w:fill="auto"/>
            <w:noWrap/>
            <w:vAlign w:val="bottom"/>
            <w:hideMark/>
          </w:tcPr>
          <w:p w14:paraId="28CCF7B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2,381</w:t>
            </w:r>
          </w:p>
        </w:tc>
        <w:tc>
          <w:tcPr>
            <w:tcW w:w="934" w:type="dxa"/>
            <w:tcBorders>
              <w:top w:val="nil"/>
              <w:left w:val="nil"/>
              <w:bottom w:val="single" w:sz="4" w:space="0" w:color="auto"/>
              <w:right w:val="double" w:sz="6" w:space="0" w:color="auto"/>
            </w:tcBorders>
            <w:shd w:val="clear" w:color="auto" w:fill="auto"/>
            <w:noWrap/>
            <w:vAlign w:val="bottom"/>
            <w:hideMark/>
          </w:tcPr>
          <w:p w14:paraId="5A48047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89.2%</w:t>
            </w:r>
          </w:p>
        </w:tc>
        <w:tc>
          <w:tcPr>
            <w:tcW w:w="778" w:type="dxa"/>
            <w:tcBorders>
              <w:top w:val="nil"/>
              <w:left w:val="nil"/>
              <w:bottom w:val="single" w:sz="4" w:space="0" w:color="auto"/>
              <w:right w:val="nil"/>
            </w:tcBorders>
            <w:shd w:val="clear" w:color="auto" w:fill="auto"/>
            <w:noWrap/>
            <w:vAlign w:val="bottom"/>
            <w:hideMark/>
          </w:tcPr>
          <w:p w14:paraId="17E0330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21</w:t>
            </w:r>
          </w:p>
        </w:tc>
        <w:tc>
          <w:tcPr>
            <w:tcW w:w="1156" w:type="dxa"/>
            <w:tcBorders>
              <w:top w:val="nil"/>
              <w:left w:val="nil"/>
              <w:bottom w:val="single" w:sz="4" w:space="0" w:color="auto"/>
              <w:right w:val="nil"/>
            </w:tcBorders>
            <w:shd w:val="clear" w:color="auto" w:fill="auto"/>
            <w:noWrap/>
            <w:vAlign w:val="bottom"/>
            <w:hideMark/>
          </w:tcPr>
          <w:p w14:paraId="0F127FAB"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23</w:t>
            </w:r>
          </w:p>
        </w:tc>
        <w:tc>
          <w:tcPr>
            <w:tcW w:w="934" w:type="dxa"/>
            <w:tcBorders>
              <w:top w:val="nil"/>
              <w:left w:val="nil"/>
              <w:bottom w:val="single" w:sz="4" w:space="0" w:color="auto"/>
              <w:right w:val="nil"/>
            </w:tcBorders>
            <w:shd w:val="clear" w:color="auto" w:fill="auto"/>
            <w:noWrap/>
            <w:vAlign w:val="bottom"/>
            <w:hideMark/>
          </w:tcPr>
          <w:p w14:paraId="53B87AB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87.0%</w:t>
            </w:r>
          </w:p>
        </w:tc>
        <w:tc>
          <w:tcPr>
            <w:tcW w:w="386" w:type="dxa"/>
            <w:tcBorders>
              <w:top w:val="nil"/>
              <w:left w:val="double" w:sz="6" w:space="0" w:color="auto"/>
              <w:bottom w:val="single" w:sz="4" w:space="0" w:color="auto"/>
              <w:right w:val="nil"/>
            </w:tcBorders>
            <w:shd w:val="clear" w:color="auto" w:fill="auto"/>
            <w:noWrap/>
            <w:vAlign w:val="bottom"/>
            <w:hideMark/>
          </w:tcPr>
          <w:p w14:paraId="6748B62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234</w:t>
            </w:r>
          </w:p>
        </w:tc>
        <w:tc>
          <w:tcPr>
            <w:tcW w:w="1164" w:type="dxa"/>
            <w:tcBorders>
              <w:top w:val="nil"/>
              <w:left w:val="nil"/>
              <w:bottom w:val="single" w:sz="4" w:space="0" w:color="auto"/>
              <w:right w:val="nil"/>
            </w:tcBorders>
            <w:shd w:val="clear" w:color="auto" w:fill="auto"/>
            <w:noWrap/>
            <w:vAlign w:val="bottom"/>
            <w:hideMark/>
          </w:tcPr>
          <w:p w14:paraId="6B805FFD"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2404</w:t>
            </w:r>
          </w:p>
        </w:tc>
        <w:tc>
          <w:tcPr>
            <w:tcW w:w="839" w:type="dxa"/>
            <w:tcBorders>
              <w:top w:val="nil"/>
              <w:left w:val="nil"/>
              <w:bottom w:val="single" w:sz="4" w:space="0" w:color="auto"/>
              <w:right w:val="single" w:sz="8" w:space="0" w:color="auto"/>
            </w:tcBorders>
            <w:shd w:val="clear" w:color="auto" w:fill="auto"/>
            <w:hideMark/>
          </w:tcPr>
          <w:p w14:paraId="36EF4FB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89.1%</w:t>
            </w:r>
          </w:p>
        </w:tc>
      </w:tr>
      <w:tr w:rsidR="003C091E" w:rsidRPr="003C091E" w14:paraId="488055EC"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59335C5F"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Southeast</w:t>
            </w:r>
          </w:p>
        </w:tc>
        <w:tc>
          <w:tcPr>
            <w:tcW w:w="377" w:type="dxa"/>
            <w:tcBorders>
              <w:top w:val="nil"/>
              <w:left w:val="double" w:sz="6" w:space="0" w:color="auto"/>
              <w:bottom w:val="single" w:sz="4" w:space="0" w:color="auto"/>
              <w:right w:val="nil"/>
            </w:tcBorders>
            <w:shd w:val="clear" w:color="auto" w:fill="auto"/>
            <w:noWrap/>
            <w:vAlign w:val="bottom"/>
            <w:hideMark/>
          </w:tcPr>
          <w:p w14:paraId="226B9F9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114</w:t>
            </w:r>
          </w:p>
        </w:tc>
        <w:tc>
          <w:tcPr>
            <w:tcW w:w="1134" w:type="dxa"/>
            <w:tcBorders>
              <w:top w:val="nil"/>
              <w:left w:val="nil"/>
              <w:bottom w:val="single" w:sz="4" w:space="0" w:color="auto"/>
              <w:right w:val="nil"/>
            </w:tcBorders>
            <w:shd w:val="clear" w:color="auto" w:fill="auto"/>
            <w:noWrap/>
            <w:vAlign w:val="bottom"/>
            <w:hideMark/>
          </w:tcPr>
          <w:p w14:paraId="15D595E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1,165</w:t>
            </w:r>
          </w:p>
        </w:tc>
        <w:tc>
          <w:tcPr>
            <w:tcW w:w="934" w:type="dxa"/>
            <w:tcBorders>
              <w:top w:val="nil"/>
              <w:left w:val="nil"/>
              <w:bottom w:val="single" w:sz="4" w:space="0" w:color="auto"/>
              <w:right w:val="double" w:sz="6" w:space="0" w:color="auto"/>
            </w:tcBorders>
            <w:shd w:val="clear" w:color="auto" w:fill="auto"/>
            <w:noWrap/>
            <w:vAlign w:val="bottom"/>
            <w:hideMark/>
          </w:tcPr>
          <w:p w14:paraId="3DE5A8E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90.3%</w:t>
            </w:r>
          </w:p>
        </w:tc>
        <w:tc>
          <w:tcPr>
            <w:tcW w:w="778" w:type="dxa"/>
            <w:tcBorders>
              <w:top w:val="nil"/>
              <w:left w:val="nil"/>
              <w:bottom w:val="single" w:sz="4" w:space="0" w:color="auto"/>
              <w:right w:val="nil"/>
            </w:tcBorders>
            <w:shd w:val="clear" w:color="auto" w:fill="auto"/>
            <w:noWrap/>
            <w:vAlign w:val="bottom"/>
            <w:hideMark/>
          </w:tcPr>
          <w:p w14:paraId="2E8D467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w:t>
            </w:r>
          </w:p>
        </w:tc>
        <w:tc>
          <w:tcPr>
            <w:tcW w:w="1156" w:type="dxa"/>
            <w:tcBorders>
              <w:top w:val="nil"/>
              <w:left w:val="nil"/>
              <w:bottom w:val="single" w:sz="4" w:space="0" w:color="auto"/>
              <w:right w:val="nil"/>
            </w:tcBorders>
            <w:shd w:val="clear" w:color="auto" w:fill="auto"/>
            <w:noWrap/>
            <w:vAlign w:val="bottom"/>
            <w:hideMark/>
          </w:tcPr>
          <w:p w14:paraId="7CD40A1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13</w:t>
            </w:r>
          </w:p>
        </w:tc>
        <w:tc>
          <w:tcPr>
            <w:tcW w:w="934" w:type="dxa"/>
            <w:tcBorders>
              <w:top w:val="nil"/>
              <w:left w:val="nil"/>
              <w:bottom w:val="single" w:sz="4" w:space="0" w:color="auto"/>
              <w:right w:val="nil"/>
            </w:tcBorders>
            <w:shd w:val="clear" w:color="auto" w:fill="auto"/>
            <w:noWrap/>
            <w:vAlign w:val="bottom"/>
            <w:hideMark/>
          </w:tcPr>
          <w:p w14:paraId="6D93A7D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92.3%</w:t>
            </w:r>
          </w:p>
        </w:tc>
        <w:tc>
          <w:tcPr>
            <w:tcW w:w="386" w:type="dxa"/>
            <w:tcBorders>
              <w:top w:val="nil"/>
              <w:left w:val="double" w:sz="6" w:space="0" w:color="auto"/>
              <w:bottom w:val="single" w:sz="4" w:space="0" w:color="auto"/>
              <w:right w:val="nil"/>
            </w:tcBorders>
            <w:shd w:val="clear" w:color="auto" w:fill="auto"/>
            <w:noWrap/>
            <w:vAlign w:val="bottom"/>
            <w:hideMark/>
          </w:tcPr>
          <w:p w14:paraId="549A9F4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125</w:t>
            </w:r>
          </w:p>
        </w:tc>
        <w:tc>
          <w:tcPr>
            <w:tcW w:w="1164" w:type="dxa"/>
            <w:tcBorders>
              <w:top w:val="nil"/>
              <w:left w:val="nil"/>
              <w:bottom w:val="single" w:sz="4" w:space="0" w:color="auto"/>
              <w:right w:val="nil"/>
            </w:tcBorders>
            <w:shd w:val="clear" w:color="auto" w:fill="auto"/>
            <w:noWrap/>
            <w:vAlign w:val="bottom"/>
            <w:hideMark/>
          </w:tcPr>
          <w:p w14:paraId="4ADD14E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1178</w:t>
            </w:r>
          </w:p>
        </w:tc>
        <w:tc>
          <w:tcPr>
            <w:tcW w:w="839" w:type="dxa"/>
            <w:tcBorders>
              <w:top w:val="nil"/>
              <w:left w:val="nil"/>
              <w:bottom w:val="single" w:sz="4" w:space="0" w:color="auto"/>
              <w:right w:val="single" w:sz="8" w:space="0" w:color="auto"/>
            </w:tcBorders>
            <w:shd w:val="clear" w:color="auto" w:fill="auto"/>
            <w:hideMark/>
          </w:tcPr>
          <w:p w14:paraId="1E76A40D"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90.3%</w:t>
            </w:r>
          </w:p>
        </w:tc>
      </w:tr>
      <w:tr w:rsidR="003C091E" w:rsidRPr="003C091E" w14:paraId="14C0C2E9"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7E6D1858"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Southern</w:t>
            </w:r>
          </w:p>
        </w:tc>
        <w:tc>
          <w:tcPr>
            <w:tcW w:w="377" w:type="dxa"/>
            <w:tcBorders>
              <w:top w:val="nil"/>
              <w:left w:val="double" w:sz="6" w:space="0" w:color="auto"/>
              <w:bottom w:val="single" w:sz="4" w:space="0" w:color="auto"/>
              <w:right w:val="nil"/>
            </w:tcBorders>
            <w:shd w:val="clear" w:color="auto" w:fill="auto"/>
            <w:noWrap/>
            <w:vAlign w:val="bottom"/>
            <w:hideMark/>
          </w:tcPr>
          <w:p w14:paraId="3A4BF17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127</w:t>
            </w:r>
          </w:p>
        </w:tc>
        <w:tc>
          <w:tcPr>
            <w:tcW w:w="1134" w:type="dxa"/>
            <w:tcBorders>
              <w:top w:val="nil"/>
              <w:left w:val="nil"/>
              <w:bottom w:val="single" w:sz="4" w:space="0" w:color="auto"/>
              <w:right w:val="nil"/>
            </w:tcBorders>
            <w:shd w:val="clear" w:color="auto" w:fill="auto"/>
            <w:noWrap/>
            <w:vAlign w:val="bottom"/>
            <w:hideMark/>
          </w:tcPr>
          <w:p w14:paraId="0E7B21B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1,311</w:t>
            </w:r>
          </w:p>
        </w:tc>
        <w:tc>
          <w:tcPr>
            <w:tcW w:w="934" w:type="dxa"/>
            <w:tcBorders>
              <w:top w:val="nil"/>
              <w:left w:val="nil"/>
              <w:bottom w:val="single" w:sz="4" w:space="0" w:color="auto"/>
              <w:right w:val="double" w:sz="6" w:space="0" w:color="auto"/>
            </w:tcBorders>
            <w:shd w:val="clear" w:color="auto" w:fill="auto"/>
            <w:noWrap/>
            <w:vAlign w:val="bottom"/>
            <w:hideMark/>
          </w:tcPr>
          <w:p w14:paraId="24C87DBC"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93.0%</w:t>
            </w:r>
          </w:p>
        </w:tc>
        <w:tc>
          <w:tcPr>
            <w:tcW w:w="778" w:type="dxa"/>
            <w:tcBorders>
              <w:top w:val="nil"/>
              <w:left w:val="nil"/>
              <w:bottom w:val="single" w:sz="4" w:space="0" w:color="auto"/>
              <w:right w:val="nil"/>
            </w:tcBorders>
            <w:shd w:val="clear" w:color="auto" w:fill="auto"/>
            <w:noWrap/>
            <w:vAlign w:val="bottom"/>
            <w:hideMark/>
          </w:tcPr>
          <w:p w14:paraId="3A8C677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w:t>
            </w:r>
          </w:p>
        </w:tc>
        <w:tc>
          <w:tcPr>
            <w:tcW w:w="1156" w:type="dxa"/>
            <w:tcBorders>
              <w:top w:val="nil"/>
              <w:left w:val="nil"/>
              <w:bottom w:val="single" w:sz="4" w:space="0" w:color="auto"/>
              <w:right w:val="nil"/>
            </w:tcBorders>
            <w:shd w:val="clear" w:color="auto" w:fill="auto"/>
            <w:noWrap/>
            <w:vAlign w:val="bottom"/>
            <w:hideMark/>
          </w:tcPr>
          <w:p w14:paraId="376B309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w:t>
            </w:r>
          </w:p>
        </w:tc>
        <w:tc>
          <w:tcPr>
            <w:tcW w:w="934" w:type="dxa"/>
            <w:tcBorders>
              <w:top w:val="nil"/>
              <w:left w:val="nil"/>
              <w:bottom w:val="single" w:sz="4" w:space="0" w:color="auto"/>
              <w:right w:val="nil"/>
            </w:tcBorders>
            <w:shd w:val="clear" w:color="auto" w:fill="auto"/>
            <w:noWrap/>
            <w:vAlign w:val="bottom"/>
            <w:hideMark/>
          </w:tcPr>
          <w:p w14:paraId="26337582"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100.0%</w:t>
            </w:r>
          </w:p>
        </w:tc>
        <w:tc>
          <w:tcPr>
            <w:tcW w:w="386" w:type="dxa"/>
            <w:tcBorders>
              <w:top w:val="nil"/>
              <w:left w:val="double" w:sz="6" w:space="0" w:color="auto"/>
              <w:bottom w:val="single" w:sz="4" w:space="0" w:color="auto"/>
              <w:right w:val="nil"/>
            </w:tcBorders>
            <w:shd w:val="clear" w:color="auto" w:fill="auto"/>
            <w:noWrap/>
            <w:vAlign w:val="bottom"/>
            <w:hideMark/>
          </w:tcPr>
          <w:p w14:paraId="1F2FCA9B"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131</w:t>
            </w:r>
          </w:p>
        </w:tc>
        <w:tc>
          <w:tcPr>
            <w:tcW w:w="1164" w:type="dxa"/>
            <w:tcBorders>
              <w:top w:val="nil"/>
              <w:left w:val="nil"/>
              <w:bottom w:val="single" w:sz="4" w:space="0" w:color="auto"/>
              <w:right w:val="nil"/>
            </w:tcBorders>
            <w:shd w:val="clear" w:color="auto" w:fill="auto"/>
            <w:noWrap/>
            <w:vAlign w:val="bottom"/>
            <w:hideMark/>
          </w:tcPr>
          <w:p w14:paraId="077C4FA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1315</w:t>
            </w:r>
          </w:p>
        </w:tc>
        <w:tc>
          <w:tcPr>
            <w:tcW w:w="839" w:type="dxa"/>
            <w:tcBorders>
              <w:top w:val="nil"/>
              <w:left w:val="nil"/>
              <w:bottom w:val="single" w:sz="4" w:space="0" w:color="auto"/>
              <w:right w:val="single" w:sz="8" w:space="0" w:color="auto"/>
            </w:tcBorders>
            <w:shd w:val="clear" w:color="auto" w:fill="auto"/>
            <w:hideMark/>
          </w:tcPr>
          <w:p w14:paraId="4707E3F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93.0%</w:t>
            </w:r>
          </w:p>
        </w:tc>
      </w:tr>
      <w:tr w:rsidR="003C091E" w:rsidRPr="003C091E" w14:paraId="0A6641B0" w14:textId="77777777" w:rsidTr="003C091E">
        <w:trPr>
          <w:trHeight w:val="315"/>
          <w:jc w:val="center"/>
        </w:trPr>
        <w:tc>
          <w:tcPr>
            <w:tcW w:w="1038" w:type="dxa"/>
            <w:tcBorders>
              <w:top w:val="nil"/>
              <w:left w:val="single" w:sz="8" w:space="0" w:color="auto"/>
              <w:bottom w:val="single" w:sz="8" w:space="0" w:color="auto"/>
              <w:right w:val="nil"/>
            </w:tcBorders>
            <w:shd w:val="clear" w:color="auto" w:fill="auto"/>
            <w:noWrap/>
            <w:vAlign w:val="bottom"/>
            <w:hideMark/>
          </w:tcPr>
          <w:p w14:paraId="4202321F" w14:textId="77777777" w:rsidR="003C091E" w:rsidRPr="003C091E" w:rsidRDefault="003C091E" w:rsidP="003C091E">
            <w:pPr>
              <w:spacing w:line="240" w:lineRule="auto"/>
              <w:rPr>
                <w:rFonts w:ascii="Calibri" w:eastAsia="Times New Roman" w:hAnsi="Calibri" w:cs="Calibri"/>
                <w:b/>
                <w:bCs/>
                <w:color w:val="000000"/>
                <w:sz w:val="22"/>
              </w:rPr>
            </w:pPr>
            <w:r w:rsidRPr="003C091E">
              <w:rPr>
                <w:rFonts w:ascii="Calibri" w:eastAsia="Times New Roman" w:hAnsi="Calibri" w:cs="Calibri"/>
                <w:b/>
                <w:bCs/>
                <w:color w:val="000000"/>
                <w:sz w:val="22"/>
              </w:rPr>
              <w:t xml:space="preserve">State </w:t>
            </w:r>
          </w:p>
        </w:tc>
        <w:tc>
          <w:tcPr>
            <w:tcW w:w="377" w:type="dxa"/>
            <w:tcBorders>
              <w:top w:val="nil"/>
              <w:left w:val="double" w:sz="6" w:space="0" w:color="auto"/>
              <w:bottom w:val="single" w:sz="8" w:space="0" w:color="auto"/>
              <w:right w:val="nil"/>
            </w:tcBorders>
            <w:shd w:val="clear" w:color="auto" w:fill="auto"/>
            <w:noWrap/>
            <w:vAlign w:val="bottom"/>
            <w:hideMark/>
          </w:tcPr>
          <w:p w14:paraId="6949A20E"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719</w:t>
            </w:r>
          </w:p>
        </w:tc>
        <w:tc>
          <w:tcPr>
            <w:tcW w:w="1134" w:type="dxa"/>
            <w:tcBorders>
              <w:top w:val="nil"/>
              <w:left w:val="nil"/>
              <w:bottom w:val="single" w:sz="8" w:space="0" w:color="auto"/>
              <w:right w:val="nil"/>
            </w:tcBorders>
            <w:shd w:val="clear" w:color="auto" w:fill="auto"/>
            <w:noWrap/>
            <w:vAlign w:val="bottom"/>
            <w:hideMark/>
          </w:tcPr>
          <w:p w14:paraId="48DAE846"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7,921</w:t>
            </w:r>
          </w:p>
        </w:tc>
        <w:tc>
          <w:tcPr>
            <w:tcW w:w="934" w:type="dxa"/>
            <w:tcBorders>
              <w:top w:val="nil"/>
              <w:left w:val="nil"/>
              <w:bottom w:val="single" w:sz="8" w:space="0" w:color="auto"/>
              <w:right w:val="double" w:sz="6" w:space="0" w:color="auto"/>
            </w:tcBorders>
            <w:shd w:val="clear" w:color="auto" w:fill="auto"/>
            <w:noWrap/>
            <w:vAlign w:val="bottom"/>
            <w:hideMark/>
          </w:tcPr>
          <w:p w14:paraId="110DA292"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92.4%</w:t>
            </w:r>
          </w:p>
        </w:tc>
        <w:tc>
          <w:tcPr>
            <w:tcW w:w="778" w:type="dxa"/>
            <w:tcBorders>
              <w:top w:val="nil"/>
              <w:left w:val="nil"/>
              <w:bottom w:val="single" w:sz="8" w:space="0" w:color="auto"/>
              <w:right w:val="nil"/>
            </w:tcBorders>
            <w:shd w:val="clear" w:color="auto" w:fill="auto"/>
            <w:noWrap/>
            <w:vAlign w:val="bottom"/>
            <w:hideMark/>
          </w:tcPr>
          <w:p w14:paraId="5322660C"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100</w:t>
            </w:r>
          </w:p>
        </w:tc>
        <w:tc>
          <w:tcPr>
            <w:tcW w:w="1156" w:type="dxa"/>
            <w:tcBorders>
              <w:top w:val="nil"/>
              <w:left w:val="nil"/>
              <w:bottom w:val="single" w:sz="8" w:space="0" w:color="auto"/>
              <w:right w:val="nil"/>
            </w:tcBorders>
            <w:shd w:val="clear" w:color="auto" w:fill="auto"/>
            <w:noWrap/>
            <w:vAlign w:val="bottom"/>
            <w:hideMark/>
          </w:tcPr>
          <w:p w14:paraId="69B1BE3D"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146</w:t>
            </w:r>
          </w:p>
        </w:tc>
        <w:tc>
          <w:tcPr>
            <w:tcW w:w="934" w:type="dxa"/>
            <w:tcBorders>
              <w:top w:val="nil"/>
              <w:left w:val="nil"/>
              <w:bottom w:val="single" w:sz="8" w:space="0" w:color="auto"/>
              <w:right w:val="nil"/>
            </w:tcBorders>
            <w:shd w:val="clear" w:color="auto" w:fill="auto"/>
            <w:noWrap/>
            <w:vAlign w:val="bottom"/>
            <w:hideMark/>
          </w:tcPr>
          <w:p w14:paraId="62DC08DE"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87.0%</w:t>
            </w:r>
          </w:p>
        </w:tc>
        <w:tc>
          <w:tcPr>
            <w:tcW w:w="386" w:type="dxa"/>
            <w:tcBorders>
              <w:top w:val="nil"/>
              <w:left w:val="double" w:sz="6" w:space="0" w:color="auto"/>
              <w:bottom w:val="single" w:sz="8" w:space="0" w:color="auto"/>
              <w:right w:val="nil"/>
            </w:tcBorders>
            <w:shd w:val="clear" w:color="auto" w:fill="auto"/>
            <w:noWrap/>
            <w:vAlign w:val="bottom"/>
            <w:hideMark/>
          </w:tcPr>
          <w:p w14:paraId="2E4D1D44"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819</w:t>
            </w:r>
          </w:p>
        </w:tc>
        <w:tc>
          <w:tcPr>
            <w:tcW w:w="1164" w:type="dxa"/>
            <w:tcBorders>
              <w:top w:val="nil"/>
              <w:left w:val="nil"/>
              <w:bottom w:val="single" w:sz="8" w:space="0" w:color="auto"/>
              <w:right w:val="nil"/>
            </w:tcBorders>
            <w:shd w:val="clear" w:color="auto" w:fill="auto"/>
            <w:noWrap/>
            <w:vAlign w:val="bottom"/>
            <w:hideMark/>
          </w:tcPr>
          <w:p w14:paraId="5F6893C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8067</w:t>
            </w:r>
          </w:p>
        </w:tc>
        <w:tc>
          <w:tcPr>
            <w:tcW w:w="839" w:type="dxa"/>
            <w:tcBorders>
              <w:top w:val="nil"/>
              <w:left w:val="nil"/>
              <w:bottom w:val="single" w:sz="8" w:space="0" w:color="auto"/>
              <w:right w:val="single" w:sz="8" w:space="0" w:color="auto"/>
            </w:tcBorders>
            <w:shd w:val="clear" w:color="auto" w:fill="auto"/>
            <w:hideMark/>
          </w:tcPr>
          <w:p w14:paraId="49F9ACC8"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92.3%</w:t>
            </w:r>
          </w:p>
        </w:tc>
      </w:tr>
      <w:tr w:rsidR="003C091E" w:rsidRPr="003C091E" w14:paraId="5CBE1372" w14:textId="77777777" w:rsidTr="003C091E">
        <w:trPr>
          <w:trHeight w:val="315"/>
          <w:jc w:val="center"/>
        </w:trPr>
        <w:tc>
          <w:tcPr>
            <w:tcW w:w="1038" w:type="dxa"/>
            <w:tcBorders>
              <w:top w:val="nil"/>
              <w:left w:val="single" w:sz="8" w:space="0" w:color="auto"/>
              <w:bottom w:val="single" w:sz="4" w:space="0" w:color="auto"/>
              <w:right w:val="double" w:sz="6" w:space="0" w:color="auto"/>
            </w:tcBorders>
            <w:shd w:val="clear" w:color="000000" w:fill="FCD5B4"/>
            <w:noWrap/>
            <w:vAlign w:val="bottom"/>
            <w:hideMark/>
          </w:tcPr>
          <w:p w14:paraId="0FF2A5ED"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 </w:t>
            </w:r>
          </w:p>
        </w:tc>
        <w:tc>
          <w:tcPr>
            <w:tcW w:w="2445" w:type="dxa"/>
            <w:gridSpan w:val="3"/>
            <w:tcBorders>
              <w:top w:val="single" w:sz="4" w:space="0" w:color="auto"/>
              <w:left w:val="nil"/>
              <w:bottom w:val="single" w:sz="4" w:space="0" w:color="auto"/>
              <w:right w:val="double" w:sz="6" w:space="0" w:color="000000"/>
            </w:tcBorders>
            <w:shd w:val="clear" w:color="000000" w:fill="FCD5B4"/>
            <w:hideMark/>
          </w:tcPr>
          <w:p w14:paraId="6AD43648"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WSC Agencies</w:t>
            </w:r>
          </w:p>
        </w:tc>
        <w:tc>
          <w:tcPr>
            <w:tcW w:w="2868" w:type="dxa"/>
            <w:gridSpan w:val="3"/>
            <w:tcBorders>
              <w:top w:val="single" w:sz="8" w:space="0" w:color="auto"/>
              <w:left w:val="nil"/>
              <w:bottom w:val="single" w:sz="4" w:space="0" w:color="auto"/>
              <w:right w:val="nil"/>
            </w:tcBorders>
            <w:shd w:val="clear" w:color="000000" w:fill="FCD5B4"/>
            <w:hideMark/>
          </w:tcPr>
          <w:p w14:paraId="6A336968"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WSC Solo</w:t>
            </w:r>
          </w:p>
        </w:tc>
        <w:tc>
          <w:tcPr>
            <w:tcW w:w="2389" w:type="dxa"/>
            <w:gridSpan w:val="3"/>
            <w:tcBorders>
              <w:top w:val="single" w:sz="8" w:space="0" w:color="auto"/>
              <w:left w:val="double" w:sz="6" w:space="0" w:color="auto"/>
              <w:bottom w:val="single" w:sz="4" w:space="0" w:color="auto"/>
              <w:right w:val="single" w:sz="8" w:space="0" w:color="000000"/>
            </w:tcBorders>
            <w:shd w:val="clear" w:color="000000" w:fill="FCD5B4"/>
            <w:noWrap/>
            <w:vAlign w:val="bottom"/>
            <w:hideMark/>
          </w:tcPr>
          <w:p w14:paraId="515FA15B"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WSC State Average</w:t>
            </w:r>
          </w:p>
        </w:tc>
      </w:tr>
      <w:tr w:rsidR="003C091E" w:rsidRPr="003C091E" w14:paraId="44596B8B" w14:textId="77777777" w:rsidTr="003C091E">
        <w:trPr>
          <w:trHeight w:val="600"/>
          <w:jc w:val="center"/>
        </w:trPr>
        <w:tc>
          <w:tcPr>
            <w:tcW w:w="1038" w:type="dxa"/>
            <w:tcBorders>
              <w:top w:val="nil"/>
              <w:left w:val="single" w:sz="8" w:space="0" w:color="auto"/>
              <w:bottom w:val="double" w:sz="6" w:space="0" w:color="auto"/>
              <w:right w:val="nil"/>
            </w:tcBorders>
            <w:shd w:val="clear" w:color="000000" w:fill="215967"/>
            <w:noWrap/>
            <w:vAlign w:val="bottom"/>
            <w:hideMark/>
          </w:tcPr>
          <w:p w14:paraId="02FCF221" w14:textId="77777777" w:rsidR="003C091E" w:rsidRPr="003C091E" w:rsidRDefault="003C091E" w:rsidP="003C091E">
            <w:pPr>
              <w:spacing w:line="240" w:lineRule="auto"/>
              <w:rPr>
                <w:rFonts w:ascii="Calibri" w:eastAsia="Times New Roman" w:hAnsi="Calibri" w:cs="Calibri"/>
                <w:color w:val="FFFFFF"/>
                <w:sz w:val="22"/>
              </w:rPr>
            </w:pPr>
            <w:r w:rsidRPr="003C091E">
              <w:rPr>
                <w:rFonts w:ascii="Calibri" w:eastAsia="Times New Roman" w:hAnsi="Calibri" w:cs="Calibri"/>
                <w:color w:val="FFFFFF"/>
                <w:sz w:val="22"/>
              </w:rPr>
              <w:t>Region</w:t>
            </w:r>
          </w:p>
        </w:tc>
        <w:tc>
          <w:tcPr>
            <w:tcW w:w="377" w:type="dxa"/>
            <w:tcBorders>
              <w:top w:val="nil"/>
              <w:left w:val="double" w:sz="6" w:space="0" w:color="auto"/>
              <w:bottom w:val="double" w:sz="6" w:space="0" w:color="auto"/>
              <w:right w:val="nil"/>
            </w:tcBorders>
            <w:shd w:val="clear" w:color="000000" w:fill="215967"/>
            <w:noWrap/>
            <w:vAlign w:val="bottom"/>
            <w:hideMark/>
          </w:tcPr>
          <w:p w14:paraId="3CE19D2D"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34" w:type="dxa"/>
            <w:tcBorders>
              <w:top w:val="nil"/>
              <w:left w:val="nil"/>
              <w:bottom w:val="double" w:sz="6" w:space="0" w:color="auto"/>
              <w:right w:val="nil"/>
            </w:tcBorders>
            <w:shd w:val="clear" w:color="000000" w:fill="215967"/>
            <w:vAlign w:val="bottom"/>
            <w:hideMark/>
          </w:tcPr>
          <w:p w14:paraId="3657A23D"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934" w:type="dxa"/>
            <w:tcBorders>
              <w:top w:val="nil"/>
              <w:left w:val="nil"/>
              <w:bottom w:val="double" w:sz="6" w:space="0" w:color="auto"/>
              <w:right w:val="double" w:sz="6" w:space="0" w:color="auto"/>
            </w:tcBorders>
            <w:shd w:val="clear" w:color="000000" w:fill="215967"/>
            <w:vAlign w:val="bottom"/>
            <w:hideMark/>
          </w:tcPr>
          <w:p w14:paraId="5AF7D54D"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 xml:space="preserve">% </w:t>
            </w:r>
            <w:r w:rsidRPr="003C091E">
              <w:rPr>
                <w:rFonts w:ascii="Calibri" w:eastAsia="Times New Roman" w:hAnsi="Calibri" w:cs="Calibri"/>
                <w:color w:val="FFFFFF"/>
                <w:sz w:val="22"/>
              </w:rPr>
              <w:br/>
              <w:t xml:space="preserve">Met </w:t>
            </w:r>
          </w:p>
        </w:tc>
        <w:tc>
          <w:tcPr>
            <w:tcW w:w="778" w:type="dxa"/>
            <w:tcBorders>
              <w:top w:val="nil"/>
              <w:left w:val="nil"/>
              <w:bottom w:val="double" w:sz="6" w:space="0" w:color="auto"/>
              <w:right w:val="nil"/>
            </w:tcBorders>
            <w:shd w:val="clear" w:color="000000" w:fill="215967"/>
            <w:vAlign w:val="bottom"/>
            <w:hideMark/>
          </w:tcPr>
          <w:p w14:paraId="70BECE53"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56" w:type="dxa"/>
            <w:tcBorders>
              <w:top w:val="nil"/>
              <w:left w:val="nil"/>
              <w:bottom w:val="double" w:sz="6" w:space="0" w:color="auto"/>
              <w:right w:val="nil"/>
            </w:tcBorders>
            <w:shd w:val="clear" w:color="000000" w:fill="215967"/>
            <w:vAlign w:val="bottom"/>
            <w:hideMark/>
          </w:tcPr>
          <w:p w14:paraId="62FE40CF"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934" w:type="dxa"/>
            <w:tcBorders>
              <w:top w:val="nil"/>
              <w:left w:val="nil"/>
              <w:bottom w:val="double" w:sz="6" w:space="0" w:color="auto"/>
              <w:right w:val="double" w:sz="6" w:space="0" w:color="auto"/>
            </w:tcBorders>
            <w:shd w:val="clear" w:color="000000" w:fill="215967"/>
            <w:vAlign w:val="bottom"/>
            <w:hideMark/>
          </w:tcPr>
          <w:p w14:paraId="4F092C60"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w:t>
            </w:r>
            <w:r w:rsidRPr="003C091E">
              <w:rPr>
                <w:rFonts w:ascii="Calibri" w:eastAsia="Times New Roman" w:hAnsi="Calibri" w:cs="Calibri"/>
                <w:color w:val="FFFFFF"/>
                <w:sz w:val="22"/>
              </w:rPr>
              <w:br/>
              <w:t xml:space="preserve"> Met</w:t>
            </w:r>
          </w:p>
        </w:tc>
        <w:tc>
          <w:tcPr>
            <w:tcW w:w="386" w:type="dxa"/>
            <w:tcBorders>
              <w:top w:val="nil"/>
              <w:left w:val="nil"/>
              <w:bottom w:val="double" w:sz="6" w:space="0" w:color="auto"/>
              <w:right w:val="nil"/>
            </w:tcBorders>
            <w:shd w:val="clear" w:color="000000" w:fill="215967"/>
            <w:noWrap/>
            <w:vAlign w:val="bottom"/>
            <w:hideMark/>
          </w:tcPr>
          <w:p w14:paraId="2DF83D49"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N</w:t>
            </w:r>
          </w:p>
        </w:tc>
        <w:tc>
          <w:tcPr>
            <w:tcW w:w="1164" w:type="dxa"/>
            <w:tcBorders>
              <w:top w:val="nil"/>
              <w:left w:val="nil"/>
              <w:bottom w:val="double" w:sz="6" w:space="0" w:color="auto"/>
              <w:right w:val="nil"/>
            </w:tcBorders>
            <w:shd w:val="clear" w:color="000000" w:fill="215967"/>
            <w:vAlign w:val="bottom"/>
            <w:hideMark/>
          </w:tcPr>
          <w:p w14:paraId="2753EE44"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Standards Scored</w:t>
            </w:r>
          </w:p>
        </w:tc>
        <w:tc>
          <w:tcPr>
            <w:tcW w:w="839" w:type="dxa"/>
            <w:tcBorders>
              <w:top w:val="nil"/>
              <w:left w:val="nil"/>
              <w:bottom w:val="double" w:sz="6" w:space="0" w:color="auto"/>
              <w:right w:val="single" w:sz="8" w:space="0" w:color="auto"/>
            </w:tcBorders>
            <w:shd w:val="clear" w:color="000000" w:fill="215967"/>
            <w:vAlign w:val="bottom"/>
            <w:hideMark/>
          </w:tcPr>
          <w:p w14:paraId="59E86AE3" w14:textId="77777777" w:rsidR="003C091E" w:rsidRPr="003C091E" w:rsidRDefault="003C091E" w:rsidP="003C091E">
            <w:pPr>
              <w:spacing w:line="240" w:lineRule="auto"/>
              <w:jc w:val="center"/>
              <w:rPr>
                <w:rFonts w:ascii="Calibri" w:eastAsia="Times New Roman" w:hAnsi="Calibri" w:cs="Calibri"/>
                <w:color w:val="FFFFFF"/>
                <w:sz w:val="22"/>
              </w:rPr>
            </w:pPr>
            <w:r w:rsidRPr="003C091E">
              <w:rPr>
                <w:rFonts w:ascii="Calibri" w:eastAsia="Times New Roman" w:hAnsi="Calibri" w:cs="Calibri"/>
                <w:color w:val="FFFFFF"/>
                <w:sz w:val="22"/>
              </w:rPr>
              <w:t>%</w:t>
            </w:r>
            <w:r w:rsidRPr="003C091E">
              <w:rPr>
                <w:rFonts w:ascii="Calibri" w:eastAsia="Times New Roman" w:hAnsi="Calibri" w:cs="Calibri"/>
                <w:color w:val="FFFFFF"/>
                <w:sz w:val="22"/>
              </w:rPr>
              <w:br/>
              <w:t xml:space="preserve"> Met</w:t>
            </w:r>
          </w:p>
        </w:tc>
      </w:tr>
      <w:tr w:rsidR="003C091E" w:rsidRPr="003C091E" w14:paraId="7F0B96F3" w14:textId="77777777" w:rsidTr="003C091E">
        <w:trPr>
          <w:trHeight w:val="315"/>
          <w:jc w:val="center"/>
        </w:trPr>
        <w:tc>
          <w:tcPr>
            <w:tcW w:w="1038" w:type="dxa"/>
            <w:tcBorders>
              <w:top w:val="nil"/>
              <w:left w:val="single" w:sz="8" w:space="0" w:color="auto"/>
              <w:bottom w:val="single" w:sz="4" w:space="0" w:color="auto"/>
              <w:right w:val="nil"/>
            </w:tcBorders>
            <w:shd w:val="clear" w:color="auto" w:fill="auto"/>
            <w:noWrap/>
            <w:vAlign w:val="bottom"/>
            <w:hideMark/>
          </w:tcPr>
          <w:p w14:paraId="357F8E9C"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Northwest</w:t>
            </w:r>
          </w:p>
        </w:tc>
        <w:tc>
          <w:tcPr>
            <w:tcW w:w="377" w:type="dxa"/>
            <w:tcBorders>
              <w:top w:val="nil"/>
              <w:left w:val="double" w:sz="6" w:space="0" w:color="auto"/>
              <w:bottom w:val="single" w:sz="4" w:space="0" w:color="auto"/>
              <w:right w:val="nil"/>
            </w:tcBorders>
            <w:shd w:val="clear" w:color="auto" w:fill="auto"/>
            <w:noWrap/>
            <w:vAlign w:val="bottom"/>
            <w:hideMark/>
          </w:tcPr>
          <w:p w14:paraId="798ECBB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3</w:t>
            </w:r>
          </w:p>
        </w:tc>
        <w:tc>
          <w:tcPr>
            <w:tcW w:w="1134" w:type="dxa"/>
            <w:tcBorders>
              <w:top w:val="nil"/>
              <w:left w:val="nil"/>
              <w:bottom w:val="single" w:sz="4" w:space="0" w:color="auto"/>
              <w:right w:val="nil"/>
            </w:tcBorders>
            <w:shd w:val="clear" w:color="auto" w:fill="auto"/>
            <w:noWrap/>
            <w:vAlign w:val="bottom"/>
            <w:hideMark/>
          </w:tcPr>
          <w:p w14:paraId="762A0B8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27</w:t>
            </w:r>
          </w:p>
        </w:tc>
        <w:tc>
          <w:tcPr>
            <w:tcW w:w="934" w:type="dxa"/>
            <w:tcBorders>
              <w:top w:val="nil"/>
              <w:left w:val="nil"/>
              <w:bottom w:val="single" w:sz="4" w:space="0" w:color="auto"/>
              <w:right w:val="double" w:sz="6" w:space="0" w:color="auto"/>
            </w:tcBorders>
            <w:shd w:val="clear" w:color="auto" w:fill="auto"/>
            <w:noWrap/>
            <w:vAlign w:val="bottom"/>
            <w:hideMark/>
          </w:tcPr>
          <w:p w14:paraId="460981E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100.0%</w:t>
            </w:r>
          </w:p>
        </w:tc>
        <w:tc>
          <w:tcPr>
            <w:tcW w:w="778" w:type="dxa"/>
            <w:tcBorders>
              <w:top w:val="nil"/>
              <w:left w:val="nil"/>
              <w:bottom w:val="single" w:sz="4" w:space="0" w:color="auto"/>
              <w:right w:val="nil"/>
            </w:tcBorders>
            <w:shd w:val="clear" w:color="auto" w:fill="auto"/>
            <w:noWrap/>
            <w:vAlign w:val="bottom"/>
            <w:hideMark/>
          </w:tcPr>
          <w:p w14:paraId="75C858F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11</w:t>
            </w:r>
          </w:p>
        </w:tc>
        <w:tc>
          <w:tcPr>
            <w:tcW w:w="1156" w:type="dxa"/>
            <w:tcBorders>
              <w:top w:val="nil"/>
              <w:left w:val="nil"/>
              <w:bottom w:val="single" w:sz="4" w:space="0" w:color="auto"/>
              <w:right w:val="nil"/>
            </w:tcBorders>
            <w:shd w:val="clear" w:color="auto" w:fill="auto"/>
            <w:noWrap/>
            <w:vAlign w:val="bottom"/>
            <w:hideMark/>
          </w:tcPr>
          <w:p w14:paraId="220B1AA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w:t>
            </w:r>
          </w:p>
        </w:tc>
        <w:tc>
          <w:tcPr>
            <w:tcW w:w="934" w:type="dxa"/>
            <w:tcBorders>
              <w:top w:val="nil"/>
              <w:left w:val="nil"/>
              <w:bottom w:val="single" w:sz="4" w:space="0" w:color="auto"/>
              <w:right w:val="nil"/>
            </w:tcBorders>
            <w:shd w:val="clear" w:color="auto" w:fill="auto"/>
            <w:noWrap/>
            <w:vAlign w:val="bottom"/>
            <w:hideMark/>
          </w:tcPr>
          <w:p w14:paraId="1F0B82B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92.9%</w:t>
            </w:r>
          </w:p>
        </w:tc>
        <w:tc>
          <w:tcPr>
            <w:tcW w:w="386" w:type="dxa"/>
            <w:tcBorders>
              <w:top w:val="nil"/>
              <w:left w:val="double" w:sz="6" w:space="0" w:color="auto"/>
              <w:bottom w:val="single" w:sz="4" w:space="0" w:color="auto"/>
              <w:right w:val="nil"/>
            </w:tcBorders>
            <w:shd w:val="clear" w:color="auto" w:fill="auto"/>
            <w:noWrap/>
            <w:vAlign w:val="bottom"/>
            <w:hideMark/>
          </w:tcPr>
          <w:p w14:paraId="17A289D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w:t>
            </w:r>
          </w:p>
        </w:tc>
        <w:tc>
          <w:tcPr>
            <w:tcW w:w="1164" w:type="dxa"/>
            <w:tcBorders>
              <w:top w:val="nil"/>
              <w:left w:val="nil"/>
              <w:bottom w:val="single" w:sz="4" w:space="0" w:color="auto"/>
              <w:right w:val="nil"/>
            </w:tcBorders>
            <w:shd w:val="clear" w:color="auto" w:fill="auto"/>
            <w:noWrap/>
            <w:vAlign w:val="bottom"/>
            <w:hideMark/>
          </w:tcPr>
          <w:p w14:paraId="518EAB0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41</w:t>
            </w:r>
          </w:p>
        </w:tc>
        <w:tc>
          <w:tcPr>
            <w:tcW w:w="839" w:type="dxa"/>
            <w:tcBorders>
              <w:top w:val="nil"/>
              <w:left w:val="nil"/>
              <w:bottom w:val="single" w:sz="4" w:space="0" w:color="auto"/>
              <w:right w:val="single" w:sz="8" w:space="0" w:color="auto"/>
            </w:tcBorders>
            <w:shd w:val="clear" w:color="auto" w:fill="auto"/>
            <w:noWrap/>
            <w:vAlign w:val="bottom"/>
            <w:hideMark/>
          </w:tcPr>
          <w:p w14:paraId="69445F5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97.6%</w:t>
            </w:r>
          </w:p>
        </w:tc>
      </w:tr>
      <w:tr w:rsidR="003C091E" w:rsidRPr="003C091E" w14:paraId="3FEA5FF4"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7AAAE781"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Northeast</w:t>
            </w:r>
          </w:p>
        </w:tc>
        <w:tc>
          <w:tcPr>
            <w:tcW w:w="377" w:type="dxa"/>
            <w:tcBorders>
              <w:top w:val="nil"/>
              <w:left w:val="double" w:sz="6" w:space="0" w:color="auto"/>
              <w:bottom w:val="single" w:sz="4" w:space="0" w:color="auto"/>
              <w:right w:val="nil"/>
            </w:tcBorders>
            <w:shd w:val="clear" w:color="auto" w:fill="auto"/>
            <w:noWrap/>
            <w:vAlign w:val="bottom"/>
            <w:hideMark/>
          </w:tcPr>
          <w:p w14:paraId="09802A31"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w:t>
            </w:r>
          </w:p>
        </w:tc>
        <w:tc>
          <w:tcPr>
            <w:tcW w:w="1134" w:type="dxa"/>
            <w:tcBorders>
              <w:top w:val="nil"/>
              <w:left w:val="nil"/>
              <w:bottom w:val="single" w:sz="4" w:space="0" w:color="auto"/>
              <w:right w:val="nil"/>
            </w:tcBorders>
            <w:shd w:val="clear" w:color="auto" w:fill="auto"/>
            <w:noWrap/>
            <w:vAlign w:val="bottom"/>
            <w:hideMark/>
          </w:tcPr>
          <w:p w14:paraId="14DF43B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94</w:t>
            </w:r>
          </w:p>
        </w:tc>
        <w:tc>
          <w:tcPr>
            <w:tcW w:w="934" w:type="dxa"/>
            <w:tcBorders>
              <w:top w:val="nil"/>
              <w:left w:val="nil"/>
              <w:bottom w:val="single" w:sz="4" w:space="0" w:color="auto"/>
              <w:right w:val="double" w:sz="6" w:space="0" w:color="auto"/>
            </w:tcBorders>
            <w:shd w:val="clear" w:color="auto" w:fill="auto"/>
            <w:noWrap/>
            <w:vAlign w:val="bottom"/>
            <w:hideMark/>
          </w:tcPr>
          <w:p w14:paraId="54347F0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98.9%</w:t>
            </w:r>
          </w:p>
        </w:tc>
        <w:tc>
          <w:tcPr>
            <w:tcW w:w="778" w:type="dxa"/>
            <w:tcBorders>
              <w:top w:val="nil"/>
              <w:left w:val="nil"/>
              <w:bottom w:val="single" w:sz="4" w:space="0" w:color="auto"/>
              <w:right w:val="nil"/>
            </w:tcBorders>
            <w:shd w:val="clear" w:color="auto" w:fill="auto"/>
            <w:noWrap/>
            <w:vAlign w:val="bottom"/>
            <w:hideMark/>
          </w:tcPr>
          <w:p w14:paraId="7CF9B29D"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29</w:t>
            </w:r>
          </w:p>
        </w:tc>
        <w:tc>
          <w:tcPr>
            <w:tcW w:w="1156" w:type="dxa"/>
            <w:tcBorders>
              <w:top w:val="nil"/>
              <w:left w:val="nil"/>
              <w:bottom w:val="single" w:sz="4" w:space="0" w:color="auto"/>
              <w:right w:val="nil"/>
            </w:tcBorders>
            <w:shd w:val="clear" w:color="auto" w:fill="auto"/>
            <w:noWrap/>
            <w:vAlign w:val="bottom"/>
            <w:hideMark/>
          </w:tcPr>
          <w:p w14:paraId="12461C0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60</w:t>
            </w:r>
          </w:p>
        </w:tc>
        <w:tc>
          <w:tcPr>
            <w:tcW w:w="934" w:type="dxa"/>
            <w:tcBorders>
              <w:top w:val="nil"/>
              <w:left w:val="nil"/>
              <w:bottom w:val="single" w:sz="4" w:space="0" w:color="auto"/>
              <w:right w:val="nil"/>
            </w:tcBorders>
            <w:shd w:val="clear" w:color="auto" w:fill="auto"/>
            <w:noWrap/>
            <w:vAlign w:val="bottom"/>
            <w:hideMark/>
          </w:tcPr>
          <w:p w14:paraId="26AE476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95.0%</w:t>
            </w:r>
          </w:p>
        </w:tc>
        <w:tc>
          <w:tcPr>
            <w:tcW w:w="386" w:type="dxa"/>
            <w:tcBorders>
              <w:top w:val="nil"/>
              <w:left w:val="double" w:sz="6" w:space="0" w:color="auto"/>
              <w:bottom w:val="single" w:sz="4" w:space="0" w:color="auto"/>
              <w:right w:val="nil"/>
            </w:tcBorders>
            <w:shd w:val="clear" w:color="auto" w:fill="auto"/>
            <w:noWrap/>
            <w:vAlign w:val="bottom"/>
            <w:hideMark/>
          </w:tcPr>
          <w:p w14:paraId="06F72FB7"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39</w:t>
            </w:r>
          </w:p>
        </w:tc>
        <w:tc>
          <w:tcPr>
            <w:tcW w:w="1164" w:type="dxa"/>
            <w:tcBorders>
              <w:top w:val="nil"/>
              <w:left w:val="nil"/>
              <w:bottom w:val="single" w:sz="4" w:space="0" w:color="auto"/>
              <w:right w:val="nil"/>
            </w:tcBorders>
            <w:shd w:val="clear" w:color="auto" w:fill="auto"/>
            <w:noWrap/>
            <w:vAlign w:val="bottom"/>
            <w:hideMark/>
          </w:tcPr>
          <w:p w14:paraId="53EE306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154</w:t>
            </w:r>
          </w:p>
        </w:tc>
        <w:tc>
          <w:tcPr>
            <w:tcW w:w="839" w:type="dxa"/>
            <w:tcBorders>
              <w:top w:val="nil"/>
              <w:left w:val="nil"/>
              <w:bottom w:val="single" w:sz="4" w:space="0" w:color="auto"/>
              <w:right w:val="single" w:sz="8" w:space="0" w:color="auto"/>
            </w:tcBorders>
            <w:shd w:val="clear" w:color="auto" w:fill="auto"/>
            <w:noWrap/>
            <w:vAlign w:val="bottom"/>
            <w:hideMark/>
          </w:tcPr>
          <w:p w14:paraId="73C3F712"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97.4%</w:t>
            </w:r>
          </w:p>
        </w:tc>
      </w:tr>
      <w:tr w:rsidR="003C091E" w:rsidRPr="003C091E" w14:paraId="30C47D5E"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1D6FFB92"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Central</w:t>
            </w:r>
          </w:p>
        </w:tc>
        <w:tc>
          <w:tcPr>
            <w:tcW w:w="377" w:type="dxa"/>
            <w:tcBorders>
              <w:top w:val="nil"/>
              <w:left w:val="double" w:sz="6" w:space="0" w:color="auto"/>
              <w:bottom w:val="single" w:sz="4" w:space="0" w:color="auto"/>
              <w:right w:val="nil"/>
            </w:tcBorders>
            <w:shd w:val="clear" w:color="auto" w:fill="auto"/>
            <w:noWrap/>
            <w:vAlign w:val="bottom"/>
            <w:hideMark/>
          </w:tcPr>
          <w:p w14:paraId="6C12C10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w:t>
            </w:r>
          </w:p>
        </w:tc>
        <w:tc>
          <w:tcPr>
            <w:tcW w:w="1134" w:type="dxa"/>
            <w:tcBorders>
              <w:top w:val="nil"/>
              <w:left w:val="nil"/>
              <w:bottom w:val="single" w:sz="4" w:space="0" w:color="auto"/>
              <w:right w:val="nil"/>
            </w:tcBorders>
            <w:shd w:val="clear" w:color="auto" w:fill="auto"/>
            <w:noWrap/>
            <w:vAlign w:val="bottom"/>
            <w:hideMark/>
          </w:tcPr>
          <w:p w14:paraId="268494E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83</w:t>
            </w:r>
          </w:p>
        </w:tc>
        <w:tc>
          <w:tcPr>
            <w:tcW w:w="934" w:type="dxa"/>
            <w:tcBorders>
              <w:top w:val="nil"/>
              <w:left w:val="nil"/>
              <w:bottom w:val="single" w:sz="4" w:space="0" w:color="auto"/>
              <w:right w:val="double" w:sz="6" w:space="0" w:color="auto"/>
            </w:tcBorders>
            <w:shd w:val="clear" w:color="auto" w:fill="auto"/>
            <w:noWrap/>
            <w:vAlign w:val="bottom"/>
            <w:hideMark/>
          </w:tcPr>
          <w:p w14:paraId="4750DD3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100.0%</w:t>
            </w:r>
          </w:p>
        </w:tc>
        <w:tc>
          <w:tcPr>
            <w:tcW w:w="778" w:type="dxa"/>
            <w:tcBorders>
              <w:top w:val="nil"/>
              <w:left w:val="nil"/>
              <w:bottom w:val="single" w:sz="4" w:space="0" w:color="auto"/>
              <w:right w:val="nil"/>
            </w:tcBorders>
            <w:shd w:val="clear" w:color="auto" w:fill="auto"/>
            <w:noWrap/>
            <w:vAlign w:val="bottom"/>
            <w:hideMark/>
          </w:tcPr>
          <w:p w14:paraId="0442B65D"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40</w:t>
            </w:r>
          </w:p>
        </w:tc>
        <w:tc>
          <w:tcPr>
            <w:tcW w:w="1156" w:type="dxa"/>
            <w:tcBorders>
              <w:top w:val="nil"/>
              <w:left w:val="nil"/>
              <w:bottom w:val="single" w:sz="4" w:space="0" w:color="auto"/>
              <w:right w:val="nil"/>
            </w:tcBorders>
            <w:shd w:val="clear" w:color="auto" w:fill="auto"/>
            <w:noWrap/>
            <w:vAlign w:val="bottom"/>
            <w:hideMark/>
          </w:tcPr>
          <w:p w14:paraId="0E5AB02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73</w:t>
            </w:r>
          </w:p>
        </w:tc>
        <w:tc>
          <w:tcPr>
            <w:tcW w:w="934" w:type="dxa"/>
            <w:tcBorders>
              <w:top w:val="nil"/>
              <w:left w:val="nil"/>
              <w:bottom w:val="single" w:sz="4" w:space="0" w:color="auto"/>
              <w:right w:val="nil"/>
            </w:tcBorders>
            <w:shd w:val="clear" w:color="auto" w:fill="auto"/>
            <w:noWrap/>
            <w:vAlign w:val="bottom"/>
            <w:hideMark/>
          </w:tcPr>
          <w:p w14:paraId="4825967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93.2%</w:t>
            </w:r>
          </w:p>
        </w:tc>
        <w:tc>
          <w:tcPr>
            <w:tcW w:w="386" w:type="dxa"/>
            <w:tcBorders>
              <w:top w:val="nil"/>
              <w:left w:val="double" w:sz="6" w:space="0" w:color="auto"/>
              <w:bottom w:val="single" w:sz="4" w:space="0" w:color="auto"/>
              <w:right w:val="nil"/>
            </w:tcBorders>
            <w:shd w:val="clear" w:color="auto" w:fill="auto"/>
            <w:noWrap/>
            <w:vAlign w:val="bottom"/>
            <w:hideMark/>
          </w:tcPr>
          <w:p w14:paraId="650B726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50</w:t>
            </w:r>
          </w:p>
        </w:tc>
        <w:tc>
          <w:tcPr>
            <w:tcW w:w="1164" w:type="dxa"/>
            <w:tcBorders>
              <w:top w:val="nil"/>
              <w:left w:val="nil"/>
              <w:bottom w:val="single" w:sz="4" w:space="0" w:color="auto"/>
              <w:right w:val="nil"/>
            </w:tcBorders>
            <w:shd w:val="clear" w:color="auto" w:fill="auto"/>
            <w:noWrap/>
            <w:vAlign w:val="bottom"/>
            <w:hideMark/>
          </w:tcPr>
          <w:p w14:paraId="0330EBA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156</w:t>
            </w:r>
          </w:p>
        </w:tc>
        <w:tc>
          <w:tcPr>
            <w:tcW w:w="839" w:type="dxa"/>
            <w:tcBorders>
              <w:top w:val="nil"/>
              <w:left w:val="nil"/>
              <w:bottom w:val="single" w:sz="4" w:space="0" w:color="auto"/>
              <w:right w:val="single" w:sz="8" w:space="0" w:color="auto"/>
            </w:tcBorders>
            <w:shd w:val="clear" w:color="auto" w:fill="auto"/>
            <w:noWrap/>
            <w:vAlign w:val="bottom"/>
            <w:hideMark/>
          </w:tcPr>
          <w:p w14:paraId="06CE3B4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96.8%</w:t>
            </w:r>
          </w:p>
        </w:tc>
      </w:tr>
      <w:tr w:rsidR="003C091E" w:rsidRPr="003C091E" w14:paraId="00D55831"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7D0A4B90"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Suncoast</w:t>
            </w:r>
          </w:p>
        </w:tc>
        <w:tc>
          <w:tcPr>
            <w:tcW w:w="377" w:type="dxa"/>
            <w:tcBorders>
              <w:top w:val="nil"/>
              <w:left w:val="double" w:sz="6" w:space="0" w:color="auto"/>
              <w:bottom w:val="single" w:sz="4" w:space="0" w:color="auto"/>
              <w:right w:val="nil"/>
            </w:tcBorders>
            <w:shd w:val="clear" w:color="auto" w:fill="auto"/>
            <w:noWrap/>
            <w:vAlign w:val="bottom"/>
            <w:hideMark/>
          </w:tcPr>
          <w:p w14:paraId="0F01CEC3"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7</w:t>
            </w:r>
          </w:p>
        </w:tc>
        <w:tc>
          <w:tcPr>
            <w:tcW w:w="1134" w:type="dxa"/>
            <w:tcBorders>
              <w:top w:val="nil"/>
              <w:left w:val="nil"/>
              <w:bottom w:val="single" w:sz="4" w:space="0" w:color="auto"/>
              <w:right w:val="nil"/>
            </w:tcBorders>
            <w:shd w:val="clear" w:color="auto" w:fill="auto"/>
            <w:noWrap/>
            <w:vAlign w:val="bottom"/>
            <w:hideMark/>
          </w:tcPr>
          <w:p w14:paraId="5365B8E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71</w:t>
            </w:r>
          </w:p>
        </w:tc>
        <w:tc>
          <w:tcPr>
            <w:tcW w:w="934" w:type="dxa"/>
            <w:tcBorders>
              <w:top w:val="nil"/>
              <w:left w:val="nil"/>
              <w:bottom w:val="single" w:sz="4" w:space="0" w:color="auto"/>
              <w:right w:val="double" w:sz="6" w:space="0" w:color="auto"/>
            </w:tcBorders>
            <w:shd w:val="clear" w:color="auto" w:fill="auto"/>
            <w:noWrap/>
            <w:vAlign w:val="bottom"/>
            <w:hideMark/>
          </w:tcPr>
          <w:p w14:paraId="00723F66"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98.6%</w:t>
            </w:r>
          </w:p>
        </w:tc>
        <w:tc>
          <w:tcPr>
            <w:tcW w:w="778" w:type="dxa"/>
            <w:tcBorders>
              <w:top w:val="nil"/>
              <w:left w:val="nil"/>
              <w:bottom w:val="single" w:sz="4" w:space="0" w:color="auto"/>
              <w:right w:val="nil"/>
            </w:tcBorders>
            <w:shd w:val="clear" w:color="auto" w:fill="auto"/>
            <w:noWrap/>
            <w:vAlign w:val="bottom"/>
            <w:hideMark/>
          </w:tcPr>
          <w:p w14:paraId="39F6CD40"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39</w:t>
            </w:r>
          </w:p>
        </w:tc>
        <w:tc>
          <w:tcPr>
            <w:tcW w:w="1156" w:type="dxa"/>
            <w:tcBorders>
              <w:top w:val="nil"/>
              <w:left w:val="nil"/>
              <w:bottom w:val="single" w:sz="4" w:space="0" w:color="auto"/>
              <w:right w:val="nil"/>
            </w:tcBorders>
            <w:shd w:val="clear" w:color="auto" w:fill="auto"/>
            <w:noWrap/>
            <w:vAlign w:val="bottom"/>
            <w:hideMark/>
          </w:tcPr>
          <w:p w14:paraId="4C2CD5A2"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78</w:t>
            </w:r>
          </w:p>
        </w:tc>
        <w:tc>
          <w:tcPr>
            <w:tcW w:w="934" w:type="dxa"/>
            <w:tcBorders>
              <w:top w:val="nil"/>
              <w:left w:val="nil"/>
              <w:bottom w:val="single" w:sz="4" w:space="0" w:color="auto"/>
              <w:right w:val="nil"/>
            </w:tcBorders>
            <w:shd w:val="clear" w:color="auto" w:fill="auto"/>
            <w:noWrap/>
            <w:vAlign w:val="bottom"/>
            <w:hideMark/>
          </w:tcPr>
          <w:p w14:paraId="6F0C94CB"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88.5%</w:t>
            </w:r>
          </w:p>
        </w:tc>
        <w:tc>
          <w:tcPr>
            <w:tcW w:w="386" w:type="dxa"/>
            <w:tcBorders>
              <w:top w:val="nil"/>
              <w:left w:val="double" w:sz="6" w:space="0" w:color="auto"/>
              <w:bottom w:val="single" w:sz="4" w:space="0" w:color="auto"/>
              <w:right w:val="nil"/>
            </w:tcBorders>
            <w:shd w:val="clear" w:color="auto" w:fill="auto"/>
            <w:noWrap/>
            <w:vAlign w:val="bottom"/>
            <w:hideMark/>
          </w:tcPr>
          <w:p w14:paraId="50B533F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46</w:t>
            </w:r>
          </w:p>
        </w:tc>
        <w:tc>
          <w:tcPr>
            <w:tcW w:w="1164" w:type="dxa"/>
            <w:tcBorders>
              <w:top w:val="nil"/>
              <w:left w:val="nil"/>
              <w:bottom w:val="single" w:sz="4" w:space="0" w:color="auto"/>
              <w:right w:val="nil"/>
            </w:tcBorders>
            <w:shd w:val="clear" w:color="auto" w:fill="auto"/>
            <w:noWrap/>
            <w:vAlign w:val="bottom"/>
            <w:hideMark/>
          </w:tcPr>
          <w:p w14:paraId="5298880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149</w:t>
            </w:r>
          </w:p>
        </w:tc>
        <w:tc>
          <w:tcPr>
            <w:tcW w:w="839" w:type="dxa"/>
            <w:tcBorders>
              <w:top w:val="nil"/>
              <w:left w:val="nil"/>
              <w:bottom w:val="single" w:sz="4" w:space="0" w:color="auto"/>
              <w:right w:val="single" w:sz="8" w:space="0" w:color="auto"/>
            </w:tcBorders>
            <w:shd w:val="clear" w:color="auto" w:fill="auto"/>
            <w:noWrap/>
            <w:vAlign w:val="bottom"/>
            <w:hideMark/>
          </w:tcPr>
          <w:p w14:paraId="40A7CFA2"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93.3%</w:t>
            </w:r>
          </w:p>
        </w:tc>
      </w:tr>
      <w:tr w:rsidR="003C091E" w:rsidRPr="003C091E" w14:paraId="52C351AD"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13A4F737"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Southeast</w:t>
            </w:r>
          </w:p>
        </w:tc>
        <w:tc>
          <w:tcPr>
            <w:tcW w:w="377" w:type="dxa"/>
            <w:tcBorders>
              <w:top w:val="nil"/>
              <w:left w:val="double" w:sz="6" w:space="0" w:color="auto"/>
              <w:bottom w:val="single" w:sz="4" w:space="0" w:color="auto"/>
              <w:right w:val="nil"/>
            </w:tcBorders>
            <w:shd w:val="clear" w:color="auto" w:fill="auto"/>
            <w:noWrap/>
            <w:vAlign w:val="bottom"/>
            <w:hideMark/>
          </w:tcPr>
          <w:p w14:paraId="3AACC14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21</w:t>
            </w:r>
          </w:p>
        </w:tc>
        <w:tc>
          <w:tcPr>
            <w:tcW w:w="1134" w:type="dxa"/>
            <w:tcBorders>
              <w:top w:val="nil"/>
              <w:left w:val="nil"/>
              <w:bottom w:val="single" w:sz="4" w:space="0" w:color="auto"/>
              <w:right w:val="nil"/>
            </w:tcBorders>
            <w:shd w:val="clear" w:color="auto" w:fill="auto"/>
            <w:noWrap/>
            <w:vAlign w:val="bottom"/>
            <w:hideMark/>
          </w:tcPr>
          <w:p w14:paraId="107FFDB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184</w:t>
            </w:r>
          </w:p>
        </w:tc>
        <w:tc>
          <w:tcPr>
            <w:tcW w:w="934" w:type="dxa"/>
            <w:tcBorders>
              <w:top w:val="nil"/>
              <w:left w:val="nil"/>
              <w:bottom w:val="single" w:sz="4" w:space="0" w:color="auto"/>
              <w:right w:val="double" w:sz="6" w:space="0" w:color="auto"/>
            </w:tcBorders>
            <w:shd w:val="clear" w:color="auto" w:fill="auto"/>
            <w:noWrap/>
            <w:vAlign w:val="bottom"/>
            <w:hideMark/>
          </w:tcPr>
          <w:p w14:paraId="19358F7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94.0%</w:t>
            </w:r>
          </w:p>
        </w:tc>
        <w:tc>
          <w:tcPr>
            <w:tcW w:w="778" w:type="dxa"/>
            <w:tcBorders>
              <w:top w:val="nil"/>
              <w:left w:val="nil"/>
              <w:bottom w:val="single" w:sz="4" w:space="0" w:color="auto"/>
              <w:right w:val="nil"/>
            </w:tcBorders>
            <w:shd w:val="clear" w:color="auto" w:fill="auto"/>
            <w:noWrap/>
            <w:vAlign w:val="bottom"/>
            <w:hideMark/>
          </w:tcPr>
          <w:p w14:paraId="36CD288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53</w:t>
            </w:r>
          </w:p>
        </w:tc>
        <w:tc>
          <w:tcPr>
            <w:tcW w:w="1156" w:type="dxa"/>
            <w:tcBorders>
              <w:top w:val="nil"/>
              <w:left w:val="nil"/>
              <w:bottom w:val="single" w:sz="4" w:space="0" w:color="auto"/>
              <w:right w:val="nil"/>
            </w:tcBorders>
            <w:shd w:val="clear" w:color="auto" w:fill="auto"/>
            <w:noWrap/>
            <w:vAlign w:val="bottom"/>
            <w:hideMark/>
          </w:tcPr>
          <w:p w14:paraId="7798EFF9"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83</w:t>
            </w:r>
          </w:p>
        </w:tc>
        <w:tc>
          <w:tcPr>
            <w:tcW w:w="934" w:type="dxa"/>
            <w:tcBorders>
              <w:top w:val="nil"/>
              <w:left w:val="nil"/>
              <w:bottom w:val="single" w:sz="4" w:space="0" w:color="auto"/>
              <w:right w:val="nil"/>
            </w:tcBorders>
            <w:shd w:val="clear" w:color="auto" w:fill="auto"/>
            <w:noWrap/>
            <w:vAlign w:val="bottom"/>
            <w:hideMark/>
          </w:tcPr>
          <w:p w14:paraId="413B2C5A"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89.2%</w:t>
            </w:r>
          </w:p>
        </w:tc>
        <w:tc>
          <w:tcPr>
            <w:tcW w:w="386" w:type="dxa"/>
            <w:tcBorders>
              <w:top w:val="nil"/>
              <w:left w:val="double" w:sz="6" w:space="0" w:color="auto"/>
              <w:bottom w:val="single" w:sz="4" w:space="0" w:color="auto"/>
              <w:right w:val="nil"/>
            </w:tcBorders>
            <w:shd w:val="clear" w:color="auto" w:fill="auto"/>
            <w:noWrap/>
            <w:vAlign w:val="bottom"/>
            <w:hideMark/>
          </w:tcPr>
          <w:p w14:paraId="16214D2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74</w:t>
            </w:r>
          </w:p>
        </w:tc>
        <w:tc>
          <w:tcPr>
            <w:tcW w:w="1164" w:type="dxa"/>
            <w:tcBorders>
              <w:top w:val="nil"/>
              <w:left w:val="nil"/>
              <w:bottom w:val="single" w:sz="4" w:space="0" w:color="auto"/>
              <w:right w:val="nil"/>
            </w:tcBorders>
            <w:shd w:val="clear" w:color="auto" w:fill="auto"/>
            <w:noWrap/>
            <w:vAlign w:val="bottom"/>
            <w:hideMark/>
          </w:tcPr>
          <w:p w14:paraId="16992CC1"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267</w:t>
            </w:r>
          </w:p>
        </w:tc>
        <w:tc>
          <w:tcPr>
            <w:tcW w:w="839" w:type="dxa"/>
            <w:tcBorders>
              <w:top w:val="nil"/>
              <w:left w:val="nil"/>
              <w:bottom w:val="single" w:sz="4" w:space="0" w:color="auto"/>
              <w:right w:val="single" w:sz="8" w:space="0" w:color="auto"/>
            </w:tcBorders>
            <w:shd w:val="clear" w:color="auto" w:fill="auto"/>
            <w:noWrap/>
            <w:vAlign w:val="bottom"/>
            <w:hideMark/>
          </w:tcPr>
          <w:p w14:paraId="0D56B751"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92.5%</w:t>
            </w:r>
          </w:p>
        </w:tc>
      </w:tr>
      <w:tr w:rsidR="003C091E" w:rsidRPr="003C091E" w14:paraId="25B38AA9" w14:textId="77777777" w:rsidTr="003C091E">
        <w:trPr>
          <w:trHeight w:val="300"/>
          <w:jc w:val="center"/>
        </w:trPr>
        <w:tc>
          <w:tcPr>
            <w:tcW w:w="1038" w:type="dxa"/>
            <w:tcBorders>
              <w:top w:val="nil"/>
              <w:left w:val="single" w:sz="8" w:space="0" w:color="auto"/>
              <w:bottom w:val="single" w:sz="4" w:space="0" w:color="auto"/>
              <w:right w:val="nil"/>
            </w:tcBorders>
            <w:shd w:val="clear" w:color="auto" w:fill="auto"/>
            <w:noWrap/>
            <w:vAlign w:val="bottom"/>
            <w:hideMark/>
          </w:tcPr>
          <w:p w14:paraId="2A213CFB" w14:textId="77777777" w:rsidR="003C091E" w:rsidRPr="003C091E" w:rsidRDefault="003C091E" w:rsidP="003C091E">
            <w:pPr>
              <w:spacing w:line="240" w:lineRule="auto"/>
              <w:rPr>
                <w:rFonts w:ascii="Calibri" w:eastAsia="Times New Roman" w:hAnsi="Calibri" w:cs="Calibri"/>
                <w:color w:val="000000"/>
                <w:sz w:val="22"/>
              </w:rPr>
            </w:pPr>
            <w:r w:rsidRPr="003C091E">
              <w:rPr>
                <w:rFonts w:ascii="Calibri" w:eastAsia="Times New Roman" w:hAnsi="Calibri" w:cs="Calibri"/>
                <w:color w:val="000000"/>
                <w:sz w:val="22"/>
              </w:rPr>
              <w:t>Southern</w:t>
            </w:r>
          </w:p>
        </w:tc>
        <w:tc>
          <w:tcPr>
            <w:tcW w:w="377" w:type="dxa"/>
            <w:tcBorders>
              <w:top w:val="nil"/>
              <w:left w:val="double" w:sz="6" w:space="0" w:color="auto"/>
              <w:bottom w:val="single" w:sz="4" w:space="0" w:color="auto"/>
              <w:right w:val="nil"/>
            </w:tcBorders>
            <w:shd w:val="clear" w:color="auto" w:fill="auto"/>
            <w:noWrap/>
            <w:vAlign w:val="bottom"/>
            <w:hideMark/>
          </w:tcPr>
          <w:p w14:paraId="582D2892"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w:t>
            </w:r>
          </w:p>
        </w:tc>
        <w:tc>
          <w:tcPr>
            <w:tcW w:w="1134" w:type="dxa"/>
            <w:tcBorders>
              <w:top w:val="nil"/>
              <w:left w:val="nil"/>
              <w:bottom w:val="single" w:sz="4" w:space="0" w:color="auto"/>
              <w:right w:val="nil"/>
            </w:tcBorders>
            <w:shd w:val="clear" w:color="auto" w:fill="auto"/>
            <w:noWrap/>
            <w:vAlign w:val="bottom"/>
            <w:hideMark/>
          </w:tcPr>
          <w:p w14:paraId="577A5C81"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120</w:t>
            </w:r>
          </w:p>
        </w:tc>
        <w:tc>
          <w:tcPr>
            <w:tcW w:w="934" w:type="dxa"/>
            <w:tcBorders>
              <w:top w:val="nil"/>
              <w:left w:val="nil"/>
              <w:bottom w:val="single" w:sz="4" w:space="0" w:color="auto"/>
              <w:right w:val="double" w:sz="6" w:space="0" w:color="auto"/>
            </w:tcBorders>
            <w:shd w:val="clear" w:color="auto" w:fill="auto"/>
            <w:noWrap/>
            <w:vAlign w:val="bottom"/>
            <w:hideMark/>
          </w:tcPr>
          <w:p w14:paraId="0C3B972F"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96.7%</w:t>
            </w:r>
          </w:p>
        </w:tc>
        <w:tc>
          <w:tcPr>
            <w:tcW w:w="778" w:type="dxa"/>
            <w:tcBorders>
              <w:top w:val="nil"/>
              <w:left w:val="nil"/>
              <w:bottom w:val="single" w:sz="4" w:space="0" w:color="auto"/>
              <w:right w:val="nil"/>
            </w:tcBorders>
            <w:shd w:val="clear" w:color="auto" w:fill="auto"/>
            <w:noWrap/>
            <w:vAlign w:val="bottom"/>
            <w:hideMark/>
          </w:tcPr>
          <w:p w14:paraId="6523A324"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13</w:t>
            </w:r>
          </w:p>
        </w:tc>
        <w:tc>
          <w:tcPr>
            <w:tcW w:w="1156" w:type="dxa"/>
            <w:tcBorders>
              <w:top w:val="nil"/>
              <w:left w:val="nil"/>
              <w:bottom w:val="single" w:sz="4" w:space="0" w:color="auto"/>
              <w:right w:val="nil"/>
            </w:tcBorders>
            <w:shd w:val="clear" w:color="auto" w:fill="auto"/>
            <w:noWrap/>
            <w:vAlign w:val="bottom"/>
            <w:hideMark/>
          </w:tcPr>
          <w:p w14:paraId="23367758"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20</w:t>
            </w:r>
          </w:p>
        </w:tc>
        <w:tc>
          <w:tcPr>
            <w:tcW w:w="934" w:type="dxa"/>
            <w:tcBorders>
              <w:top w:val="nil"/>
              <w:left w:val="nil"/>
              <w:bottom w:val="single" w:sz="4" w:space="0" w:color="auto"/>
              <w:right w:val="nil"/>
            </w:tcBorders>
            <w:shd w:val="clear" w:color="auto" w:fill="auto"/>
            <w:noWrap/>
            <w:vAlign w:val="bottom"/>
            <w:hideMark/>
          </w:tcPr>
          <w:p w14:paraId="7B8D279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100.0%</w:t>
            </w:r>
          </w:p>
        </w:tc>
        <w:tc>
          <w:tcPr>
            <w:tcW w:w="386" w:type="dxa"/>
            <w:tcBorders>
              <w:top w:val="nil"/>
              <w:left w:val="double" w:sz="6" w:space="0" w:color="auto"/>
              <w:bottom w:val="single" w:sz="4" w:space="0" w:color="auto"/>
              <w:right w:val="nil"/>
            </w:tcBorders>
            <w:shd w:val="clear" w:color="auto" w:fill="auto"/>
            <w:noWrap/>
            <w:vAlign w:val="bottom"/>
            <w:hideMark/>
          </w:tcPr>
          <w:p w14:paraId="71347D4E"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27</w:t>
            </w:r>
          </w:p>
        </w:tc>
        <w:tc>
          <w:tcPr>
            <w:tcW w:w="1164" w:type="dxa"/>
            <w:tcBorders>
              <w:top w:val="nil"/>
              <w:left w:val="nil"/>
              <w:bottom w:val="single" w:sz="4" w:space="0" w:color="auto"/>
              <w:right w:val="nil"/>
            </w:tcBorders>
            <w:shd w:val="clear" w:color="auto" w:fill="auto"/>
            <w:noWrap/>
            <w:vAlign w:val="bottom"/>
            <w:hideMark/>
          </w:tcPr>
          <w:p w14:paraId="05B8150C"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140</w:t>
            </w:r>
          </w:p>
        </w:tc>
        <w:tc>
          <w:tcPr>
            <w:tcW w:w="839" w:type="dxa"/>
            <w:tcBorders>
              <w:top w:val="nil"/>
              <w:left w:val="nil"/>
              <w:bottom w:val="single" w:sz="4" w:space="0" w:color="auto"/>
              <w:right w:val="single" w:sz="8" w:space="0" w:color="auto"/>
            </w:tcBorders>
            <w:shd w:val="clear" w:color="auto" w:fill="auto"/>
            <w:noWrap/>
            <w:vAlign w:val="bottom"/>
            <w:hideMark/>
          </w:tcPr>
          <w:p w14:paraId="020C1CA5" w14:textId="77777777" w:rsidR="003C091E" w:rsidRPr="003C091E" w:rsidRDefault="003C091E" w:rsidP="003C091E">
            <w:pPr>
              <w:spacing w:line="240" w:lineRule="auto"/>
              <w:jc w:val="center"/>
              <w:rPr>
                <w:rFonts w:ascii="Calibri" w:eastAsia="Times New Roman" w:hAnsi="Calibri" w:cs="Calibri"/>
                <w:color w:val="000000"/>
                <w:sz w:val="22"/>
              </w:rPr>
            </w:pPr>
            <w:r w:rsidRPr="003C091E">
              <w:rPr>
                <w:rFonts w:ascii="Calibri" w:eastAsia="Times New Roman" w:hAnsi="Calibri" w:cs="Calibri"/>
                <w:color w:val="000000"/>
                <w:sz w:val="22"/>
              </w:rPr>
              <w:t>97.1%</w:t>
            </w:r>
          </w:p>
        </w:tc>
      </w:tr>
      <w:tr w:rsidR="003C091E" w:rsidRPr="003C091E" w14:paraId="0160D945" w14:textId="77777777" w:rsidTr="003C091E">
        <w:trPr>
          <w:trHeight w:val="315"/>
          <w:jc w:val="center"/>
        </w:trPr>
        <w:tc>
          <w:tcPr>
            <w:tcW w:w="1038" w:type="dxa"/>
            <w:tcBorders>
              <w:top w:val="nil"/>
              <w:left w:val="single" w:sz="8" w:space="0" w:color="auto"/>
              <w:bottom w:val="single" w:sz="8" w:space="0" w:color="auto"/>
              <w:right w:val="nil"/>
            </w:tcBorders>
            <w:shd w:val="clear" w:color="auto" w:fill="auto"/>
            <w:noWrap/>
            <w:vAlign w:val="bottom"/>
            <w:hideMark/>
          </w:tcPr>
          <w:p w14:paraId="73DB2905" w14:textId="77777777" w:rsidR="003C091E" w:rsidRPr="003C091E" w:rsidRDefault="003C091E" w:rsidP="003C091E">
            <w:pPr>
              <w:spacing w:line="240" w:lineRule="auto"/>
              <w:rPr>
                <w:rFonts w:ascii="Calibri" w:eastAsia="Times New Roman" w:hAnsi="Calibri" w:cs="Calibri"/>
                <w:b/>
                <w:bCs/>
                <w:color w:val="000000"/>
                <w:sz w:val="22"/>
              </w:rPr>
            </w:pPr>
            <w:r w:rsidRPr="003C091E">
              <w:rPr>
                <w:rFonts w:ascii="Calibri" w:eastAsia="Times New Roman" w:hAnsi="Calibri" w:cs="Calibri"/>
                <w:b/>
                <w:bCs/>
                <w:color w:val="000000"/>
                <w:sz w:val="22"/>
              </w:rPr>
              <w:t xml:space="preserve">State </w:t>
            </w:r>
          </w:p>
        </w:tc>
        <w:tc>
          <w:tcPr>
            <w:tcW w:w="377" w:type="dxa"/>
            <w:tcBorders>
              <w:top w:val="nil"/>
              <w:left w:val="double" w:sz="6" w:space="0" w:color="auto"/>
              <w:bottom w:val="single" w:sz="8" w:space="0" w:color="auto"/>
              <w:right w:val="nil"/>
            </w:tcBorders>
            <w:shd w:val="clear" w:color="auto" w:fill="auto"/>
            <w:noWrap/>
            <w:vAlign w:val="bottom"/>
            <w:hideMark/>
          </w:tcPr>
          <w:p w14:paraId="39C19B6E"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65</w:t>
            </w:r>
          </w:p>
        </w:tc>
        <w:tc>
          <w:tcPr>
            <w:tcW w:w="1134" w:type="dxa"/>
            <w:tcBorders>
              <w:top w:val="nil"/>
              <w:left w:val="nil"/>
              <w:bottom w:val="single" w:sz="8" w:space="0" w:color="auto"/>
              <w:right w:val="nil"/>
            </w:tcBorders>
            <w:shd w:val="clear" w:color="auto" w:fill="auto"/>
            <w:noWrap/>
            <w:vAlign w:val="bottom"/>
            <w:hideMark/>
          </w:tcPr>
          <w:p w14:paraId="5374931E"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579</w:t>
            </w:r>
          </w:p>
        </w:tc>
        <w:tc>
          <w:tcPr>
            <w:tcW w:w="934" w:type="dxa"/>
            <w:tcBorders>
              <w:top w:val="nil"/>
              <w:left w:val="nil"/>
              <w:bottom w:val="single" w:sz="8" w:space="0" w:color="auto"/>
              <w:right w:val="double" w:sz="6" w:space="0" w:color="auto"/>
            </w:tcBorders>
            <w:shd w:val="clear" w:color="auto" w:fill="auto"/>
            <w:noWrap/>
            <w:vAlign w:val="bottom"/>
            <w:hideMark/>
          </w:tcPr>
          <w:p w14:paraId="3A3CBCAB"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97.1%</w:t>
            </w:r>
          </w:p>
        </w:tc>
        <w:tc>
          <w:tcPr>
            <w:tcW w:w="778" w:type="dxa"/>
            <w:tcBorders>
              <w:top w:val="nil"/>
              <w:left w:val="nil"/>
              <w:bottom w:val="single" w:sz="8" w:space="0" w:color="auto"/>
              <w:right w:val="nil"/>
            </w:tcBorders>
            <w:shd w:val="clear" w:color="auto" w:fill="auto"/>
            <w:noWrap/>
            <w:vAlign w:val="bottom"/>
            <w:hideMark/>
          </w:tcPr>
          <w:p w14:paraId="471EACA2"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185</w:t>
            </w:r>
          </w:p>
        </w:tc>
        <w:tc>
          <w:tcPr>
            <w:tcW w:w="1156" w:type="dxa"/>
            <w:tcBorders>
              <w:top w:val="nil"/>
              <w:left w:val="nil"/>
              <w:bottom w:val="single" w:sz="8" w:space="0" w:color="auto"/>
              <w:right w:val="nil"/>
            </w:tcBorders>
            <w:shd w:val="clear" w:color="auto" w:fill="auto"/>
            <w:noWrap/>
            <w:vAlign w:val="bottom"/>
            <w:hideMark/>
          </w:tcPr>
          <w:p w14:paraId="7ED1ABBF"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328</w:t>
            </w:r>
          </w:p>
        </w:tc>
        <w:tc>
          <w:tcPr>
            <w:tcW w:w="934" w:type="dxa"/>
            <w:tcBorders>
              <w:top w:val="nil"/>
              <w:left w:val="nil"/>
              <w:bottom w:val="single" w:sz="8" w:space="0" w:color="auto"/>
              <w:right w:val="nil"/>
            </w:tcBorders>
            <w:shd w:val="clear" w:color="auto" w:fill="auto"/>
            <w:noWrap/>
            <w:vAlign w:val="bottom"/>
            <w:hideMark/>
          </w:tcPr>
          <w:p w14:paraId="4CB6C9FA"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91.8%</w:t>
            </w:r>
          </w:p>
        </w:tc>
        <w:tc>
          <w:tcPr>
            <w:tcW w:w="386" w:type="dxa"/>
            <w:tcBorders>
              <w:top w:val="nil"/>
              <w:left w:val="double" w:sz="6" w:space="0" w:color="auto"/>
              <w:bottom w:val="single" w:sz="8" w:space="0" w:color="auto"/>
              <w:right w:val="nil"/>
            </w:tcBorders>
            <w:shd w:val="clear" w:color="auto" w:fill="auto"/>
            <w:noWrap/>
            <w:vAlign w:val="bottom"/>
            <w:hideMark/>
          </w:tcPr>
          <w:p w14:paraId="1B6F64F2"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250</w:t>
            </w:r>
          </w:p>
        </w:tc>
        <w:tc>
          <w:tcPr>
            <w:tcW w:w="1164" w:type="dxa"/>
            <w:tcBorders>
              <w:top w:val="nil"/>
              <w:left w:val="nil"/>
              <w:bottom w:val="single" w:sz="8" w:space="0" w:color="auto"/>
              <w:right w:val="nil"/>
            </w:tcBorders>
            <w:shd w:val="clear" w:color="auto" w:fill="auto"/>
            <w:noWrap/>
            <w:vAlign w:val="bottom"/>
            <w:hideMark/>
          </w:tcPr>
          <w:p w14:paraId="1B806BB0"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907</w:t>
            </w:r>
          </w:p>
        </w:tc>
        <w:tc>
          <w:tcPr>
            <w:tcW w:w="839" w:type="dxa"/>
            <w:tcBorders>
              <w:top w:val="nil"/>
              <w:left w:val="nil"/>
              <w:bottom w:val="single" w:sz="8" w:space="0" w:color="auto"/>
              <w:right w:val="single" w:sz="8" w:space="0" w:color="auto"/>
            </w:tcBorders>
            <w:shd w:val="clear" w:color="auto" w:fill="auto"/>
            <w:noWrap/>
            <w:vAlign w:val="bottom"/>
            <w:hideMark/>
          </w:tcPr>
          <w:p w14:paraId="28AFF543" w14:textId="77777777" w:rsidR="003C091E" w:rsidRPr="003C091E" w:rsidRDefault="003C091E" w:rsidP="003C091E">
            <w:pPr>
              <w:spacing w:line="240" w:lineRule="auto"/>
              <w:jc w:val="center"/>
              <w:rPr>
                <w:rFonts w:ascii="Calibri" w:eastAsia="Times New Roman" w:hAnsi="Calibri" w:cs="Calibri"/>
                <w:b/>
                <w:bCs/>
                <w:color w:val="000000"/>
                <w:sz w:val="22"/>
              </w:rPr>
            </w:pPr>
            <w:r w:rsidRPr="003C091E">
              <w:rPr>
                <w:rFonts w:ascii="Calibri" w:eastAsia="Times New Roman" w:hAnsi="Calibri" w:cs="Calibri"/>
                <w:b/>
                <w:bCs/>
                <w:color w:val="000000"/>
                <w:sz w:val="22"/>
              </w:rPr>
              <w:t>95.1%</w:t>
            </w:r>
          </w:p>
        </w:tc>
      </w:tr>
    </w:tbl>
    <w:p w14:paraId="43D6BD5A" w14:textId="2FCC06F5" w:rsidR="00E502EE" w:rsidRDefault="003C091E" w:rsidP="00E502EE">
      <w:pPr>
        <w:spacing w:line="240" w:lineRule="auto"/>
      </w:pPr>
      <w:r>
        <w:fldChar w:fldCharType="end"/>
      </w:r>
    </w:p>
    <w:p w14:paraId="6A7C092A" w14:textId="77777777" w:rsidR="00E502EE" w:rsidRDefault="00E502EE" w:rsidP="00E502EE">
      <w:pPr>
        <w:spacing w:line="240" w:lineRule="auto"/>
        <w:jc w:val="center"/>
      </w:pPr>
    </w:p>
    <w:p w14:paraId="24968557" w14:textId="77777777" w:rsidR="00F34C75" w:rsidRDefault="00F34C75" w:rsidP="00F34C75">
      <w:pPr>
        <w:pStyle w:val="Heading3"/>
      </w:pPr>
      <w:bookmarkStart w:id="50" w:name="_Toc64285539"/>
      <w:r>
        <w:lastRenderedPageBreak/>
        <w:t>Qualifications and Training Requirements</w:t>
      </w:r>
      <w:bookmarkEnd w:id="49"/>
      <w:bookmarkEnd w:id="50"/>
    </w:p>
    <w:p w14:paraId="6A929651" w14:textId="49D58F86" w:rsidR="003A4E3D" w:rsidRDefault="00F34C75" w:rsidP="003A4E3D">
      <w:r w:rsidRPr="009B7777">
        <w:rPr>
          <w:noProof/>
        </w:rPr>
        <w:drawing>
          <wp:anchor distT="0" distB="0" distL="114300" distR="114300" simplePos="0" relativeHeight="251658261" behindDoc="0" locked="0" layoutInCell="1" allowOverlap="1" wp14:anchorId="0DBC0EA0" wp14:editId="0289D0A4">
            <wp:simplePos x="0" y="0"/>
            <wp:positionH relativeFrom="margin">
              <wp:align>left</wp:align>
            </wp:positionH>
            <wp:positionV relativeFrom="paragraph">
              <wp:posOffset>158750</wp:posOffset>
            </wp:positionV>
            <wp:extent cx="1019810" cy="94932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raining-469591_640[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19810" cy="949325"/>
                    </a:xfrm>
                    <a:prstGeom prst="rect">
                      <a:avLst/>
                    </a:prstGeom>
                  </pic:spPr>
                </pic:pic>
              </a:graphicData>
            </a:graphic>
            <wp14:sizeRelH relativeFrom="margin">
              <wp14:pctWidth>0</wp14:pctWidth>
            </wp14:sizeRelH>
            <wp14:sizeRelV relativeFrom="margin">
              <wp14:pctHeight>0</wp14:pctHeight>
            </wp14:sizeRelV>
          </wp:anchor>
        </w:drawing>
      </w:r>
      <w:r w:rsidRPr="009B7777">
        <w:t xml:space="preserve">WSCs and all Direct Service Providers are required to have certain training and education completed in order to render specific services. For each service provider and WSC, several employee records are reviewed. The total number of </w:t>
      </w:r>
      <w:r w:rsidRPr="00343C92">
        <w:t xml:space="preserve">employee records sampled varies, depending on the number of people receiving services. Of the </w:t>
      </w:r>
      <w:r w:rsidR="00343C92" w:rsidRPr="00343C92">
        <w:t>817</w:t>
      </w:r>
      <w:r w:rsidRPr="00343C92">
        <w:t xml:space="preserve"> </w:t>
      </w:r>
      <w:r w:rsidR="002D40E2" w:rsidRPr="00343C92">
        <w:t xml:space="preserve">service </w:t>
      </w:r>
      <w:r w:rsidRPr="00343C92">
        <w:t xml:space="preserve">providers and </w:t>
      </w:r>
      <w:r w:rsidR="00343C92" w:rsidRPr="00343C92">
        <w:t>250</w:t>
      </w:r>
      <w:r w:rsidRPr="00343C92">
        <w:t xml:space="preserve"> WSCs who participated in a PDR</w:t>
      </w:r>
      <w:r w:rsidR="009B7777" w:rsidRPr="00343C92">
        <w:t xml:space="preserve"> between July</w:t>
      </w:r>
      <w:r w:rsidR="007846CC" w:rsidRPr="00343C92">
        <w:t xml:space="preserve"> and </w:t>
      </w:r>
      <w:r w:rsidR="003C091E" w:rsidRPr="00343C92">
        <w:t>December</w:t>
      </w:r>
      <w:r w:rsidR="007846CC" w:rsidRPr="00343C92">
        <w:t xml:space="preserve"> 2020</w:t>
      </w:r>
      <w:r w:rsidRPr="00343C92">
        <w:t xml:space="preserve">, Qlarant reviewed </w:t>
      </w:r>
      <w:r w:rsidR="00343C92" w:rsidRPr="00343C92">
        <w:t>2,166</w:t>
      </w:r>
      <w:r w:rsidRPr="00343C92">
        <w:t xml:space="preserve"> and </w:t>
      </w:r>
      <w:r w:rsidR="00343C92" w:rsidRPr="00343C92">
        <w:t>351</w:t>
      </w:r>
      <w:r w:rsidRPr="00343C92">
        <w:t xml:space="preserve"> employee records respectively.</w:t>
      </w:r>
      <w:r w:rsidR="003A4E3D">
        <w:t xml:space="preserve"> </w:t>
      </w:r>
    </w:p>
    <w:p w14:paraId="3D86138D" w14:textId="2F3AFBD0" w:rsidR="00F34C75" w:rsidRDefault="00F34C75" w:rsidP="00F34C75"/>
    <w:p w14:paraId="793A4E61" w14:textId="02FF8F6B" w:rsidR="00F34C75" w:rsidRDefault="00F34C75" w:rsidP="00F34C75">
      <w:r w:rsidRPr="00471579">
        <w:t xml:space="preserve">A description of each standard scored within the Administrative Qualifications and Training </w:t>
      </w:r>
      <w:r w:rsidRPr="00846E0A">
        <w:t>component of the PDR is shown in Table</w:t>
      </w:r>
      <w:r w:rsidR="003A4E3D">
        <w:t>s</w:t>
      </w:r>
      <w:r w:rsidRPr="00846E0A">
        <w:t xml:space="preserve"> </w:t>
      </w:r>
      <w:r w:rsidR="001940FE">
        <w:t>17</w:t>
      </w:r>
      <w:r w:rsidR="003A4E3D">
        <w:t xml:space="preserve"> (</w:t>
      </w:r>
      <w:r w:rsidR="009B7777">
        <w:t>service providers</w:t>
      </w:r>
      <w:r w:rsidR="001940FE">
        <w:t>) and 18</w:t>
      </w:r>
      <w:r w:rsidR="003A4E3D">
        <w:t xml:space="preserve"> (</w:t>
      </w:r>
      <w:r w:rsidR="009B7777">
        <w:t>WSCs</w:t>
      </w:r>
      <w:r w:rsidR="003A4E3D">
        <w:t>)</w:t>
      </w:r>
      <w:r w:rsidRPr="00846E0A">
        <w:t xml:space="preserve">. </w:t>
      </w:r>
      <w:r>
        <w:t xml:space="preserve">Each table shows the number of employee records reviewed, the number of providers reviewed (for which the standard was applicable) and the percent of </w:t>
      </w:r>
      <w:r w:rsidRPr="00A8662B">
        <w:t>providers</w:t>
      </w:r>
      <w:r>
        <w:t xml:space="preserve"> (not employees) with the standard met for all staff</w:t>
      </w:r>
      <w:r w:rsidR="009B7777">
        <w:t xml:space="preserve"> records reviewed</w:t>
      </w:r>
      <w:r>
        <w:t>. For the provider to score the standard met, all employee records reviewed must show compliance with the standard. If one record is out of compliance, the standard is Not Met for the provider.</w:t>
      </w:r>
    </w:p>
    <w:p w14:paraId="56FBCC8A" w14:textId="77777777" w:rsidR="008E1393" w:rsidRDefault="008E1393" w:rsidP="00F34C75">
      <w:pPr>
        <w:rPr>
          <w:highlight w:val="yellow"/>
        </w:rPr>
      </w:pPr>
    </w:p>
    <w:p w14:paraId="7B85FC63" w14:textId="5F33B347" w:rsidR="001C18AE" w:rsidRPr="00495DD9" w:rsidRDefault="00652B24" w:rsidP="00F34C75">
      <w:pPr>
        <w:rPr>
          <w:highlight w:val="yellow"/>
        </w:rPr>
      </w:pPr>
      <w:r>
        <w:t>Qualification and Training s</w:t>
      </w:r>
      <w:r w:rsidR="008E1393" w:rsidRPr="008E1393">
        <w:t>cores to date are relatively high and similar to previous years. For Support Coordination</w:t>
      </w:r>
      <w:r w:rsidR="008E1393" w:rsidRPr="009C103E">
        <w:t xml:space="preserve">, </w:t>
      </w:r>
      <w:r w:rsidR="007B6990" w:rsidRPr="009C103E">
        <w:t>three</w:t>
      </w:r>
      <w:r w:rsidR="008E1393" w:rsidRPr="009C103E">
        <w:t xml:space="preserve"> indicator showed a score of under </w:t>
      </w:r>
      <w:r w:rsidR="007B6990" w:rsidRPr="009C103E">
        <w:t>90</w:t>
      </w:r>
      <w:r w:rsidR="008E1393" w:rsidRPr="009C103E">
        <w:t xml:space="preserve"> percent</w:t>
      </w:r>
      <w:r w:rsidR="001C18AE" w:rsidRPr="009C103E">
        <w:t>:</w:t>
      </w:r>
      <w:r w:rsidR="008E1393" w:rsidRPr="009C103E">
        <w:t xml:space="preserve"> To date, fewer than 8</w:t>
      </w:r>
      <w:r w:rsidR="009C103E" w:rsidRPr="009C103E">
        <w:t>0</w:t>
      </w:r>
      <w:r w:rsidR="008E1393" w:rsidRPr="009C103E">
        <w:t xml:space="preserve"> percent of service providers were compliant on eight indicators for training requirements. These are highlighted in Table 1</w:t>
      </w:r>
      <w:r w:rsidR="001940FE" w:rsidRPr="009C103E">
        <w:t>7</w:t>
      </w:r>
      <w:r w:rsidR="008E1393" w:rsidRPr="009C103E">
        <w:t xml:space="preserve">. </w:t>
      </w:r>
      <w:r w:rsidR="009C103E">
        <w:t xml:space="preserve">These include training in HIV/AIDS/infection control; in-service training for providers of Behavior Assistant, Life Skills Development 1, 2 and 3 (Companion, Supported Employment and Adult Day Training); Personal Supports, and Residential Habilitation (Standard); and maintaining Basic Administration Medication Validation. </w:t>
      </w:r>
    </w:p>
    <w:p w14:paraId="47C42317" w14:textId="77777777" w:rsidR="00F34C75" w:rsidRDefault="00F34C75" w:rsidP="00F34C75">
      <w:pPr>
        <w:pStyle w:val="ListParagraph"/>
      </w:pPr>
    </w:p>
    <w:tbl>
      <w:tblPr>
        <w:tblStyle w:val="PlainTable1"/>
        <w:tblW w:w="0" w:type="auto"/>
        <w:tblCellMar>
          <w:top w:w="29" w:type="dxa"/>
          <w:left w:w="43" w:type="dxa"/>
          <w:bottom w:w="29" w:type="dxa"/>
          <w:right w:w="43" w:type="dxa"/>
        </w:tblCellMar>
        <w:tblLook w:val="04A0" w:firstRow="1" w:lastRow="0" w:firstColumn="1" w:lastColumn="0" w:noHBand="0" w:noVBand="1"/>
      </w:tblPr>
      <w:tblGrid>
        <w:gridCol w:w="5215"/>
        <w:gridCol w:w="1350"/>
        <w:gridCol w:w="1346"/>
        <w:gridCol w:w="1439"/>
      </w:tblGrid>
      <w:tr w:rsidR="00B9595B" w:rsidRPr="00D35D57" w14:paraId="509439D1" w14:textId="77777777" w:rsidTr="00A4522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1F4E79" w:themeFill="accent1" w:themeFillShade="80"/>
            <w:vAlign w:val="center"/>
            <w:hideMark/>
          </w:tcPr>
          <w:p w14:paraId="3097F4B9" w14:textId="6E319233" w:rsidR="00B9595B" w:rsidRPr="00D35D57" w:rsidRDefault="00B9595B" w:rsidP="001940FE">
            <w:pPr>
              <w:spacing w:line="240" w:lineRule="auto"/>
              <w:jc w:val="center"/>
              <w:rPr>
                <w:rFonts w:ascii="Franklin Gothic Medium" w:eastAsia="Times New Roman" w:hAnsi="Franklin Gothic Medium" w:cstheme="minorHAnsi"/>
                <w:b w:val="0"/>
                <w:color w:val="FFFFFF" w:themeColor="background1"/>
                <w:sz w:val="22"/>
                <w:szCs w:val="20"/>
              </w:rPr>
            </w:pPr>
            <w:r w:rsidRPr="00D35D57">
              <w:rPr>
                <w:rFonts w:ascii="Franklin Gothic Medium" w:eastAsia="Times New Roman" w:hAnsi="Franklin Gothic Medium" w:cstheme="minorHAnsi"/>
                <w:b w:val="0"/>
                <w:color w:val="FFFFFF" w:themeColor="background1"/>
                <w:sz w:val="22"/>
                <w:szCs w:val="20"/>
              </w:rPr>
              <w:t>Table 1</w:t>
            </w:r>
            <w:r w:rsidR="001940FE">
              <w:rPr>
                <w:rFonts w:ascii="Franklin Gothic Medium" w:eastAsia="Times New Roman" w:hAnsi="Franklin Gothic Medium" w:cstheme="minorHAnsi"/>
                <w:b w:val="0"/>
                <w:color w:val="FFFFFF" w:themeColor="background1"/>
                <w:sz w:val="22"/>
                <w:szCs w:val="20"/>
              </w:rPr>
              <w:t>7</w:t>
            </w:r>
            <w:r>
              <w:rPr>
                <w:rFonts w:ascii="Franklin Gothic Medium" w:eastAsia="Times New Roman" w:hAnsi="Franklin Gothic Medium" w:cstheme="minorHAnsi"/>
                <w:b w:val="0"/>
                <w:color w:val="FFFFFF" w:themeColor="background1"/>
                <w:sz w:val="22"/>
                <w:szCs w:val="20"/>
              </w:rPr>
              <w:t>.</w:t>
            </w:r>
            <w:r w:rsidRPr="00D35D57">
              <w:rPr>
                <w:rFonts w:ascii="Franklin Gothic Medium" w:eastAsia="Times New Roman" w:hAnsi="Franklin Gothic Medium" w:cstheme="minorHAnsi"/>
                <w:b w:val="0"/>
                <w:color w:val="FFFFFF" w:themeColor="background1"/>
                <w:sz w:val="22"/>
                <w:szCs w:val="20"/>
              </w:rPr>
              <w:t xml:space="preserve">  PDR Qualifications and Training </w:t>
            </w:r>
            <w:r w:rsidR="004E089C">
              <w:rPr>
                <w:rFonts w:ascii="Franklin Gothic Medium" w:eastAsia="Times New Roman" w:hAnsi="Franklin Gothic Medium" w:cstheme="minorHAnsi"/>
                <w:b w:val="0"/>
                <w:color w:val="FFFFFF" w:themeColor="background1"/>
                <w:sz w:val="22"/>
                <w:szCs w:val="20"/>
              </w:rPr>
              <w:t xml:space="preserve">Service Provider </w:t>
            </w:r>
            <w:r w:rsidRPr="00D35D57">
              <w:rPr>
                <w:rFonts w:ascii="Franklin Gothic Medium" w:eastAsia="Times New Roman" w:hAnsi="Franklin Gothic Medium" w:cstheme="minorHAnsi"/>
                <w:b w:val="0"/>
                <w:color w:val="FFFFFF" w:themeColor="background1"/>
                <w:sz w:val="22"/>
                <w:szCs w:val="20"/>
              </w:rPr>
              <w:t>Results by Standard</w:t>
            </w:r>
          </w:p>
        </w:tc>
      </w:tr>
      <w:tr w:rsidR="00B9595B" w:rsidRPr="00D35D57" w14:paraId="44F8EF40" w14:textId="77777777" w:rsidTr="00A4522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1F4E79" w:themeFill="accent1" w:themeFillShade="80"/>
            <w:vAlign w:val="center"/>
            <w:hideMark/>
          </w:tcPr>
          <w:p w14:paraId="617AF43F" w14:textId="65F9C2D0" w:rsidR="00B9595B" w:rsidRPr="00D35D57" w:rsidRDefault="009B7777" w:rsidP="00495DD9">
            <w:pPr>
              <w:spacing w:line="240" w:lineRule="auto"/>
              <w:jc w:val="center"/>
              <w:rPr>
                <w:rFonts w:ascii="Franklin Gothic Medium" w:eastAsia="Times New Roman" w:hAnsi="Franklin Gothic Medium" w:cstheme="minorHAnsi"/>
                <w:b w:val="0"/>
                <w:color w:val="FFFFFF" w:themeColor="background1"/>
                <w:sz w:val="22"/>
                <w:szCs w:val="20"/>
              </w:rPr>
            </w:pPr>
            <w:r>
              <w:rPr>
                <w:rFonts w:ascii="Franklin Gothic Medium" w:eastAsia="Times New Roman" w:hAnsi="Franklin Gothic Medium" w:cstheme="minorHAnsi"/>
                <w:b w:val="0"/>
                <w:color w:val="FFFFFF" w:themeColor="background1"/>
                <w:sz w:val="22"/>
                <w:szCs w:val="20"/>
              </w:rPr>
              <w:t xml:space="preserve">July - </w:t>
            </w:r>
            <w:r w:rsidR="00495DD9">
              <w:rPr>
                <w:rFonts w:ascii="Franklin Gothic Medium" w:eastAsia="Times New Roman" w:hAnsi="Franklin Gothic Medium" w:cstheme="minorHAnsi"/>
                <w:b w:val="0"/>
                <w:color w:val="FFFFFF" w:themeColor="background1"/>
                <w:sz w:val="22"/>
                <w:szCs w:val="20"/>
              </w:rPr>
              <w:t>December</w:t>
            </w:r>
            <w:r w:rsidR="00B9595B">
              <w:rPr>
                <w:rFonts w:ascii="Franklin Gothic Medium" w:eastAsia="Times New Roman" w:hAnsi="Franklin Gothic Medium" w:cstheme="minorHAnsi"/>
                <w:b w:val="0"/>
                <w:color w:val="FFFFFF" w:themeColor="background1"/>
                <w:sz w:val="22"/>
                <w:szCs w:val="20"/>
              </w:rPr>
              <w:t xml:space="preserve"> 2020</w:t>
            </w:r>
          </w:p>
        </w:tc>
      </w:tr>
      <w:tr w:rsidR="00B9595B" w:rsidRPr="00D35D57" w14:paraId="464CB97E" w14:textId="77777777" w:rsidTr="00A4522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215" w:type="dxa"/>
            <w:shd w:val="clear" w:color="auto" w:fill="1F4E79" w:themeFill="accent1" w:themeFillShade="80"/>
            <w:vAlign w:val="bottom"/>
            <w:hideMark/>
          </w:tcPr>
          <w:p w14:paraId="1CFF4657" w14:textId="77777777" w:rsidR="00B9595B" w:rsidRPr="00540842" w:rsidRDefault="00B9595B" w:rsidP="00A4522F">
            <w:pPr>
              <w:spacing w:line="240" w:lineRule="auto"/>
              <w:jc w:val="center"/>
              <w:rPr>
                <w:rFonts w:ascii="Franklin Gothic Medium" w:eastAsia="Times New Roman" w:hAnsi="Franklin Gothic Medium" w:cstheme="minorHAnsi"/>
                <w:b w:val="0"/>
                <w:color w:val="FFFFFF" w:themeColor="background1"/>
                <w:sz w:val="20"/>
                <w:szCs w:val="20"/>
              </w:rPr>
            </w:pPr>
            <w:r w:rsidRPr="00540842">
              <w:rPr>
                <w:rFonts w:ascii="Franklin Gothic Medium" w:eastAsia="Times New Roman" w:hAnsi="Franklin Gothic Medium" w:cstheme="minorHAnsi"/>
                <w:b w:val="0"/>
                <w:color w:val="FFFFFF" w:themeColor="background1"/>
                <w:sz w:val="20"/>
                <w:szCs w:val="20"/>
              </w:rPr>
              <w:t>Standard</w:t>
            </w:r>
          </w:p>
        </w:tc>
        <w:tc>
          <w:tcPr>
            <w:tcW w:w="1350" w:type="dxa"/>
            <w:shd w:val="clear" w:color="auto" w:fill="1F4E79" w:themeFill="accent1" w:themeFillShade="80"/>
            <w:vAlign w:val="bottom"/>
            <w:hideMark/>
          </w:tcPr>
          <w:p w14:paraId="083A3427" w14:textId="77777777" w:rsidR="00B9595B" w:rsidRPr="00540842" w:rsidRDefault="00B9595B" w:rsidP="00A4522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540842">
              <w:rPr>
                <w:rFonts w:ascii="Franklin Gothic Medium" w:eastAsia="Times New Roman" w:hAnsi="Franklin Gothic Medium" w:cstheme="minorHAnsi"/>
                <w:b w:val="0"/>
                <w:color w:val="FFFFFF" w:themeColor="background1"/>
                <w:sz w:val="20"/>
                <w:szCs w:val="20"/>
              </w:rPr>
              <w:t># Records Reviewed</w:t>
            </w:r>
          </w:p>
        </w:tc>
        <w:tc>
          <w:tcPr>
            <w:tcW w:w="1346" w:type="dxa"/>
            <w:shd w:val="clear" w:color="auto" w:fill="1F4E79" w:themeFill="accent1" w:themeFillShade="80"/>
            <w:vAlign w:val="bottom"/>
            <w:hideMark/>
          </w:tcPr>
          <w:p w14:paraId="3BEF66A7" w14:textId="77777777" w:rsidR="00B9595B" w:rsidRDefault="00B9595B" w:rsidP="00A4522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540842">
              <w:rPr>
                <w:rFonts w:ascii="Franklin Gothic Medium" w:eastAsia="Times New Roman" w:hAnsi="Franklin Gothic Medium" w:cstheme="minorHAnsi"/>
                <w:b w:val="0"/>
                <w:color w:val="FFFFFF" w:themeColor="background1"/>
                <w:sz w:val="20"/>
                <w:szCs w:val="20"/>
              </w:rPr>
              <w:t xml:space="preserve"># </w:t>
            </w:r>
          </w:p>
          <w:p w14:paraId="6A41EE21" w14:textId="77777777" w:rsidR="00B9595B" w:rsidRPr="00540842" w:rsidRDefault="00B9595B" w:rsidP="00A4522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540842">
              <w:rPr>
                <w:rFonts w:ascii="Franklin Gothic Medium" w:eastAsia="Times New Roman" w:hAnsi="Franklin Gothic Medium" w:cstheme="minorHAnsi"/>
                <w:b w:val="0"/>
                <w:color w:val="FFFFFF" w:themeColor="background1"/>
                <w:sz w:val="20"/>
                <w:szCs w:val="20"/>
              </w:rPr>
              <w:t>Providers</w:t>
            </w:r>
          </w:p>
        </w:tc>
        <w:tc>
          <w:tcPr>
            <w:tcW w:w="1439" w:type="dxa"/>
            <w:shd w:val="clear" w:color="auto" w:fill="1F4E79" w:themeFill="accent1" w:themeFillShade="80"/>
            <w:vAlign w:val="bottom"/>
            <w:hideMark/>
          </w:tcPr>
          <w:p w14:paraId="7E59638B" w14:textId="77777777" w:rsidR="00B9595B" w:rsidRPr="00540842" w:rsidRDefault="00B9595B" w:rsidP="00A4522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540842">
              <w:rPr>
                <w:rFonts w:ascii="Franklin Gothic Medium" w:eastAsia="Times New Roman" w:hAnsi="Franklin Gothic Medium" w:cstheme="minorHAnsi"/>
                <w:b w:val="0"/>
                <w:color w:val="FFFFFF" w:themeColor="background1"/>
                <w:sz w:val="20"/>
                <w:szCs w:val="20"/>
              </w:rPr>
              <w:t>% Providers w/ Standard Met</w:t>
            </w:r>
          </w:p>
        </w:tc>
      </w:tr>
      <w:tr w:rsidR="00343C92" w:rsidRPr="00343C92" w14:paraId="05A47B75"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874E321" w14:textId="68AD285C"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has completed all aspects of required Level II Background Screening.</w:t>
            </w:r>
          </w:p>
        </w:tc>
        <w:tc>
          <w:tcPr>
            <w:tcW w:w="1350" w:type="dxa"/>
            <w:vAlign w:val="center"/>
          </w:tcPr>
          <w:p w14:paraId="073A1FFD" w14:textId="6B85EC2B"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2,165</w:t>
            </w:r>
          </w:p>
        </w:tc>
        <w:tc>
          <w:tcPr>
            <w:tcW w:w="1346" w:type="dxa"/>
            <w:vAlign w:val="center"/>
          </w:tcPr>
          <w:p w14:paraId="5BE9ECD3" w14:textId="5BDC77F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817</w:t>
            </w:r>
          </w:p>
        </w:tc>
        <w:tc>
          <w:tcPr>
            <w:tcW w:w="1439" w:type="dxa"/>
            <w:vAlign w:val="center"/>
          </w:tcPr>
          <w:p w14:paraId="382F322B" w14:textId="7113DD3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84.8%</w:t>
            </w:r>
          </w:p>
        </w:tc>
      </w:tr>
      <w:tr w:rsidR="00343C92" w:rsidRPr="00343C92" w14:paraId="490843C3"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1220F732" w14:textId="487DA379"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employment status of the provider/employee is maintained on the Employee/Contractor Roster within the Department of Children and Families/Agency for Persons with Disabilities Background Screening Clearinghouse.</w:t>
            </w:r>
          </w:p>
        </w:tc>
        <w:tc>
          <w:tcPr>
            <w:tcW w:w="1350" w:type="dxa"/>
            <w:shd w:val="clear" w:color="auto" w:fill="auto"/>
            <w:vAlign w:val="center"/>
          </w:tcPr>
          <w:p w14:paraId="15B7FBC7" w14:textId="2EC47EA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2,164</w:t>
            </w:r>
          </w:p>
        </w:tc>
        <w:tc>
          <w:tcPr>
            <w:tcW w:w="1346" w:type="dxa"/>
            <w:shd w:val="clear" w:color="auto" w:fill="auto"/>
            <w:vAlign w:val="center"/>
          </w:tcPr>
          <w:p w14:paraId="4E42C720" w14:textId="06A236B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817</w:t>
            </w:r>
          </w:p>
        </w:tc>
        <w:tc>
          <w:tcPr>
            <w:tcW w:w="1439" w:type="dxa"/>
            <w:shd w:val="clear" w:color="auto" w:fill="auto"/>
            <w:vAlign w:val="center"/>
          </w:tcPr>
          <w:p w14:paraId="72DDFB8D" w14:textId="61FF7ABC"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90.8%</w:t>
            </w:r>
          </w:p>
        </w:tc>
      </w:tr>
      <w:tr w:rsidR="00343C92" w:rsidRPr="00343C92" w14:paraId="2DF3F977"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D1C6D46" w14:textId="5A2E70D0"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Zero Tolerance.</w:t>
            </w:r>
          </w:p>
        </w:tc>
        <w:tc>
          <w:tcPr>
            <w:tcW w:w="1350" w:type="dxa"/>
            <w:vAlign w:val="center"/>
          </w:tcPr>
          <w:p w14:paraId="269903AD" w14:textId="0D234F13"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2,166</w:t>
            </w:r>
          </w:p>
        </w:tc>
        <w:tc>
          <w:tcPr>
            <w:tcW w:w="1346" w:type="dxa"/>
            <w:vAlign w:val="center"/>
          </w:tcPr>
          <w:p w14:paraId="572ED73E" w14:textId="1B8B2D2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817</w:t>
            </w:r>
          </w:p>
        </w:tc>
        <w:tc>
          <w:tcPr>
            <w:tcW w:w="1439" w:type="dxa"/>
            <w:vAlign w:val="center"/>
          </w:tcPr>
          <w:p w14:paraId="3B0445BB" w14:textId="25AE1B11"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89.8%</w:t>
            </w:r>
          </w:p>
        </w:tc>
      </w:tr>
      <w:tr w:rsidR="00343C92" w:rsidRPr="00343C92" w14:paraId="47ED9575"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3B61E9B" w14:textId="2990C702"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Direct Care Core Competencies.</w:t>
            </w:r>
          </w:p>
        </w:tc>
        <w:tc>
          <w:tcPr>
            <w:tcW w:w="1350" w:type="dxa"/>
            <w:shd w:val="clear" w:color="auto" w:fill="auto"/>
            <w:vAlign w:val="center"/>
          </w:tcPr>
          <w:p w14:paraId="7CC0C1A6" w14:textId="143E7F43"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1,746</w:t>
            </w:r>
          </w:p>
        </w:tc>
        <w:tc>
          <w:tcPr>
            <w:tcW w:w="1346" w:type="dxa"/>
            <w:shd w:val="clear" w:color="auto" w:fill="auto"/>
            <w:vAlign w:val="center"/>
          </w:tcPr>
          <w:p w14:paraId="09D1F6FE" w14:textId="1B24B14B"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736</w:t>
            </w:r>
          </w:p>
        </w:tc>
        <w:tc>
          <w:tcPr>
            <w:tcW w:w="1439" w:type="dxa"/>
            <w:shd w:val="clear" w:color="auto" w:fill="auto"/>
            <w:vAlign w:val="center"/>
          </w:tcPr>
          <w:p w14:paraId="56FD2126" w14:textId="7CFB912A"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91.3%</w:t>
            </w:r>
          </w:p>
        </w:tc>
      </w:tr>
      <w:tr w:rsidR="00343C92" w:rsidRPr="00343C92" w14:paraId="07CA77F2"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08B7D81" w14:textId="5BCC56E8"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Direct Care Core Competency. (Old)</w:t>
            </w:r>
          </w:p>
        </w:tc>
        <w:tc>
          <w:tcPr>
            <w:tcW w:w="1350" w:type="dxa"/>
            <w:vAlign w:val="center"/>
          </w:tcPr>
          <w:p w14:paraId="025A62BB" w14:textId="1F5C808D"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415</w:t>
            </w:r>
          </w:p>
        </w:tc>
        <w:tc>
          <w:tcPr>
            <w:tcW w:w="1346" w:type="dxa"/>
            <w:vAlign w:val="center"/>
          </w:tcPr>
          <w:p w14:paraId="608A617F" w14:textId="78553897"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260</w:t>
            </w:r>
          </w:p>
        </w:tc>
        <w:tc>
          <w:tcPr>
            <w:tcW w:w="1439" w:type="dxa"/>
            <w:vAlign w:val="center"/>
          </w:tcPr>
          <w:p w14:paraId="37CB2801" w14:textId="59DA2CEB"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95.4%</w:t>
            </w:r>
          </w:p>
        </w:tc>
      </w:tr>
      <w:tr w:rsidR="00343C92" w:rsidRPr="00343C92" w14:paraId="388B8673"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7D68409F" w14:textId="26719AEB"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Basic Person Centered Planning.</w:t>
            </w:r>
          </w:p>
        </w:tc>
        <w:tc>
          <w:tcPr>
            <w:tcW w:w="1350" w:type="dxa"/>
            <w:vAlign w:val="center"/>
          </w:tcPr>
          <w:p w14:paraId="23841F6E" w14:textId="6B14CEA1"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423</w:t>
            </w:r>
          </w:p>
        </w:tc>
        <w:tc>
          <w:tcPr>
            <w:tcW w:w="1346" w:type="dxa"/>
            <w:vAlign w:val="center"/>
          </w:tcPr>
          <w:p w14:paraId="1EB6889E" w14:textId="6A4212F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263</w:t>
            </w:r>
          </w:p>
        </w:tc>
        <w:tc>
          <w:tcPr>
            <w:tcW w:w="1439" w:type="dxa"/>
            <w:vAlign w:val="center"/>
          </w:tcPr>
          <w:p w14:paraId="5BA3DE14" w14:textId="14299C2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91.6%</w:t>
            </w:r>
          </w:p>
        </w:tc>
      </w:tr>
      <w:tr w:rsidR="00343C92" w:rsidRPr="00343C92" w14:paraId="1E5811D6"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BB1B3CE" w14:textId="0E182CC8"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on Individual Choices, Rights and Responsibilities</w:t>
            </w:r>
          </w:p>
        </w:tc>
        <w:tc>
          <w:tcPr>
            <w:tcW w:w="1350" w:type="dxa"/>
            <w:vAlign w:val="center"/>
          </w:tcPr>
          <w:p w14:paraId="4B4BD15C" w14:textId="1A68664A"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419</w:t>
            </w:r>
          </w:p>
        </w:tc>
        <w:tc>
          <w:tcPr>
            <w:tcW w:w="1346" w:type="dxa"/>
            <w:vAlign w:val="center"/>
          </w:tcPr>
          <w:p w14:paraId="36AB8300" w14:textId="35BCFA68"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260</w:t>
            </w:r>
          </w:p>
        </w:tc>
        <w:tc>
          <w:tcPr>
            <w:tcW w:w="1439" w:type="dxa"/>
            <w:vAlign w:val="center"/>
          </w:tcPr>
          <w:p w14:paraId="6CCD62E6" w14:textId="12D41979"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92.3%</w:t>
            </w:r>
          </w:p>
        </w:tc>
      </w:tr>
      <w:tr w:rsidR="00343C92" w:rsidRPr="00343C92" w14:paraId="3E312083"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33B0F105" w14:textId="0C4075A6"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lastRenderedPageBreak/>
              <w:t>The provider received training in Requirements for all Waiver Providers</w:t>
            </w:r>
          </w:p>
        </w:tc>
        <w:tc>
          <w:tcPr>
            <w:tcW w:w="1350" w:type="dxa"/>
            <w:vAlign w:val="center"/>
          </w:tcPr>
          <w:p w14:paraId="261B2216" w14:textId="687BFF7E"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2,152</w:t>
            </w:r>
          </w:p>
        </w:tc>
        <w:tc>
          <w:tcPr>
            <w:tcW w:w="1346" w:type="dxa"/>
            <w:vAlign w:val="center"/>
          </w:tcPr>
          <w:p w14:paraId="79F77497" w14:textId="65532B8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817</w:t>
            </w:r>
          </w:p>
        </w:tc>
        <w:tc>
          <w:tcPr>
            <w:tcW w:w="1439" w:type="dxa"/>
            <w:vAlign w:val="center"/>
          </w:tcPr>
          <w:p w14:paraId="2540B374" w14:textId="1218F166"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91.1%</w:t>
            </w:r>
          </w:p>
        </w:tc>
      </w:tr>
      <w:tr w:rsidR="00343C92" w:rsidRPr="00343C92" w14:paraId="36477C4E"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7DB92458" w14:textId="0B9A4E97"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HIPAA.</w:t>
            </w:r>
          </w:p>
        </w:tc>
        <w:tc>
          <w:tcPr>
            <w:tcW w:w="1350" w:type="dxa"/>
            <w:vAlign w:val="center"/>
          </w:tcPr>
          <w:p w14:paraId="42B42D3E" w14:textId="01C6564E"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2,165</w:t>
            </w:r>
          </w:p>
        </w:tc>
        <w:tc>
          <w:tcPr>
            <w:tcW w:w="1346" w:type="dxa"/>
            <w:vAlign w:val="center"/>
          </w:tcPr>
          <w:p w14:paraId="1538854F" w14:textId="180F1B3B"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817</w:t>
            </w:r>
          </w:p>
        </w:tc>
        <w:tc>
          <w:tcPr>
            <w:tcW w:w="1439" w:type="dxa"/>
            <w:vAlign w:val="center"/>
          </w:tcPr>
          <w:p w14:paraId="345EDCC0" w14:textId="0D9A110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84.3%</w:t>
            </w:r>
          </w:p>
        </w:tc>
      </w:tr>
      <w:tr w:rsidR="00343C92" w:rsidRPr="00343C92" w14:paraId="1C890CA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6F788BE8" w14:textId="704F4319"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HIV/AIDS/Infection Control.</w:t>
            </w:r>
          </w:p>
        </w:tc>
        <w:tc>
          <w:tcPr>
            <w:tcW w:w="1350" w:type="dxa"/>
            <w:shd w:val="clear" w:color="auto" w:fill="FFE599" w:themeFill="accent4" w:themeFillTint="66"/>
            <w:vAlign w:val="center"/>
          </w:tcPr>
          <w:p w14:paraId="7E9C3FBC" w14:textId="0DFCF9B9"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2,071</w:t>
            </w:r>
          </w:p>
        </w:tc>
        <w:tc>
          <w:tcPr>
            <w:tcW w:w="1346" w:type="dxa"/>
            <w:shd w:val="clear" w:color="auto" w:fill="FFE599" w:themeFill="accent4" w:themeFillTint="66"/>
            <w:vAlign w:val="center"/>
          </w:tcPr>
          <w:p w14:paraId="4B460442" w14:textId="53475CF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799</w:t>
            </w:r>
          </w:p>
        </w:tc>
        <w:tc>
          <w:tcPr>
            <w:tcW w:w="1439" w:type="dxa"/>
            <w:shd w:val="clear" w:color="auto" w:fill="FFE599" w:themeFill="accent4" w:themeFillTint="66"/>
            <w:vAlign w:val="center"/>
          </w:tcPr>
          <w:p w14:paraId="581E46A5" w14:textId="1275C87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73.5%</w:t>
            </w:r>
          </w:p>
        </w:tc>
      </w:tr>
      <w:tr w:rsidR="00343C92" w:rsidRPr="00343C92" w14:paraId="655D6098"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0B6F493" w14:textId="1B2B8C6D"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maintains current CPR certification.</w:t>
            </w:r>
          </w:p>
        </w:tc>
        <w:tc>
          <w:tcPr>
            <w:tcW w:w="1350" w:type="dxa"/>
            <w:vAlign w:val="center"/>
          </w:tcPr>
          <w:p w14:paraId="15D1950E" w14:textId="003B9DC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2,042</w:t>
            </w:r>
          </w:p>
        </w:tc>
        <w:tc>
          <w:tcPr>
            <w:tcW w:w="1346" w:type="dxa"/>
            <w:vAlign w:val="center"/>
          </w:tcPr>
          <w:p w14:paraId="244FF1E9" w14:textId="0B87D2E8"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797</w:t>
            </w:r>
          </w:p>
        </w:tc>
        <w:tc>
          <w:tcPr>
            <w:tcW w:w="1439" w:type="dxa"/>
            <w:vAlign w:val="center"/>
          </w:tcPr>
          <w:p w14:paraId="2A00377C" w14:textId="560B15A8"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88.5%</w:t>
            </w:r>
          </w:p>
        </w:tc>
      </w:tr>
      <w:tr w:rsidR="00343C92" w:rsidRPr="00343C92" w14:paraId="585B47C2" w14:textId="77777777" w:rsidTr="009C103E">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A4F8B2C" w14:textId="3508A9DC"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First Aid.</w:t>
            </w:r>
          </w:p>
        </w:tc>
        <w:tc>
          <w:tcPr>
            <w:tcW w:w="1350" w:type="dxa"/>
            <w:shd w:val="clear" w:color="auto" w:fill="auto"/>
            <w:vAlign w:val="center"/>
          </w:tcPr>
          <w:p w14:paraId="689AFCA9" w14:textId="19F8BC7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2,039</w:t>
            </w:r>
          </w:p>
        </w:tc>
        <w:tc>
          <w:tcPr>
            <w:tcW w:w="1346" w:type="dxa"/>
            <w:shd w:val="clear" w:color="auto" w:fill="auto"/>
            <w:vAlign w:val="center"/>
          </w:tcPr>
          <w:p w14:paraId="1CDBCBE5" w14:textId="082A87E1"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796</w:t>
            </w:r>
          </w:p>
        </w:tc>
        <w:tc>
          <w:tcPr>
            <w:tcW w:w="1439" w:type="dxa"/>
            <w:shd w:val="clear" w:color="auto" w:fill="auto"/>
            <w:vAlign w:val="center"/>
          </w:tcPr>
          <w:p w14:paraId="3729C444" w14:textId="04AF6C58"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82.8%</w:t>
            </w:r>
          </w:p>
        </w:tc>
      </w:tr>
      <w:tr w:rsidR="00343C92" w:rsidRPr="00343C92" w14:paraId="4261F520"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40DCBC43" w14:textId="6339589E"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training in an Agency approved curriculum for behavioral emergency procedures consistent with the requirements of the Reactive Strategies rule (65G-8, FAC).</w:t>
            </w:r>
          </w:p>
        </w:tc>
        <w:tc>
          <w:tcPr>
            <w:tcW w:w="1350" w:type="dxa"/>
            <w:vAlign w:val="center"/>
          </w:tcPr>
          <w:p w14:paraId="6F2F278F" w14:textId="2F121EA2"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242</w:t>
            </w:r>
          </w:p>
        </w:tc>
        <w:tc>
          <w:tcPr>
            <w:tcW w:w="1346" w:type="dxa"/>
            <w:vAlign w:val="center"/>
          </w:tcPr>
          <w:p w14:paraId="7F0D9540" w14:textId="6476099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106</w:t>
            </w:r>
          </w:p>
        </w:tc>
        <w:tc>
          <w:tcPr>
            <w:tcW w:w="1439" w:type="dxa"/>
            <w:vAlign w:val="center"/>
          </w:tcPr>
          <w:p w14:paraId="4723C5A4" w14:textId="0EDA8AA7"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93.4%</w:t>
            </w:r>
          </w:p>
        </w:tc>
      </w:tr>
      <w:tr w:rsidR="00343C92" w:rsidRPr="00343C92" w14:paraId="4F1CA9AA"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4305B094" w14:textId="4ED819FB"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Drivers of transportation vehicles are licensed to drive vehicles used.</w:t>
            </w:r>
          </w:p>
        </w:tc>
        <w:tc>
          <w:tcPr>
            <w:tcW w:w="1350" w:type="dxa"/>
            <w:vAlign w:val="center"/>
          </w:tcPr>
          <w:p w14:paraId="4C540371" w14:textId="320E429C"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1,512</w:t>
            </w:r>
          </w:p>
        </w:tc>
        <w:tc>
          <w:tcPr>
            <w:tcW w:w="1346" w:type="dxa"/>
            <w:vAlign w:val="center"/>
          </w:tcPr>
          <w:p w14:paraId="4E14F28C" w14:textId="72D2D6E0"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709</w:t>
            </w:r>
          </w:p>
        </w:tc>
        <w:tc>
          <w:tcPr>
            <w:tcW w:w="1439" w:type="dxa"/>
            <w:vAlign w:val="center"/>
          </w:tcPr>
          <w:p w14:paraId="14A9BF4D" w14:textId="0A98D51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98.6%</w:t>
            </w:r>
          </w:p>
        </w:tc>
      </w:tr>
      <w:tr w:rsidR="00343C92" w:rsidRPr="00343C92" w14:paraId="2AFD191D"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19A5BD8B" w14:textId="11EBA257"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Personal vehicles used for transportation are properly insured.</w:t>
            </w:r>
          </w:p>
        </w:tc>
        <w:tc>
          <w:tcPr>
            <w:tcW w:w="1350" w:type="dxa"/>
            <w:vAlign w:val="center"/>
          </w:tcPr>
          <w:p w14:paraId="06654EB9" w14:textId="6AF0CA5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1,069</w:t>
            </w:r>
          </w:p>
        </w:tc>
        <w:tc>
          <w:tcPr>
            <w:tcW w:w="1346" w:type="dxa"/>
            <w:vAlign w:val="center"/>
          </w:tcPr>
          <w:p w14:paraId="7789BEC9" w14:textId="5B02563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548</w:t>
            </w:r>
          </w:p>
        </w:tc>
        <w:tc>
          <w:tcPr>
            <w:tcW w:w="1439" w:type="dxa"/>
            <w:vAlign w:val="center"/>
          </w:tcPr>
          <w:p w14:paraId="7A690BF8" w14:textId="4CFDDF9F"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90.7%</w:t>
            </w:r>
          </w:p>
        </w:tc>
      </w:tr>
      <w:tr w:rsidR="00343C92" w:rsidRPr="00343C92" w14:paraId="620F63F1"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4AB9364A" w14:textId="2C309102"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Personal vehicles used for transportation are properly registered.</w:t>
            </w:r>
          </w:p>
        </w:tc>
        <w:tc>
          <w:tcPr>
            <w:tcW w:w="1350" w:type="dxa"/>
            <w:vAlign w:val="center"/>
          </w:tcPr>
          <w:p w14:paraId="3E649D09" w14:textId="2D92EE83"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1,070</w:t>
            </w:r>
          </w:p>
        </w:tc>
        <w:tc>
          <w:tcPr>
            <w:tcW w:w="1346" w:type="dxa"/>
            <w:vAlign w:val="center"/>
          </w:tcPr>
          <w:p w14:paraId="34E9282E" w14:textId="5F085B6B"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549</w:t>
            </w:r>
          </w:p>
        </w:tc>
        <w:tc>
          <w:tcPr>
            <w:tcW w:w="1439" w:type="dxa"/>
            <w:vAlign w:val="center"/>
          </w:tcPr>
          <w:p w14:paraId="6FB7323E" w14:textId="2CD0C1F6"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90.0%</w:t>
            </w:r>
          </w:p>
        </w:tc>
      </w:tr>
      <w:tr w:rsidR="00343C92" w:rsidRPr="00343C92" w14:paraId="3CF8C966"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379F24A" w14:textId="1E3DB90A"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Behavior Analysis.</w:t>
            </w:r>
          </w:p>
        </w:tc>
        <w:tc>
          <w:tcPr>
            <w:tcW w:w="1350" w:type="dxa"/>
            <w:vAlign w:val="center"/>
          </w:tcPr>
          <w:p w14:paraId="7850BD46" w14:textId="1A2552D2"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81</w:t>
            </w:r>
          </w:p>
        </w:tc>
        <w:tc>
          <w:tcPr>
            <w:tcW w:w="1346" w:type="dxa"/>
            <w:vAlign w:val="center"/>
          </w:tcPr>
          <w:p w14:paraId="4C7A0FB4" w14:textId="6BD1063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54</w:t>
            </w:r>
          </w:p>
        </w:tc>
        <w:tc>
          <w:tcPr>
            <w:tcW w:w="1439" w:type="dxa"/>
            <w:vAlign w:val="center"/>
          </w:tcPr>
          <w:p w14:paraId="01B94E2D" w14:textId="6B1FCEB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4BBD92A1"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2F53189D" w14:textId="65F2DC82"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Behavior Assistant.</w:t>
            </w:r>
          </w:p>
        </w:tc>
        <w:tc>
          <w:tcPr>
            <w:tcW w:w="1350" w:type="dxa"/>
            <w:vAlign w:val="center"/>
          </w:tcPr>
          <w:p w14:paraId="21E3FF40" w14:textId="4BE22CB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20</w:t>
            </w:r>
          </w:p>
        </w:tc>
        <w:tc>
          <w:tcPr>
            <w:tcW w:w="1346" w:type="dxa"/>
            <w:vAlign w:val="center"/>
          </w:tcPr>
          <w:p w14:paraId="42C40747" w14:textId="0105B21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w:t>
            </w:r>
          </w:p>
        </w:tc>
        <w:tc>
          <w:tcPr>
            <w:tcW w:w="1439" w:type="dxa"/>
            <w:vAlign w:val="center"/>
          </w:tcPr>
          <w:p w14:paraId="7557FE24" w14:textId="1A203755"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7A82192D"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42AF0587" w14:textId="4263CE5C"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Behavior Assistant provider has completed at least 20 contact hours of instruction in a curriculum meeting the requirements specified by the APD state office and approved by the APD designated behavior analyst.</w:t>
            </w:r>
          </w:p>
        </w:tc>
        <w:tc>
          <w:tcPr>
            <w:tcW w:w="1350" w:type="dxa"/>
            <w:vAlign w:val="center"/>
          </w:tcPr>
          <w:p w14:paraId="4F73DA1E" w14:textId="4329B08A"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w:t>
            </w:r>
          </w:p>
        </w:tc>
        <w:tc>
          <w:tcPr>
            <w:tcW w:w="1346" w:type="dxa"/>
            <w:vAlign w:val="center"/>
          </w:tcPr>
          <w:p w14:paraId="2A839514" w14:textId="14345650"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14</w:t>
            </w:r>
          </w:p>
        </w:tc>
        <w:tc>
          <w:tcPr>
            <w:tcW w:w="1439" w:type="dxa"/>
            <w:vAlign w:val="center"/>
          </w:tcPr>
          <w:p w14:paraId="14FAF47D" w14:textId="640351F3"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7D5D2397"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6C0CD545" w14:textId="699C8EAE"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completes eight hours of annual in-service training on instruction in applied behavior analysis and related topics for Behavior Assistant.</w:t>
            </w:r>
          </w:p>
        </w:tc>
        <w:tc>
          <w:tcPr>
            <w:tcW w:w="1350" w:type="dxa"/>
            <w:shd w:val="clear" w:color="auto" w:fill="FFE599" w:themeFill="accent4" w:themeFillTint="66"/>
            <w:vAlign w:val="center"/>
          </w:tcPr>
          <w:p w14:paraId="435EB712" w14:textId="42DBDFB7"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16</w:t>
            </w:r>
          </w:p>
        </w:tc>
        <w:tc>
          <w:tcPr>
            <w:tcW w:w="1346" w:type="dxa"/>
            <w:shd w:val="clear" w:color="auto" w:fill="FFE599" w:themeFill="accent4" w:themeFillTint="66"/>
            <w:vAlign w:val="center"/>
          </w:tcPr>
          <w:p w14:paraId="23A202E2" w14:textId="479B382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14</w:t>
            </w:r>
          </w:p>
        </w:tc>
        <w:tc>
          <w:tcPr>
            <w:tcW w:w="1439" w:type="dxa"/>
            <w:shd w:val="clear" w:color="auto" w:fill="FFE599" w:themeFill="accent4" w:themeFillTint="66"/>
            <w:vAlign w:val="center"/>
          </w:tcPr>
          <w:p w14:paraId="19556DAC" w14:textId="6A87682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78.6%</w:t>
            </w:r>
          </w:p>
        </w:tc>
      </w:tr>
      <w:tr w:rsidR="00343C92" w:rsidRPr="00343C92" w14:paraId="569B99DE"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792B5C53" w14:textId="3832958F"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Life Skills Development 1.</w:t>
            </w:r>
          </w:p>
        </w:tc>
        <w:tc>
          <w:tcPr>
            <w:tcW w:w="1350" w:type="dxa"/>
            <w:vAlign w:val="center"/>
          </w:tcPr>
          <w:p w14:paraId="0F81E1C1" w14:textId="272CD769"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668</w:t>
            </w:r>
          </w:p>
        </w:tc>
        <w:tc>
          <w:tcPr>
            <w:tcW w:w="1346" w:type="dxa"/>
            <w:vAlign w:val="center"/>
          </w:tcPr>
          <w:p w14:paraId="04BE577F" w14:textId="334910A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406</w:t>
            </w:r>
          </w:p>
        </w:tc>
        <w:tc>
          <w:tcPr>
            <w:tcW w:w="1439" w:type="dxa"/>
            <w:vAlign w:val="center"/>
          </w:tcPr>
          <w:p w14:paraId="152F6753" w14:textId="4FA06FD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96.8%</w:t>
            </w:r>
          </w:p>
        </w:tc>
      </w:tr>
      <w:tr w:rsidR="00343C92" w:rsidRPr="00343C92" w14:paraId="0676700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2A6AB4C3" w14:textId="2FC42059"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Life Skills Development 1 provider completes 4 hours of annual in-service training related to the specific needs of at least one person currently receiving services.</w:t>
            </w:r>
          </w:p>
        </w:tc>
        <w:tc>
          <w:tcPr>
            <w:tcW w:w="1350" w:type="dxa"/>
            <w:shd w:val="clear" w:color="auto" w:fill="FFE599" w:themeFill="accent4" w:themeFillTint="66"/>
            <w:vAlign w:val="center"/>
          </w:tcPr>
          <w:p w14:paraId="5AA571E2" w14:textId="7594A86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588</w:t>
            </w:r>
          </w:p>
        </w:tc>
        <w:tc>
          <w:tcPr>
            <w:tcW w:w="1346" w:type="dxa"/>
            <w:shd w:val="clear" w:color="auto" w:fill="FFE599" w:themeFill="accent4" w:themeFillTint="66"/>
            <w:vAlign w:val="center"/>
          </w:tcPr>
          <w:p w14:paraId="180ECB2A" w14:textId="32746E73"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388</w:t>
            </w:r>
          </w:p>
        </w:tc>
        <w:tc>
          <w:tcPr>
            <w:tcW w:w="1439" w:type="dxa"/>
            <w:shd w:val="clear" w:color="auto" w:fill="FFE599" w:themeFill="accent4" w:themeFillTint="66"/>
            <w:vAlign w:val="center"/>
          </w:tcPr>
          <w:p w14:paraId="0A94B87E" w14:textId="695858CE"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76.8%</w:t>
            </w:r>
          </w:p>
        </w:tc>
      </w:tr>
      <w:tr w:rsidR="00343C92" w:rsidRPr="00343C92" w14:paraId="4981C4CB"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8B45D24" w14:textId="03AFF586"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Life Skills Development 2.</w:t>
            </w:r>
          </w:p>
        </w:tc>
        <w:tc>
          <w:tcPr>
            <w:tcW w:w="1350" w:type="dxa"/>
            <w:vAlign w:val="center"/>
          </w:tcPr>
          <w:p w14:paraId="0A65E215" w14:textId="06AA1931"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114</w:t>
            </w:r>
          </w:p>
        </w:tc>
        <w:tc>
          <w:tcPr>
            <w:tcW w:w="1346" w:type="dxa"/>
            <w:vAlign w:val="center"/>
          </w:tcPr>
          <w:p w14:paraId="019EF55B" w14:textId="0CD12C1D"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w:t>
            </w:r>
          </w:p>
        </w:tc>
        <w:tc>
          <w:tcPr>
            <w:tcW w:w="1439" w:type="dxa"/>
            <w:vAlign w:val="center"/>
          </w:tcPr>
          <w:p w14:paraId="4A37609A" w14:textId="1B343610"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2B766EC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126784AD" w14:textId="691EB2F2"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has completed standardized, pre-service training for Life Skills Development 2.</w:t>
            </w:r>
          </w:p>
        </w:tc>
        <w:tc>
          <w:tcPr>
            <w:tcW w:w="1350" w:type="dxa"/>
            <w:vAlign w:val="center"/>
          </w:tcPr>
          <w:p w14:paraId="2859AE07" w14:textId="5F88D20B"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114</w:t>
            </w:r>
          </w:p>
        </w:tc>
        <w:tc>
          <w:tcPr>
            <w:tcW w:w="1346" w:type="dxa"/>
            <w:vAlign w:val="center"/>
          </w:tcPr>
          <w:p w14:paraId="1375F978" w14:textId="4B115D80"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w:t>
            </w:r>
          </w:p>
        </w:tc>
        <w:tc>
          <w:tcPr>
            <w:tcW w:w="1439" w:type="dxa"/>
            <w:vAlign w:val="center"/>
          </w:tcPr>
          <w:p w14:paraId="2FF0298A" w14:textId="58115D81"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93.5%</w:t>
            </w:r>
          </w:p>
        </w:tc>
      </w:tr>
      <w:tr w:rsidR="00343C92" w:rsidRPr="00343C92" w14:paraId="1420632C" w14:textId="77777777" w:rsidTr="007B699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79845B06" w14:textId="4AD25ABF"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Life Skills Development 2 provider completes eight hours of annual in-service training related to employment.</w:t>
            </w:r>
          </w:p>
        </w:tc>
        <w:tc>
          <w:tcPr>
            <w:tcW w:w="1350" w:type="dxa"/>
            <w:shd w:val="clear" w:color="auto" w:fill="FFE599" w:themeFill="accent4" w:themeFillTint="66"/>
            <w:vAlign w:val="center"/>
          </w:tcPr>
          <w:p w14:paraId="65A4DEC0" w14:textId="4DF2182D"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105</w:t>
            </w:r>
          </w:p>
        </w:tc>
        <w:tc>
          <w:tcPr>
            <w:tcW w:w="1346" w:type="dxa"/>
            <w:shd w:val="clear" w:color="auto" w:fill="FFE599" w:themeFill="accent4" w:themeFillTint="66"/>
            <w:vAlign w:val="center"/>
          </w:tcPr>
          <w:p w14:paraId="01026969" w14:textId="5E03B395"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89</w:t>
            </w:r>
          </w:p>
        </w:tc>
        <w:tc>
          <w:tcPr>
            <w:tcW w:w="1439" w:type="dxa"/>
            <w:shd w:val="clear" w:color="auto" w:fill="FFE599" w:themeFill="accent4" w:themeFillTint="66"/>
            <w:vAlign w:val="center"/>
          </w:tcPr>
          <w:p w14:paraId="549285B5" w14:textId="1811396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76.4%</w:t>
            </w:r>
          </w:p>
        </w:tc>
      </w:tr>
      <w:tr w:rsidR="00343C92" w:rsidRPr="00343C92" w14:paraId="3A7F147E"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39895BF0" w14:textId="5141728E"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Life Skills Development 3.</w:t>
            </w:r>
          </w:p>
        </w:tc>
        <w:tc>
          <w:tcPr>
            <w:tcW w:w="1350" w:type="dxa"/>
            <w:vAlign w:val="center"/>
          </w:tcPr>
          <w:p w14:paraId="6598CE91" w14:textId="3019386A"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136</w:t>
            </w:r>
          </w:p>
        </w:tc>
        <w:tc>
          <w:tcPr>
            <w:tcW w:w="1346" w:type="dxa"/>
            <w:vAlign w:val="center"/>
          </w:tcPr>
          <w:p w14:paraId="32397C59" w14:textId="4D562A7C"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85</w:t>
            </w:r>
          </w:p>
        </w:tc>
        <w:tc>
          <w:tcPr>
            <w:tcW w:w="1439" w:type="dxa"/>
            <w:vAlign w:val="center"/>
          </w:tcPr>
          <w:p w14:paraId="62643CD8" w14:textId="367565F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97.6%</w:t>
            </w:r>
          </w:p>
        </w:tc>
      </w:tr>
      <w:tr w:rsidR="00343C92" w:rsidRPr="00343C92" w14:paraId="5F1769EE"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38420070" w14:textId="32B0C061"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lastRenderedPageBreak/>
              <w:t>The Life Skills Development 3 provider completes eight hours of annual in-service training related to the individually tailored services.</w:t>
            </w:r>
          </w:p>
        </w:tc>
        <w:tc>
          <w:tcPr>
            <w:tcW w:w="1350" w:type="dxa"/>
            <w:shd w:val="clear" w:color="auto" w:fill="FFE599" w:themeFill="accent4" w:themeFillTint="66"/>
            <w:vAlign w:val="center"/>
          </w:tcPr>
          <w:p w14:paraId="57179A49" w14:textId="5F197439"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117</w:t>
            </w:r>
          </w:p>
        </w:tc>
        <w:tc>
          <w:tcPr>
            <w:tcW w:w="1346" w:type="dxa"/>
            <w:shd w:val="clear" w:color="auto" w:fill="FFE599" w:themeFill="accent4" w:themeFillTint="66"/>
            <w:vAlign w:val="center"/>
          </w:tcPr>
          <w:p w14:paraId="3F86B4F1" w14:textId="4A0A17F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79</w:t>
            </w:r>
          </w:p>
        </w:tc>
        <w:tc>
          <w:tcPr>
            <w:tcW w:w="1439" w:type="dxa"/>
            <w:shd w:val="clear" w:color="auto" w:fill="FFE599" w:themeFill="accent4" w:themeFillTint="66"/>
            <w:vAlign w:val="center"/>
          </w:tcPr>
          <w:p w14:paraId="2DD853E6" w14:textId="4C33137A"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74.7%</w:t>
            </w:r>
          </w:p>
        </w:tc>
      </w:tr>
      <w:tr w:rsidR="00343C92" w:rsidRPr="00343C92" w14:paraId="07110571"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2047C553" w14:textId="0B61944D"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Personal Supports.</w:t>
            </w:r>
          </w:p>
        </w:tc>
        <w:tc>
          <w:tcPr>
            <w:tcW w:w="1350" w:type="dxa"/>
            <w:vAlign w:val="center"/>
          </w:tcPr>
          <w:p w14:paraId="7C69D046" w14:textId="22A6BA48"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1,068</w:t>
            </w:r>
          </w:p>
        </w:tc>
        <w:tc>
          <w:tcPr>
            <w:tcW w:w="1346" w:type="dxa"/>
            <w:vAlign w:val="center"/>
          </w:tcPr>
          <w:p w14:paraId="02680671" w14:textId="3C9FCC0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542</w:t>
            </w:r>
          </w:p>
        </w:tc>
        <w:tc>
          <w:tcPr>
            <w:tcW w:w="1439" w:type="dxa"/>
            <w:vAlign w:val="center"/>
          </w:tcPr>
          <w:p w14:paraId="6BCBDE03" w14:textId="4A613DA3"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95.0%</w:t>
            </w:r>
          </w:p>
        </w:tc>
      </w:tr>
      <w:tr w:rsidR="00343C92" w:rsidRPr="00343C92" w14:paraId="3A654F08"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330A7D45" w14:textId="70E71570"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Personal Supports provider completes four hours of annual in-service training related to the specific needs of at least one person currently served.</w:t>
            </w:r>
          </w:p>
        </w:tc>
        <w:tc>
          <w:tcPr>
            <w:tcW w:w="1350" w:type="dxa"/>
            <w:shd w:val="clear" w:color="auto" w:fill="FFE599" w:themeFill="accent4" w:themeFillTint="66"/>
            <w:vAlign w:val="center"/>
          </w:tcPr>
          <w:p w14:paraId="347482E7" w14:textId="0283BF5F"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933</w:t>
            </w:r>
          </w:p>
        </w:tc>
        <w:tc>
          <w:tcPr>
            <w:tcW w:w="1346" w:type="dxa"/>
            <w:shd w:val="clear" w:color="auto" w:fill="FFE599" w:themeFill="accent4" w:themeFillTint="66"/>
            <w:vAlign w:val="center"/>
          </w:tcPr>
          <w:p w14:paraId="74CEB2A7" w14:textId="6A98687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522</w:t>
            </w:r>
          </w:p>
        </w:tc>
        <w:tc>
          <w:tcPr>
            <w:tcW w:w="1439" w:type="dxa"/>
            <w:shd w:val="clear" w:color="auto" w:fill="FFE599" w:themeFill="accent4" w:themeFillTint="66"/>
            <w:vAlign w:val="center"/>
          </w:tcPr>
          <w:p w14:paraId="38A8AF99" w14:textId="31D66E28"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73.2%</w:t>
            </w:r>
          </w:p>
        </w:tc>
      </w:tr>
      <w:tr w:rsidR="00343C92" w:rsidRPr="00343C92" w14:paraId="4048413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B95C690" w14:textId="4C50799C"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Residential Habilitation-Standard.</w:t>
            </w:r>
          </w:p>
        </w:tc>
        <w:tc>
          <w:tcPr>
            <w:tcW w:w="1350" w:type="dxa"/>
            <w:vAlign w:val="center"/>
          </w:tcPr>
          <w:p w14:paraId="1BEF684B" w14:textId="31488CD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645</w:t>
            </w:r>
          </w:p>
        </w:tc>
        <w:tc>
          <w:tcPr>
            <w:tcW w:w="1346" w:type="dxa"/>
            <w:vAlign w:val="center"/>
          </w:tcPr>
          <w:p w14:paraId="4A80C0E4" w14:textId="4238F0A5"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259</w:t>
            </w:r>
          </w:p>
        </w:tc>
        <w:tc>
          <w:tcPr>
            <w:tcW w:w="1439" w:type="dxa"/>
            <w:vAlign w:val="center"/>
          </w:tcPr>
          <w:p w14:paraId="4874B4C8" w14:textId="402B5D75"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95.8%</w:t>
            </w:r>
          </w:p>
        </w:tc>
      </w:tr>
      <w:tr w:rsidR="00343C92" w:rsidRPr="00343C92" w14:paraId="22AD0C34"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2EFA8551" w14:textId="75ED694A"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Residential Habilitation - Standard provider completes eight hours of annual in-service training related to the implementation of individually tailored services.</w:t>
            </w:r>
          </w:p>
        </w:tc>
        <w:tc>
          <w:tcPr>
            <w:tcW w:w="1350" w:type="dxa"/>
            <w:shd w:val="clear" w:color="auto" w:fill="FFE599" w:themeFill="accent4" w:themeFillTint="66"/>
            <w:vAlign w:val="center"/>
          </w:tcPr>
          <w:p w14:paraId="5BD93FF4" w14:textId="4CE16F7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572</w:t>
            </w:r>
          </w:p>
        </w:tc>
        <w:tc>
          <w:tcPr>
            <w:tcW w:w="1346" w:type="dxa"/>
            <w:shd w:val="clear" w:color="auto" w:fill="FFE599" w:themeFill="accent4" w:themeFillTint="66"/>
            <w:vAlign w:val="center"/>
          </w:tcPr>
          <w:p w14:paraId="38775114" w14:textId="25AF8880"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252</w:t>
            </w:r>
          </w:p>
        </w:tc>
        <w:tc>
          <w:tcPr>
            <w:tcW w:w="1439" w:type="dxa"/>
            <w:shd w:val="clear" w:color="auto" w:fill="FFE599" w:themeFill="accent4" w:themeFillTint="66"/>
            <w:vAlign w:val="center"/>
          </w:tcPr>
          <w:p w14:paraId="546E3326" w14:textId="42B4C600"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77.8%</w:t>
            </w:r>
          </w:p>
        </w:tc>
      </w:tr>
      <w:tr w:rsidR="00343C92" w:rsidRPr="00343C92" w14:paraId="5018A98C"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63B9E0BC" w14:textId="3AB9AEA7"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Residential Habilitation-Behavior Focus.</w:t>
            </w:r>
          </w:p>
        </w:tc>
        <w:tc>
          <w:tcPr>
            <w:tcW w:w="1350" w:type="dxa"/>
            <w:vAlign w:val="center"/>
          </w:tcPr>
          <w:p w14:paraId="6CEF6ED3" w14:textId="3BB320B7"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174</w:t>
            </w:r>
          </w:p>
        </w:tc>
        <w:tc>
          <w:tcPr>
            <w:tcW w:w="1346" w:type="dxa"/>
            <w:vAlign w:val="center"/>
          </w:tcPr>
          <w:p w14:paraId="387B8F63" w14:textId="597D7570"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76</w:t>
            </w:r>
          </w:p>
        </w:tc>
        <w:tc>
          <w:tcPr>
            <w:tcW w:w="1439" w:type="dxa"/>
            <w:vAlign w:val="center"/>
          </w:tcPr>
          <w:p w14:paraId="773890D1" w14:textId="665C5E16"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97.4%</w:t>
            </w:r>
          </w:p>
        </w:tc>
      </w:tr>
      <w:tr w:rsidR="00343C92" w:rsidRPr="00343C92" w14:paraId="3B75D808"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D2D3101" w14:textId="1BD51A38"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Residential Habilitation-Behavior Focus provider has completed at least 20 contact hours of instruction in a curriculum meeting the requirements specified by the APD state office and approved by the APD designated behavior analyst.</w:t>
            </w:r>
          </w:p>
        </w:tc>
        <w:tc>
          <w:tcPr>
            <w:tcW w:w="1350" w:type="dxa"/>
            <w:vAlign w:val="center"/>
          </w:tcPr>
          <w:p w14:paraId="29BDE8B4" w14:textId="72EF579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169</w:t>
            </w:r>
          </w:p>
        </w:tc>
        <w:tc>
          <w:tcPr>
            <w:tcW w:w="1346" w:type="dxa"/>
            <w:vAlign w:val="center"/>
          </w:tcPr>
          <w:p w14:paraId="75950619" w14:textId="08DE433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75</w:t>
            </w:r>
          </w:p>
        </w:tc>
        <w:tc>
          <w:tcPr>
            <w:tcW w:w="1439" w:type="dxa"/>
            <w:vAlign w:val="center"/>
          </w:tcPr>
          <w:p w14:paraId="7117DC93" w14:textId="0B9B8C3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94.7%</w:t>
            </w:r>
          </w:p>
        </w:tc>
      </w:tr>
      <w:tr w:rsidR="00343C92" w:rsidRPr="00343C92" w14:paraId="6A6EF94C"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32ED82A6" w14:textId="2883B1CD"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Residential Habilitation-Behavior Focus provider completes eight hours of annual in-service training related to behavior analysis and related topics.</w:t>
            </w:r>
          </w:p>
        </w:tc>
        <w:tc>
          <w:tcPr>
            <w:tcW w:w="1350" w:type="dxa"/>
            <w:vAlign w:val="center"/>
          </w:tcPr>
          <w:p w14:paraId="5CB9E8AE" w14:textId="38BD074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155</w:t>
            </w:r>
          </w:p>
        </w:tc>
        <w:tc>
          <w:tcPr>
            <w:tcW w:w="1346" w:type="dxa"/>
            <w:vAlign w:val="center"/>
          </w:tcPr>
          <w:p w14:paraId="632034E6" w14:textId="04B0A60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72</w:t>
            </w:r>
          </w:p>
        </w:tc>
        <w:tc>
          <w:tcPr>
            <w:tcW w:w="1439" w:type="dxa"/>
            <w:vAlign w:val="center"/>
          </w:tcPr>
          <w:p w14:paraId="659A45A7" w14:textId="65221549"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93.1%</w:t>
            </w:r>
          </w:p>
        </w:tc>
      </w:tr>
      <w:tr w:rsidR="00343C92" w:rsidRPr="00343C92" w14:paraId="715430A0"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3E5ECC73" w14:textId="04EBE871"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Residential Habilitation-Intensive Behavior.</w:t>
            </w:r>
          </w:p>
        </w:tc>
        <w:tc>
          <w:tcPr>
            <w:tcW w:w="1350" w:type="dxa"/>
            <w:vAlign w:val="center"/>
          </w:tcPr>
          <w:p w14:paraId="55D62A92" w14:textId="26E9E1E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28</w:t>
            </w:r>
          </w:p>
        </w:tc>
        <w:tc>
          <w:tcPr>
            <w:tcW w:w="1346" w:type="dxa"/>
            <w:vAlign w:val="center"/>
          </w:tcPr>
          <w:p w14:paraId="142C183B" w14:textId="10D2089D"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16</w:t>
            </w:r>
          </w:p>
        </w:tc>
        <w:tc>
          <w:tcPr>
            <w:tcW w:w="1439" w:type="dxa"/>
            <w:vAlign w:val="center"/>
          </w:tcPr>
          <w:p w14:paraId="7AAA4634" w14:textId="3CE0714F"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23FCE6D0"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45DA4E27" w14:textId="7CE79264"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Residential Habilitation – Intensive Behavior provider has completed at least 20 contact hours of instruction in a curriculum meeting the requirements specified by the APD state office and approved by the APD designated behavior analyst.</w:t>
            </w:r>
          </w:p>
        </w:tc>
        <w:tc>
          <w:tcPr>
            <w:tcW w:w="1350" w:type="dxa"/>
            <w:vAlign w:val="center"/>
          </w:tcPr>
          <w:p w14:paraId="62F51AE3" w14:textId="18AC6EE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28</w:t>
            </w:r>
          </w:p>
        </w:tc>
        <w:tc>
          <w:tcPr>
            <w:tcW w:w="1346" w:type="dxa"/>
            <w:vAlign w:val="center"/>
          </w:tcPr>
          <w:p w14:paraId="701565CE" w14:textId="16E3742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16</w:t>
            </w:r>
          </w:p>
        </w:tc>
        <w:tc>
          <w:tcPr>
            <w:tcW w:w="1439" w:type="dxa"/>
            <w:vAlign w:val="center"/>
          </w:tcPr>
          <w:p w14:paraId="7FEF8CE3" w14:textId="72393FE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3A11CD03"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382F8744" w14:textId="0F38E4A5"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Residential Habilitation – Intensive Behavior provider completes eight hours of annual in-service training related to behavior analysis and related topics.</w:t>
            </w:r>
          </w:p>
        </w:tc>
        <w:tc>
          <w:tcPr>
            <w:tcW w:w="1350" w:type="dxa"/>
            <w:vAlign w:val="center"/>
          </w:tcPr>
          <w:p w14:paraId="1264FD0B" w14:textId="32FB5459"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25</w:t>
            </w:r>
          </w:p>
        </w:tc>
        <w:tc>
          <w:tcPr>
            <w:tcW w:w="1346" w:type="dxa"/>
            <w:vAlign w:val="center"/>
          </w:tcPr>
          <w:p w14:paraId="474C5175" w14:textId="4617077F"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16</w:t>
            </w:r>
          </w:p>
        </w:tc>
        <w:tc>
          <w:tcPr>
            <w:tcW w:w="1439" w:type="dxa"/>
            <w:vAlign w:val="center"/>
          </w:tcPr>
          <w:p w14:paraId="55DDD3C3" w14:textId="5DE671D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87.5%</w:t>
            </w:r>
          </w:p>
        </w:tc>
      </w:tr>
      <w:tr w:rsidR="00343C92" w:rsidRPr="00343C92" w14:paraId="7D7410F3"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7F2B884" w14:textId="18ED7480"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Residential Habilitation- Enhanced Intensive Behavior.</w:t>
            </w:r>
          </w:p>
        </w:tc>
        <w:tc>
          <w:tcPr>
            <w:tcW w:w="1350" w:type="dxa"/>
            <w:vAlign w:val="center"/>
          </w:tcPr>
          <w:p w14:paraId="159D8449" w14:textId="158E9EF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w:t>
            </w:r>
          </w:p>
        </w:tc>
        <w:tc>
          <w:tcPr>
            <w:tcW w:w="1346" w:type="dxa"/>
            <w:vAlign w:val="center"/>
          </w:tcPr>
          <w:p w14:paraId="56E8A050" w14:textId="7169D021"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w:t>
            </w:r>
          </w:p>
        </w:tc>
        <w:tc>
          <w:tcPr>
            <w:tcW w:w="1439" w:type="dxa"/>
            <w:vAlign w:val="center"/>
          </w:tcPr>
          <w:p w14:paraId="355AF4F4" w14:textId="73BE011E"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278A60BC"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68BB3216" w14:textId="1D8C01A4"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 xml:space="preserve">The Residential Habilitation – Enhanced Intensive Behavior provider completes eight hours of annual in-service training </w:t>
            </w:r>
            <w:r w:rsidRPr="00343C92">
              <w:rPr>
                <w:rFonts w:asciiTheme="minorHAnsi" w:hAnsiTheme="minorHAnsi" w:cstheme="minorHAnsi"/>
                <w:b w:val="0"/>
                <w:sz w:val="20"/>
                <w:szCs w:val="20"/>
              </w:rPr>
              <w:lastRenderedPageBreak/>
              <w:t>through participation in recipient case-review or in combination with training related to behavior analysis.</w:t>
            </w:r>
          </w:p>
        </w:tc>
        <w:tc>
          <w:tcPr>
            <w:tcW w:w="1350" w:type="dxa"/>
            <w:vAlign w:val="center"/>
          </w:tcPr>
          <w:p w14:paraId="707D60EA" w14:textId="1BA0254B"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lastRenderedPageBreak/>
              <w:t>1</w:t>
            </w:r>
          </w:p>
        </w:tc>
        <w:tc>
          <w:tcPr>
            <w:tcW w:w="1346" w:type="dxa"/>
            <w:vAlign w:val="center"/>
          </w:tcPr>
          <w:p w14:paraId="14FBD291" w14:textId="732F7A4E"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w:t>
            </w:r>
          </w:p>
        </w:tc>
        <w:tc>
          <w:tcPr>
            <w:tcW w:w="1439" w:type="dxa"/>
            <w:vAlign w:val="center"/>
          </w:tcPr>
          <w:p w14:paraId="1BC9CB56" w14:textId="23EBEA73"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209B53E5"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2ADD282" w14:textId="5325ECB5"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Respite.</w:t>
            </w:r>
          </w:p>
        </w:tc>
        <w:tc>
          <w:tcPr>
            <w:tcW w:w="1350" w:type="dxa"/>
            <w:vAlign w:val="center"/>
          </w:tcPr>
          <w:p w14:paraId="61718045" w14:textId="07270C48"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238</w:t>
            </w:r>
          </w:p>
        </w:tc>
        <w:tc>
          <w:tcPr>
            <w:tcW w:w="1346" w:type="dxa"/>
            <w:vAlign w:val="center"/>
          </w:tcPr>
          <w:p w14:paraId="5A52B600" w14:textId="210254EA"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172</w:t>
            </w:r>
          </w:p>
        </w:tc>
        <w:tc>
          <w:tcPr>
            <w:tcW w:w="1439" w:type="dxa"/>
            <w:vAlign w:val="center"/>
          </w:tcPr>
          <w:p w14:paraId="321D142A" w14:textId="6D397FE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93.6%</w:t>
            </w:r>
          </w:p>
        </w:tc>
      </w:tr>
      <w:tr w:rsidR="00343C92" w:rsidRPr="00343C92" w14:paraId="70CF1EEC"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1EE3A5B" w14:textId="46059E58"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Special Medical Home Care.</w:t>
            </w:r>
          </w:p>
        </w:tc>
        <w:tc>
          <w:tcPr>
            <w:tcW w:w="1350" w:type="dxa"/>
            <w:vAlign w:val="center"/>
          </w:tcPr>
          <w:p w14:paraId="2B417772" w14:textId="52AF0552"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w:t>
            </w:r>
          </w:p>
        </w:tc>
        <w:tc>
          <w:tcPr>
            <w:tcW w:w="1346" w:type="dxa"/>
            <w:vAlign w:val="center"/>
          </w:tcPr>
          <w:p w14:paraId="099027B6" w14:textId="625B03DB"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w:t>
            </w:r>
          </w:p>
        </w:tc>
        <w:tc>
          <w:tcPr>
            <w:tcW w:w="1439" w:type="dxa"/>
            <w:vAlign w:val="center"/>
          </w:tcPr>
          <w:p w14:paraId="7A502CAF" w14:textId="3C6FE357"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100%</w:t>
            </w:r>
          </w:p>
        </w:tc>
      </w:tr>
      <w:tr w:rsidR="00343C92" w:rsidRPr="00343C92" w14:paraId="5BA92AB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4E22C8F" w14:textId="53A722A1"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meets all minimum educational requirements and levels of experience for Supported Living Coaching.</w:t>
            </w:r>
          </w:p>
        </w:tc>
        <w:tc>
          <w:tcPr>
            <w:tcW w:w="1350" w:type="dxa"/>
            <w:vAlign w:val="center"/>
          </w:tcPr>
          <w:p w14:paraId="03D4484A" w14:textId="0A2A7419"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247</w:t>
            </w:r>
          </w:p>
        </w:tc>
        <w:tc>
          <w:tcPr>
            <w:tcW w:w="1346" w:type="dxa"/>
            <w:vAlign w:val="center"/>
          </w:tcPr>
          <w:p w14:paraId="01E5E64D" w14:textId="699396CB"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188</w:t>
            </w:r>
          </w:p>
        </w:tc>
        <w:tc>
          <w:tcPr>
            <w:tcW w:w="1439" w:type="dxa"/>
            <w:vAlign w:val="center"/>
          </w:tcPr>
          <w:p w14:paraId="6BC0B9EA" w14:textId="1AD8143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97.3%</w:t>
            </w:r>
          </w:p>
        </w:tc>
      </w:tr>
      <w:tr w:rsidR="00343C92" w:rsidRPr="00343C92" w14:paraId="263ECFFC"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03D87DD5" w14:textId="64CFADFF"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completed required Supported Living Pre-Service training.</w:t>
            </w:r>
          </w:p>
        </w:tc>
        <w:tc>
          <w:tcPr>
            <w:tcW w:w="1350" w:type="dxa"/>
            <w:vAlign w:val="center"/>
          </w:tcPr>
          <w:p w14:paraId="23601592" w14:textId="3D99994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249</w:t>
            </w:r>
          </w:p>
        </w:tc>
        <w:tc>
          <w:tcPr>
            <w:tcW w:w="1346" w:type="dxa"/>
            <w:vAlign w:val="center"/>
          </w:tcPr>
          <w:p w14:paraId="38283691" w14:textId="2EC8B459"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189</w:t>
            </w:r>
          </w:p>
        </w:tc>
        <w:tc>
          <w:tcPr>
            <w:tcW w:w="1439" w:type="dxa"/>
            <w:vAlign w:val="center"/>
          </w:tcPr>
          <w:p w14:paraId="79C218D0" w14:textId="067AD5F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91.5%</w:t>
            </w:r>
          </w:p>
        </w:tc>
      </w:tr>
      <w:tr w:rsidR="00343C92" w:rsidRPr="00343C92" w14:paraId="653C9986"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2BDCA17" w14:textId="20A81E67"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Supported Living Coach completed Introduction to Social Security Work Incentives.</w:t>
            </w:r>
          </w:p>
        </w:tc>
        <w:tc>
          <w:tcPr>
            <w:tcW w:w="1350" w:type="dxa"/>
            <w:vAlign w:val="center"/>
          </w:tcPr>
          <w:p w14:paraId="55FEC280" w14:textId="7665D900"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245</w:t>
            </w:r>
          </w:p>
        </w:tc>
        <w:tc>
          <w:tcPr>
            <w:tcW w:w="1346" w:type="dxa"/>
            <w:vAlign w:val="center"/>
          </w:tcPr>
          <w:p w14:paraId="297882CA" w14:textId="0BC5A6E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187</w:t>
            </w:r>
          </w:p>
        </w:tc>
        <w:tc>
          <w:tcPr>
            <w:tcW w:w="1439" w:type="dxa"/>
            <w:vAlign w:val="center"/>
          </w:tcPr>
          <w:p w14:paraId="0F3E5481" w14:textId="284C8C0C"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91.4%</w:t>
            </w:r>
          </w:p>
        </w:tc>
      </w:tr>
      <w:tr w:rsidR="00343C92" w:rsidRPr="00343C92" w14:paraId="4DE9C515"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60DAA084" w14:textId="4AE00E14"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Supported Living Coaching provider completes eight hours of annual in-service training.</w:t>
            </w:r>
          </w:p>
        </w:tc>
        <w:tc>
          <w:tcPr>
            <w:tcW w:w="1350" w:type="dxa"/>
            <w:vAlign w:val="center"/>
          </w:tcPr>
          <w:p w14:paraId="3E4CC4F1" w14:textId="66D26D7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232</w:t>
            </w:r>
          </w:p>
        </w:tc>
        <w:tc>
          <w:tcPr>
            <w:tcW w:w="1346" w:type="dxa"/>
            <w:vAlign w:val="center"/>
          </w:tcPr>
          <w:p w14:paraId="222C14FD" w14:textId="355DCB01"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178</w:t>
            </w:r>
          </w:p>
        </w:tc>
        <w:tc>
          <w:tcPr>
            <w:tcW w:w="1439" w:type="dxa"/>
            <w:vAlign w:val="center"/>
          </w:tcPr>
          <w:p w14:paraId="102DF3AC" w14:textId="3416D784"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80.9%</w:t>
            </w:r>
          </w:p>
        </w:tc>
      </w:tr>
      <w:tr w:rsidR="00343C92" w:rsidRPr="00343C92" w14:paraId="53A4A09A"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1C3A87EE" w14:textId="73298F5F" w:rsidR="00343C92" w:rsidRPr="00343C92" w:rsidRDefault="00343C92" w:rsidP="00343C92">
            <w:pPr>
              <w:spacing w:line="240" w:lineRule="auto"/>
              <w:rPr>
                <w:rFonts w:asciiTheme="minorHAnsi" w:eastAsia="Times New Roman" w:hAnsiTheme="minorHAnsi" w:cstheme="minorHAnsi"/>
                <w:b w:val="0"/>
                <w:color w:val="000000"/>
                <w:sz w:val="20"/>
                <w:szCs w:val="20"/>
              </w:rPr>
            </w:pPr>
            <w:r w:rsidRPr="00343C92">
              <w:rPr>
                <w:rFonts w:asciiTheme="minorHAnsi" w:hAnsiTheme="minorHAnsi" w:cstheme="minorHAnsi"/>
                <w:b w:val="0"/>
                <w:sz w:val="20"/>
                <w:szCs w:val="20"/>
              </w:rPr>
              <w:t>The provider received Basic Medication Administration Training prior to administering or supervising the self-administration of medication.</w:t>
            </w:r>
          </w:p>
        </w:tc>
        <w:tc>
          <w:tcPr>
            <w:tcW w:w="1350" w:type="dxa"/>
            <w:vAlign w:val="center"/>
          </w:tcPr>
          <w:p w14:paraId="0C7D6C03" w14:textId="0DE2847C"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822</w:t>
            </w:r>
          </w:p>
        </w:tc>
        <w:tc>
          <w:tcPr>
            <w:tcW w:w="1346" w:type="dxa"/>
            <w:vAlign w:val="center"/>
          </w:tcPr>
          <w:p w14:paraId="42A56B8F" w14:textId="768208D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380</w:t>
            </w:r>
          </w:p>
        </w:tc>
        <w:tc>
          <w:tcPr>
            <w:tcW w:w="1439" w:type="dxa"/>
            <w:vAlign w:val="center"/>
          </w:tcPr>
          <w:p w14:paraId="5F1C16D4" w14:textId="778A60F4"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343C92">
              <w:rPr>
                <w:rFonts w:asciiTheme="minorHAnsi" w:hAnsiTheme="minorHAnsi" w:cstheme="minorHAnsi"/>
                <w:sz w:val="20"/>
                <w:szCs w:val="20"/>
              </w:rPr>
              <w:t>90.8%</w:t>
            </w:r>
          </w:p>
        </w:tc>
      </w:tr>
      <w:tr w:rsidR="00343C92" w:rsidRPr="00343C92" w14:paraId="1218E461"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tcPr>
          <w:p w14:paraId="7960C5BF" w14:textId="1C6E1C16"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maintains current Basic Medication Administration Validation.</w:t>
            </w:r>
          </w:p>
        </w:tc>
        <w:tc>
          <w:tcPr>
            <w:tcW w:w="1350" w:type="dxa"/>
            <w:shd w:val="clear" w:color="auto" w:fill="FFE599" w:themeFill="accent4" w:themeFillTint="66"/>
            <w:vAlign w:val="center"/>
          </w:tcPr>
          <w:p w14:paraId="108F16BE" w14:textId="3BF9AA22"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783</w:t>
            </w:r>
          </w:p>
        </w:tc>
        <w:tc>
          <w:tcPr>
            <w:tcW w:w="1346" w:type="dxa"/>
            <w:shd w:val="clear" w:color="auto" w:fill="FFE599" w:themeFill="accent4" w:themeFillTint="66"/>
            <w:vAlign w:val="center"/>
          </w:tcPr>
          <w:p w14:paraId="5C682F4B" w14:textId="613C0917"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367</w:t>
            </w:r>
          </w:p>
        </w:tc>
        <w:tc>
          <w:tcPr>
            <w:tcW w:w="1439" w:type="dxa"/>
            <w:shd w:val="clear" w:color="auto" w:fill="FFE599" w:themeFill="accent4" w:themeFillTint="66"/>
            <w:vAlign w:val="center"/>
          </w:tcPr>
          <w:p w14:paraId="23EB39E6" w14:textId="796D7EBC"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70.8%</w:t>
            </w:r>
          </w:p>
        </w:tc>
      </w:tr>
      <w:tr w:rsidR="00343C92" w:rsidRPr="00343C92" w14:paraId="1EBCCD62"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tcPr>
          <w:p w14:paraId="2BC590F0" w14:textId="4738331C"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completed Annual Update Training in Basic Medication Administration prior to expiration of current validation.</w:t>
            </w:r>
          </w:p>
        </w:tc>
        <w:tc>
          <w:tcPr>
            <w:tcW w:w="1350" w:type="dxa"/>
            <w:vAlign w:val="center"/>
          </w:tcPr>
          <w:p w14:paraId="55561CD4" w14:textId="57A38947"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555</w:t>
            </w:r>
          </w:p>
        </w:tc>
        <w:tc>
          <w:tcPr>
            <w:tcW w:w="1346" w:type="dxa"/>
            <w:vAlign w:val="center"/>
          </w:tcPr>
          <w:p w14:paraId="639CE275" w14:textId="3F82A0A5"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287</w:t>
            </w:r>
          </w:p>
        </w:tc>
        <w:tc>
          <w:tcPr>
            <w:tcW w:w="1439" w:type="dxa"/>
            <w:vAlign w:val="center"/>
          </w:tcPr>
          <w:p w14:paraId="14A87C7F" w14:textId="41DAAA02"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86.1%</w:t>
            </w:r>
          </w:p>
        </w:tc>
      </w:tr>
      <w:tr w:rsidR="00343C92" w:rsidRPr="00343C92" w14:paraId="3F553555"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tcPr>
          <w:p w14:paraId="65F03110" w14:textId="520D9F13"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has completed the Prescribed Enteral Formula Administration training.</w:t>
            </w:r>
          </w:p>
        </w:tc>
        <w:tc>
          <w:tcPr>
            <w:tcW w:w="1350" w:type="dxa"/>
            <w:vAlign w:val="center"/>
          </w:tcPr>
          <w:p w14:paraId="4A971964" w14:textId="32458CD6"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73</w:t>
            </w:r>
          </w:p>
        </w:tc>
        <w:tc>
          <w:tcPr>
            <w:tcW w:w="1346" w:type="dxa"/>
            <w:vAlign w:val="center"/>
          </w:tcPr>
          <w:p w14:paraId="21B5DE5B" w14:textId="36DA6DC8"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39</w:t>
            </w:r>
          </w:p>
        </w:tc>
        <w:tc>
          <w:tcPr>
            <w:tcW w:w="1439" w:type="dxa"/>
            <w:vAlign w:val="center"/>
          </w:tcPr>
          <w:p w14:paraId="59201868" w14:textId="5ADBEA13"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92.3%</w:t>
            </w:r>
          </w:p>
        </w:tc>
      </w:tr>
      <w:tr w:rsidR="00343C92" w:rsidRPr="00343C92" w14:paraId="00F57CD5"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tcPr>
          <w:p w14:paraId="49101A14" w14:textId="6F9C76F0"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maintains current Prescribed Enteral Formula Administration Validation.</w:t>
            </w:r>
          </w:p>
        </w:tc>
        <w:tc>
          <w:tcPr>
            <w:tcW w:w="1350" w:type="dxa"/>
            <w:vAlign w:val="center"/>
          </w:tcPr>
          <w:p w14:paraId="09C55F44" w14:textId="660EE1A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72</w:t>
            </w:r>
          </w:p>
        </w:tc>
        <w:tc>
          <w:tcPr>
            <w:tcW w:w="1346" w:type="dxa"/>
            <w:vAlign w:val="center"/>
          </w:tcPr>
          <w:p w14:paraId="73E46813" w14:textId="79A511E5"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36</w:t>
            </w:r>
          </w:p>
        </w:tc>
        <w:tc>
          <w:tcPr>
            <w:tcW w:w="1439" w:type="dxa"/>
            <w:vAlign w:val="center"/>
          </w:tcPr>
          <w:p w14:paraId="1C799FD5" w14:textId="0CEF2C1D"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91.7%</w:t>
            </w:r>
          </w:p>
        </w:tc>
      </w:tr>
      <w:tr w:rsidR="00343C92" w:rsidRPr="00343C92" w14:paraId="5BFE1DF3" w14:textId="77777777" w:rsidTr="00343C9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tcPr>
          <w:p w14:paraId="16B02F49" w14:textId="608BC9A0"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completed the Prescribed Enteral Formula Administration Annual Update training prior to the expiration of their current validation.</w:t>
            </w:r>
          </w:p>
        </w:tc>
        <w:tc>
          <w:tcPr>
            <w:tcW w:w="1350" w:type="dxa"/>
            <w:vAlign w:val="center"/>
          </w:tcPr>
          <w:p w14:paraId="0012BA99" w14:textId="45561CDD"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38</w:t>
            </w:r>
          </w:p>
        </w:tc>
        <w:tc>
          <w:tcPr>
            <w:tcW w:w="1346" w:type="dxa"/>
            <w:vAlign w:val="center"/>
          </w:tcPr>
          <w:p w14:paraId="698D2019" w14:textId="0F7CC5D2"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23</w:t>
            </w:r>
          </w:p>
        </w:tc>
        <w:tc>
          <w:tcPr>
            <w:tcW w:w="1439" w:type="dxa"/>
            <w:vAlign w:val="center"/>
          </w:tcPr>
          <w:p w14:paraId="661558D7" w14:textId="565F9A63" w:rsidR="00343C92" w:rsidRPr="00343C92" w:rsidRDefault="00343C92" w:rsidP="00343C9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100%</w:t>
            </w:r>
          </w:p>
        </w:tc>
      </w:tr>
      <w:tr w:rsidR="00343C92" w:rsidRPr="00343C92" w14:paraId="7A5A90F0" w14:textId="77777777" w:rsidTr="00343C92">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tcPr>
          <w:p w14:paraId="765485A9" w14:textId="6DC2E374" w:rsidR="00343C92" w:rsidRPr="00343C92" w:rsidRDefault="00343C92" w:rsidP="00343C92">
            <w:pPr>
              <w:spacing w:line="240" w:lineRule="auto"/>
              <w:rPr>
                <w:rFonts w:asciiTheme="minorHAnsi" w:hAnsiTheme="minorHAnsi" w:cstheme="minorHAnsi"/>
                <w:b w:val="0"/>
                <w:sz w:val="20"/>
                <w:szCs w:val="20"/>
              </w:rPr>
            </w:pPr>
            <w:r w:rsidRPr="00343C92">
              <w:rPr>
                <w:rFonts w:asciiTheme="minorHAnsi" w:hAnsiTheme="minorHAnsi" w:cstheme="minorHAnsi"/>
                <w:b w:val="0"/>
                <w:sz w:val="20"/>
                <w:szCs w:val="20"/>
              </w:rPr>
              <w:t>The provider obtains Temporary Validation when indicated.</w:t>
            </w:r>
          </w:p>
        </w:tc>
        <w:tc>
          <w:tcPr>
            <w:tcW w:w="1350" w:type="dxa"/>
            <w:vAlign w:val="center"/>
          </w:tcPr>
          <w:p w14:paraId="2398A25A" w14:textId="36C55B50"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5</w:t>
            </w:r>
          </w:p>
        </w:tc>
        <w:tc>
          <w:tcPr>
            <w:tcW w:w="1346" w:type="dxa"/>
            <w:vAlign w:val="center"/>
          </w:tcPr>
          <w:p w14:paraId="31992E23" w14:textId="4D94739F"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3</w:t>
            </w:r>
          </w:p>
        </w:tc>
        <w:tc>
          <w:tcPr>
            <w:tcW w:w="1439" w:type="dxa"/>
            <w:vAlign w:val="center"/>
          </w:tcPr>
          <w:p w14:paraId="5C8BCD94" w14:textId="06C6138E" w:rsidR="00343C92" w:rsidRPr="00343C92" w:rsidRDefault="00343C92" w:rsidP="00343C9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43C92">
              <w:rPr>
                <w:rFonts w:asciiTheme="minorHAnsi" w:hAnsiTheme="minorHAnsi" w:cstheme="minorHAnsi"/>
                <w:sz w:val="20"/>
                <w:szCs w:val="20"/>
              </w:rPr>
              <w:t>100%</w:t>
            </w:r>
          </w:p>
        </w:tc>
      </w:tr>
    </w:tbl>
    <w:p w14:paraId="4A82F961" w14:textId="2E7A01BD" w:rsidR="00F34C75" w:rsidRPr="00343C92" w:rsidRDefault="00F34C75" w:rsidP="00F34C75">
      <w:pPr>
        <w:pStyle w:val="ListParagraph"/>
        <w:rPr>
          <w:rFonts w:asciiTheme="minorHAnsi" w:hAnsiTheme="minorHAnsi" w:cstheme="minorHAnsi"/>
          <w:sz w:val="20"/>
          <w:szCs w:val="20"/>
        </w:rPr>
      </w:pPr>
    </w:p>
    <w:tbl>
      <w:tblPr>
        <w:tblStyle w:val="PlainTable1"/>
        <w:tblW w:w="9350" w:type="dxa"/>
        <w:tblLayout w:type="fixed"/>
        <w:tblLook w:val="04A0" w:firstRow="1" w:lastRow="0" w:firstColumn="1" w:lastColumn="0" w:noHBand="0" w:noVBand="1"/>
      </w:tblPr>
      <w:tblGrid>
        <w:gridCol w:w="5032"/>
        <w:gridCol w:w="1439"/>
        <w:gridCol w:w="1441"/>
        <w:gridCol w:w="1438"/>
      </w:tblGrid>
      <w:tr w:rsidR="00F34C75" w:rsidRPr="000D5F37" w14:paraId="7E53C974" w14:textId="77777777" w:rsidTr="00F34C7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9350" w:type="dxa"/>
            <w:gridSpan w:val="4"/>
            <w:shd w:val="clear" w:color="auto" w:fill="1F4E79" w:themeFill="accent1" w:themeFillShade="80"/>
            <w:noWrap/>
            <w:vAlign w:val="center"/>
            <w:hideMark/>
          </w:tcPr>
          <w:p w14:paraId="1DA5D7C8" w14:textId="091F0CED" w:rsidR="00F34C75" w:rsidRPr="000D5F37" w:rsidRDefault="00F34C75" w:rsidP="001940FE">
            <w:pPr>
              <w:spacing w:line="240" w:lineRule="auto"/>
              <w:jc w:val="center"/>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 xml:space="preserve">Table </w:t>
            </w:r>
            <w:r w:rsidR="004B51D0">
              <w:rPr>
                <w:rFonts w:ascii="Franklin Gothic Medium" w:eastAsia="Times New Roman" w:hAnsi="Franklin Gothic Medium" w:cs="Calibri"/>
                <w:b w:val="0"/>
                <w:color w:val="FFFFFF" w:themeColor="background1"/>
                <w:sz w:val="22"/>
                <w:szCs w:val="20"/>
              </w:rPr>
              <w:t>1</w:t>
            </w:r>
            <w:r w:rsidR="00EC632C">
              <w:rPr>
                <w:rFonts w:ascii="Franklin Gothic Medium" w:eastAsia="Times New Roman" w:hAnsi="Franklin Gothic Medium" w:cs="Calibri"/>
                <w:b w:val="0"/>
                <w:color w:val="FFFFFF" w:themeColor="background1"/>
                <w:sz w:val="22"/>
                <w:szCs w:val="20"/>
              </w:rPr>
              <w:t>8</w:t>
            </w:r>
            <w:r w:rsidRPr="000D5F37">
              <w:rPr>
                <w:rFonts w:ascii="Franklin Gothic Medium" w:eastAsia="Times New Roman" w:hAnsi="Franklin Gothic Medium" w:cs="Calibri"/>
                <w:b w:val="0"/>
                <w:color w:val="FFFFFF" w:themeColor="background1"/>
                <w:sz w:val="22"/>
                <w:szCs w:val="20"/>
              </w:rPr>
              <w:t>. PDR Qualifications and Training WSC Results by Standard</w:t>
            </w:r>
          </w:p>
        </w:tc>
      </w:tr>
      <w:tr w:rsidR="00F34C75" w:rsidRPr="000D5F37" w14:paraId="7684D340" w14:textId="77777777" w:rsidTr="00F34C7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50" w:type="dxa"/>
            <w:gridSpan w:val="4"/>
            <w:shd w:val="clear" w:color="auto" w:fill="1F4E79" w:themeFill="accent1" w:themeFillShade="80"/>
            <w:noWrap/>
            <w:vAlign w:val="center"/>
            <w:hideMark/>
          </w:tcPr>
          <w:p w14:paraId="6F645103" w14:textId="65E9A3BF" w:rsidR="00F34C75" w:rsidRPr="000D5F37" w:rsidRDefault="00F34C75" w:rsidP="00343C92">
            <w:pPr>
              <w:spacing w:line="240" w:lineRule="auto"/>
              <w:jc w:val="center"/>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 xml:space="preserve">July </w:t>
            </w:r>
            <w:r w:rsidR="00D01DEB">
              <w:rPr>
                <w:rFonts w:ascii="Franklin Gothic Medium" w:eastAsia="Times New Roman" w:hAnsi="Franklin Gothic Medium" w:cs="Calibri"/>
                <w:b w:val="0"/>
                <w:color w:val="FFFFFF" w:themeColor="background1"/>
                <w:sz w:val="22"/>
                <w:szCs w:val="20"/>
              </w:rPr>
              <w:t xml:space="preserve"> - </w:t>
            </w:r>
            <w:r w:rsidR="00343C92">
              <w:rPr>
                <w:rFonts w:ascii="Franklin Gothic Medium" w:eastAsia="Times New Roman" w:hAnsi="Franklin Gothic Medium" w:cs="Calibri"/>
                <w:b w:val="0"/>
                <w:color w:val="FFFFFF" w:themeColor="background1"/>
                <w:sz w:val="22"/>
                <w:szCs w:val="20"/>
              </w:rPr>
              <w:t>December</w:t>
            </w:r>
            <w:r w:rsidR="00B12464">
              <w:rPr>
                <w:rFonts w:ascii="Franklin Gothic Medium" w:eastAsia="Times New Roman" w:hAnsi="Franklin Gothic Medium" w:cs="Calibri"/>
                <w:b w:val="0"/>
                <w:color w:val="FFFFFF" w:themeColor="background1"/>
                <w:sz w:val="22"/>
                <w:szCs w:val="20"/>
              </w:rPr>
              <w:t xml:space="preserve"> 2020</w:t>
            </w:r>
          </w:p>
        </w:tc>
      </w:tr>
      <w:tr w:rsidR="00F34C75" w:rsidRPr="000D5F37" w14:paraId="7D7C5C49" w14:textId="77777777" w:rsidTr="00F34C7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5032" w:type="dxa"/>
            <w:shd w:val="clear" w:color="auto" w:fill="1F4E79" w:themeFill="accent1" w:themeFillShade="80"/>
            <w:noWrap/>
            <w:vAlign w:val="center"/>
            <w:hideMark/>
          </w:tcPr>
          <w:p w14:paraId="60A9457E" w14:textId="77777777" w:rsidR="00F34C75" w:rsidRPr="000D5F37" w:rsidRDefault="00F34C75" w:rsidP="00F34C75">
            <w:pPr>
              <w:spacing w:line="240" w:lineRule="auto"/>
              <w:jc w:val="center"/>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Standard</w:t>
            </w:r>
          </w:p>
        </w:tc>
        <w:tc>
          <w:tcPr>
            <w:tcW w:w="1439" w:type="dxa"/>
            <w:shd w:val="clear" w:color="auto" w:fill="1F4E79" w:themeFill="accent1" w:themeFillShade="80"/>
            <w:noWrap/>
            <w:vAlign w:val="center"/>
            <w:hideMark/>
          </w:tcPr>
          <w:p w14:paraId="58DBEDBB" w14:textId="77777777" w:rsidR="00F34C75" w:rsidRPr="000D5F37" w:rsidRDefault="00F34C75"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 Records Reviewed</w:t>
            </w:r>
          </w:p>
        </w:tc>
        <w:tc>
          <w:tcPr>
            <w:tcW w:w="1441" w:type="dxa"/>
            <w:shd w:val="clear" w:color="auto" w:fill="1F4E79" w:themeFill="accent1" w:themeFillShade="80"/>
            <w:noWrap/>
            <w:vAlign w:val="center"/>
            <w:hideMark/>
          </w:tcPr>
          <w:p w14:paraId="083BFB8C" w14:textId="77777777" w:rsidR="00F34C75" w:rsidRPr="000D5F37" w:rsidRDefault="00F34C75"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 WSCs</w:t>
            </w:r>
          </w:p>
        </w:tc>
        <w:tc>
          <w:tcPr>
            <w:tcW w:w="1438" w:type="dxa"/>
            <w:shd w:val="clear" w:color="auto" w:fill="1F4E79" w:themeFill="accent1" w:themeFillShade="80"/>
            <w:noWrap/>
            <w:vAlign w:val="center"/>
            <w:hideMark/>
          </w:tcPr>
          <w:p w14:paraId="002DF0D2" w14:textId="77777777" w:rsidR="00F34C75" w:rsidRPr="000D5F37" w:rsidRDefault="00F34C75"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2"/>
                <w:szCs w:val="20"/>
              </w:rPr>
            </w:pPr>
            <w:r w:rsidRPr="000D5F37">
              <w:rPr>
                <w:rFonts w:ascii="Franklin Gothic Medium" w:eastAsia="Times New Roman" w:hAnsi="Franklin Gothic Medium" w:cs="Calibri"/>
                <w:b w:val="0"/>
                <w:color w:val="FFFFFF" w:themeColor="background1"/>
                <w:sz w:val="22"/>
                <w:szCs w:val="20"/>
              </w:rPr>
              <w:t>% WSCs w/ Standard Met</w:t>
            </w:r>
          </w:p>
        </w:tc>
      </w:tr>
      <w:tr w:rsidR="007B6990" w:rsidRPr="000D5F37" w14:paraId="776D24EF"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26ED5EF9" w14:textId="5F2439F9"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has completed all aspects of required Level II Background Screening.</w:t>
            </w:r>
          </w:p>
        </w:tc>
        <w:tc>
          <w:tcPr>
            <w:tcW w:w="1439" w:type="dxa"/>
            <w:noWrap/>
            <w:vAlign w:val="center"/>
            <w:hideMark/>
          </w:tcPr>
          <w:p w14:paraId="7B614175" w14:textId="00DFC55E"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noWrap/>
            <w:vAlign w:val="center"/>
            <w:hideMark/>
          </w:tcPr>
          <w:p w14:paraId="5D191EE3" w14:textId="1A968B69"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hideMark/>
          </w:tcPr>
          <w:p w14:paraId="27C2CE32" w14:textId="4C52ED71"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91.6%</w:t>
            </w:r>
          </w:p>
        </w:tc>
      </w:tr>
      <w:tr w:rsidR="007B6990" w:rsidRPr="000D5F37" w14:paraId="6BDCF874"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312EDDAF" w14:textId="6704D8ED"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lastRenderedPageBreak/>
              <w:t>The employment status of the provider/employee is maintained on the Employee/Contractor Roster within the Department of Children and Families/Agency for Persons with Disabilities Background Screening Clearinghouse.</w:t>
            </w:r>
          </w:p>
        </w:tc>
        <w:tc>
          <w:tcPr>
            <w:tcW w:w="1439" w:type="dxa"/>
            <w:shd w:val="clear" w:color="auto" w:fill="auto"/>
            <w:noWrap/>
            <w:vAlign w:val="center"/>
            <w:hideMark/>
          </w:tcPr>
          <w:p w14:paraId="6DFB5BF6" w14:textId="4D84F60A"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shd w:val="clear" w:color="auto" w:fill="auto"/>
            <w:noWrap/>
            <w:vAlign w:val="center"/>
            <w:hideMark/>
          </w:tcPr>
          <w:p w14:paraId="5F03E0F4" w14:textId="6A3793BA"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shd w:val="clear" w:color="auto" w:fill="auto"/>
            <w:noWrap/>
            <w:vAlign w:val="center"/>
            <w:hideMark/>
          </w:tcPr>
          <w:p w14:paraId="32D9E2C2" w14:textId="5AE52C91"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89.2%</w:t>
            </w:r>
          </w:p>
        </w:tc>
      </w:tr>
      <w:tr w:rsidR="007B6990" w:rsidRPr="000D5F37" w14:paraId="17124082"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17345B07" w14:textId="4ADB6712"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Zero Tolerance.</w:t>
            </w:r>
          </w:p>
        </w:tc>
        <w:tc>
          <w:tcPr>
            <w:tcW w:w="1439" w:type="dxa"/>
            <w:noWrap/>
            <w:vAlign w:val="center"/>
            <w:hideMark/>
          </w:tcPr>
          <w:p w14:paraId="4E94C9C6" w14:textId="20A70914"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noWrap/>
            <w:vAlign w:val="center"/>
            <w:hideMark/>
          </w:tcPr>
          <w:p w14:paraId="3D0D8D8B" w14:textId="24554AF5"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hideMark/>
          </w:tcPr>
          <w:p w14:paraId="4BFBD474" w14:textId="7D7E1954"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92.0%</w:t>
            </w:r>
          </w:p>
        </w:tc>
      </w:tr>
      <w:tr w:rsidR="007B6990" w:rsidRPr="000D5F37" w14:paraId="52A358B8"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324170F4" w14:textId="595F2FD5"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Direct Care Core Competencies.</w:t>
            </w:r>
          </w:p>
        </w:tc>
        <w:tc>
          <w:tcPr>
            <w:tcW w:w="1439" w:type="dxa"/>
            <w:noWrap/>
            <w:vAlign w:val="center"/>
            <w:hideMark/>
          </w:tcPr>
          <w:p w14:paraId="1396FD30" w14:textId="74416116"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212</w:t>
            </w:r>
          </w:p>
        </w:tc>
        <w:tc>
          <w:tcPr>
            <w:tcW w:w="1441" w:type="dxa"/>
            <w:noWrap/>
            <w:vAlign w:val="center"/>
            <w:hideMark/>
          </w:tcPr>
          <w:p w14:paraId="227BC4ED" w14:textId="0902BE5B"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161</w:t>
            </w:r>
          </w:p>
        </w:tc>
        <w:tc>
          <w:tcPr>
            <w:tcW w:w="1438" w:type="dxa"/>
            <w:noWrap/>
            <w:vAlign w:val="center"/>
            <w:hideMark/>
          </w:tcPr>
          <w:p w14:paraId="013E6B34" w14:textId="0409A7CE"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95.7%</w:t>
            </w:r>
          </w:p>
        </w:tc>
      </w:tr>
      <w:tr w:rsidR="007B6990" w:rsidRPr="000D5F37" w14:paraId="1AE627DB"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5F8F78D7" w14:textId="21AC9207"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Direct Care Core Competency. (Old)</w:t>
            </w:r>
          </w:p>
        </w:tc>
        <w:tc>
          <w:tcPr>
            <w:tcW w:w="1439" w:type="dxa"/>
            <w:noWrap/>
            <w:vAlign w:val="center"/>
            <w:hideMark/>
          </w:tcPr>
          <w:p w14:paraId="1E1BA7EC" w14:textId="42D31C06"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139</w:t>
            </w:r>
          </w:p>
        </w:tc>
        <w:tc>
          <w:tcPr>
            <w:tcW w:w="1441" w:type="dxa"/>
            <w:noWrap/>
            <w:vAlign w:val="center"/>
            <w:hideMark/>
          </w:tcPr>
          <w:p w14:paraId="2605DE14" w14:textId="384B40C9"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110</w:t>
            </w:r>
          </w:p>
        </w:tc>
        <w:tc>
          <w:tcPr>
            <w:tcW w:w="1438" w:type="dxa"/>
            <w:noWrap/>
            <w:vAlign w:val="center"/>
            <w:hideMark/>
          </w:tcPr>
          <w:p w14:paraId="4A257AD5" w14:textId="42AB5D51"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100</w:t>
            </w:r>
            <w:r w:rsidRPr="007B6990">
              <w:rPr>
                <w:rFonts w:asciiTheme="minorHAnsi" w:hAnsiTheme="minorHAnsi" w:cstheme="minorHAnsi"/>
                <w:sz w:val="20"/>
                <w:szCs w:val="20"/>
              </w:rPr>
              <w:t>%</w:t>
            </w:r>
          </w:p>
        </w:tc>
      </w:tr>
      <w:tr w:rsidR="007B6990" w:rsidRPr="000D5F37" w14:paraId="062A9915"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0A93B44F" w14:textId="41A97E69"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Basic Person Centered Planning.</w:t>
            </w:r>
          </w:p>
        </w:tc>
        <w:tc>
          <w:tcPr>
            <w:tcW w:w="1439" w:type="dxa"/>
            <w:noWrap/>
            <w:vAlign w:val="center"/>
            <w:hideMark/>
          </w:tcPr>
          <w:p w14:paraId="5F78F391" w14:textId="2E500C24"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308</w:t>
            </w:r>
          </w:p>
        </w:tc>
        <w:tc>
          <w:tcPr>
            <w:tcW w:w="1441" w:type="dxa"/>
            <w:noWrap/>
            <w:vAlign w:val="center"/>
            <w:hideMark/>
          </w:tcPr>
          <w:p w14:paraId="3E24FCB5" w14:textId="5CA15993"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218</w:t>
            </w:r>
          </w:p>
        </w:tc>
        <w:tc>
          <w:tcPr>
            <w:tcW w:w="1438" w:type="dxa"/>
            <w:noWrap/>
            <w:vAlign w:val="center"/>
            <w:hideMark/>
          </w:tcPr>
          <w:p w14:paraId="2BFF8F56" w14:textId="7133C360"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95.9%</w:t>
            </w:r>
          </w:p>
        </w:tc>
      </w:tr>
      <w:tr w:rsidR="007B6990" w:rsidRPr="000D5F37" w14:paraId="1CD4282C"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2B3F6F01" w14:textId="61D0069E"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on Individual Choices, Rights and Responsibilities</w:t>
            </w:r>
          </w:p>
        </w:tc>
        <w:tc>
          <w:tcPr>
            <w:tcW w:w="1439" w:type="dxa"/>
            <w:noWrap/>
            <w:vAlign w:val="center"/>
            <w:hideMark/>
          </w:tcPr>
          <w:p w14:paraId="3B9251EE" w14:textId="0C8C7FA5"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w:t>
            </w:r>
          </w:p>
        </w:tc>
        <w:tc>
          <w:tcPr>
            <w:tcW w:w="1441" w:type="dxa"/>
            <w:noWrap/>
            <w:vAlign w:val="center"/>
            <w:hideMark/>
          </w:tcPr>
          <w:p w14:paraId="775DE5C2" w14:textId="666EA477"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w:t>
            </w:r>
          </w:p>
        </w:tc>
        <w:tc>
          <w:tcPr>
            <w:tcW w:w="1438" w:type="dxa"/>
            <w:noWrap/>
            <w:vAlign w:val="center"/>
            <w:hideMark/>
          </w:tcPr>
          <w:p w14:paraId="68443C8F" w14:textId="21935045"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100</w:t>
            </w:r>
            <w:r w:rsidRPr="007B6990">
              <w:rPr>
                <w:rFonts w:asciiTheme="minorHAnsi" w:hAnsiTheme="minorHAnsi" w:cstheme="minorHAnsi"/>
                <w:sz w:val="20"/>
                <w:szCs w:val="20"/>
              </w:rPr>
              <w:t>%</w:t>
            </w:r>
          </w:p>
        </w:tc>
      </w:tr>
      <w:tr w:rsidR="007B6990" w:rsidRPr="000D5F37" w14:paraId="762DB590"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1215DAE2" w14:textId="41639196"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Requirements for all Waiver Providers</w:t>
            </w:r>
          </w:p>
        </w:tc>
        <w:tc>
          <w:tcPr>
            <w:tcW w:w="1439" w:type="dxa"/>
            <w:noWrap/>
            <w:vAlign w:val="center"/>
            <w:hideMark/>
          </w:tcPr>
          <w:p w14:paraId="6B7ABABC" w14:textId="5D3230CE"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345</w:t>
            </w:r>
          </w:p>
        </w:tc>
        <w:tc>
          <w:tcPr>
            <w:tcW w:w="1441" w:type="dxa"/>
            <w:noWrap/>
            <w:vAlign w:val="center"/>
            <w:hideMark/>
          </w:tcPr>
          <w:p w14:paraId="5E5AA5B2" w14:textId="008B5CE1"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245</w:t>
            </w:r>
          </w:p>
        </w:tc>
        <w:tc>
          <w:tcPr>
            <w:tcW w:w="1438" w:type="dxa"/>
            <w:noWrap/>
            <w:vAlign w:val="center"/>
            <w:hideMark/>
          </w:tcPr>
          <w:p w14:paraId="569390FA" w14:textId="5DD1CF8C"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94.3%</w:t>
            </w:r>
          </w:p>
        </w:tc>
      </w:tr>
      <w:tr w:rsidR="007B6990" w:rsidRPr="000D5F37" w14:paraId="4E330890"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529B40FC" w14:textId="3DEBA830"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HIPAA.</w:t>
            </w:r>
          </w:p>
        </w:tc>
        <w:tc>
          <w:tcPr>
            <w:tcW w:w="1439" w:type="dxa"/>
            <w:noWrap/>
            <w:vAlign w:val="center"/>
          </w:tcPr>
          <w:p w14:paraId="2918DE23" w14:textId="04B3FE0B"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noWrap/>
            <w:vAlign w:val="center"/>
          </w:tcPr>
          <w:p w14:paraId="3A0EAF58" w14:textId="54619CAF"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tcPr>
          <w:p w14:paraId="60699982" w14:textId="0040E41F"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90.0%</w:t>
            </w:r>
          </w:p>
        </w:tc>
      </w:tr>
      <w:tr w:rsidR="007B6990" w:rsidRPr="000D5F37" w14:paraId="298581AA"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16DC4B37" w14:textId="5D2FCF88"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HIV/AIDS/Infection Control.</w:t>
            </w:r>
          </w:p>
        </w:tc>
        <w:tc>
          <w:tcPr>
            <w:tcW w:w="1439" w:type="dxa"/>
            <w:noWrap/>
            <w:vAlign w:val="center"/>
          </w:tcPr>
          <w:p w14:paraId="1C3E3AB9" w14:textId="287D3E72"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350</w:t>
            </w:r>
          </w:p>
        </w:tc>
        <w:tc>
          <w:tcPr>
            <w:tcW w:w="1441" w:type="dxa"/>
            <w:noWrap/>
            <w:vAlign w:val="center"/>
          </w:tcPr>
          <w:p w14:paraId="1A5F9876" w14:textId="7DE3E9A7"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tcPr>
          <w:p w14:paraId="6068A4C2" w14:textId="3993CE6E"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87.6%</w:t>
            </w:r>
          </w:p>
        </w:tc>
      </w:tr>
      <w:tr w:rsidR="007B6990" w:rsidRPr="000D5F37" w14:paraId="3AE0689B"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01CC32C6" w14:textId="4DB16843"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maintains current CPR certification.</w:t>
            </w:r>
          </w:p>
        </w:tc>
        <w:tc>
          <w:tcPr>
            <w:tcW w:w="1439" w:type="dxa"/>
            <w:noWrap/>
            <w:vAlign w:val="center"/>
            <w:hideMark/>
          </w:tcPr>
          <w:p w14:paraId="11C48B82" w14:textId="68F976E1"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344</w:t>
            </w:r>
          </w:p>
        </w:tc>
        <w:tc>
          <w:tcPr>
            <w:tcW w:w="1441" w:type="dxa"/>
            <w:noWrap/>
            <w:vAlign w:val="center"/>
            <w:hideMark/>
          </w:tcPr>
          <w:p w14:paraId="3C28A8D6" w14:textId="0FDC101F"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245</w:t>
            </w:r>
          </w:p>
        </w:tc>
        <w:tc>
          <w:tcPr>
            <w:tcW w:w="1438" w:type="dxa"/>
            <w:noWrap/>
            <w:vAlign w:val="center"/>
            <w:hideMark/>
          </w:tcPr>
          <w:p w14:paraId="7EE1E378" w14:textId="55FE845C"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95.9%</w:t>
            </w:r>
          </w:p>
        </w:tc>
      </w:tr>
      <w:tr w:rsidR="007B6990" w:rsidRPr="000D5F37" w14:paraId="166957F6"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4E19DF72" w14:textId="6CEA1460"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First Aid.</w:t>
            </w:r>
          </w:p>
        </w:tc>
        <w:tc>
          <w:tcPr>
            <w:tcW w:w="1439" w:type="dxa"/>
            <w:noWrap/>
            <w:vAlign w:val="center"/>
            <w:hideMark/>
          </w:tcPr>
          <w:p w14:paraId="519DE9C9" w14:textId="093E5388"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345</w:t>
            </w:r>
          </w:p>
        </w:tc>
        <w:tc>
          <w:tcPr>
            <w:tcW w:w="1441" w:type="dxa"/>
            <w:noWrap/>
            <w:vAlign w:val="center"/>
            <w:hideMark/>
          </w:tcPr>
          <w:p w14:paraId="321EA7E6" w14:textId="62016B18"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247</w:t>
            </w:r>
          </w:p>
        </w:tc>
        <w:tc>
          <w:tcPr>
            <w:tcW w:w="1438" w:type="dxa"/>
            <w:noWrap/>
            <w:vAlign w:val="center"/>
            <w:hideMark/>
          </w:tcPr>
          <w:p w14:paraId="5D1C0143" w14:textId="5056B5FA"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95.1%</w:t>
            </w:r>
          </w:p>
        </w:tc>
      </w:tr>
      <w:tr w:rsidR="007B6990" w:rsidRPr="000D5F37" w14:paraId="5D5E8826"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62602C11" w14:textId="45A4379E"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training in an Agency approved curriculum for behavioral emergency procedures consistent with the requirements of the Reactive Strategies rule (65G-8, FAC).</w:t>
            </w:r>
          </w:p>
        </w:tc>
        <w:tc>
          <w:tcPr>
            <w:tcW w:w="1439" w:type="dxa"/>
            <w:noWrap/>
            <w:vAlign w:val="center"/>
            <w:hideMark/>
          </w:tcPr>
          <w:p w14:paraId="1E876EC1" w14:textId="132FE9F4"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0</w:t>
            </w:r>
          </w:p>
        </w:tc>
        <w:tc>
          <w:tcPr>
            <w:tcW w:w="1441" w:type="dxa"/>
            <w:noWrap/>
            <w:vAlign w:val="center"/>
            <w:hideMark/>
          </w:tcPr>
          <w:p w14:paraId="4CB0AF24" w14:textId="37543367"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0</w:t>
            </w:r>
          </w:p>
        </w:tc>
        <w:tc>
          <w:tcPr>
            <w:tcW w:w="1438" w:type="dxa"/>
            <w:noWrap/>
            <w:vAlign w:val="center"/>
            <w:hideMark/>
          </w:tcPr>
          <w:p w14:paraId="313BC76E" w14:textId="17C00989"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w:t>
            </w:r>
          </w:p>
        </w:tc>
      </w:tr>
      <w:tr w:rsidR="007B6990" w:rsidRPr="000D5F37" w14:paraId="18F762B9"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0E99F4B2" w14:textId="542C0FA5"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Drivers of transportation vehicles are licensed to drive vehicles used.</w:t>
            </w:r>
          </w:p>
        </w:tc>
        <w:tc>
          <w:tcPr>
            <w:tcW w:w="1439" w:type="dxa"/>
            <w:noWrap/>
            <w:vAlign w:val="center"/>
            <w:hideMark/>
          </w:tcPr>
          <w:p w14:paraId="434D10CE" w14:textId="16AE67AA"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22</w:t>
            </w:r>
          </w:p>
        </w:tc>
        <w:tc>
          <w:tcPr>
            <w:tcW w:w="1441" w:type="dxa"/>
            <w:noWrap/>
            <w:vAlign w:val="center"/>
            <w:hideMark/>
          </w:tcPr>
          <w:p w14:paraId="7E8A74E4" w14:textId="4F3582CD"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16</w:t>
            </w:r>
          </w:p>
        </w:tc>
        <w:tc>
          <w:tcPr>
            <w:tcW w:w="1438" w:type="dxa"/>
            <w:noWrap/>
            <w:vAlign w:val="center"/>
            <w:hideMark/>
          </w:tcPr>
          <w:p w14:paraId="20B348AA" w14:textId="5A6B7BE7"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100</w:t>
            </w:r>
            <w:r w:rsidRPr="007B6990">
              <w:rPr>
                <w:rFonts w:asciiTheme="minorHAnsi" w:hAnsiTheme="minorHAnsi" w:cstheme="minorHAnsi"/>
                <w:sz w:val="20"/>
                <w:szCs w:val="20"/>
              </w:rPr>
              <w:t>%</w:t>
            </w:r>
          </w:p>
        </w:tc>
      </w:tr>
      <w:tr w:rsidR="007B6990" w:rsidRPr="000D5F37" w14:paraId="2F9CF8C9"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65931930" w14:textId="5CAF5CE9"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Personal vehicles used for transportation are properly insured.</w:t>
            </w:r>
          </w:p>
        </w:tc>
        <w:tc>
          <w:tcPr>
            <w:tcW w:w="1439" w:type="dxa"/>
            <w:noWrap/>
            <w:vAlign w:val="center"/>
            <w:hideMark/>
          </w:tcPr>
          <w:p w14:paraId="573A394D" w14:textId="0BC4712C"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10</w:t>
            </w:r>
          </w:p>
        </w:tc>
        <w:tc>
          <w:tcPr>
            <w:tcW w:w="1441" w:type="dxa"/>
            <w:noWrap/>
            <w:vAlign w:val="center"/>
            <w:hideMark/>
          </w:tcPr>
          <w:p w14:paraId="6FB52A44" w14:textId="252DC15A"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8</w:t>
            </w:r>
          </w:p>
        </w:tc>
        <w:tc>
          <w:tcPr>
            <w:tcW w:w="1438" w:type="dxa"/>
            <w:noWrap/>
            <w:vAlign w:val="center"/>
            <w:hideMark/>
          </w:tcPr>
          <w:p w14:paraId="1423771B" w14:textId="177198E7"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100</w:t>
            </w:r>
            <w:r w:rsidRPr="007B6990">
              <w:rPr>
                <w:rFonts w:asciiTheme="minorHAnsi" w:hAnsiTheme="minorHAnsi" w:cstheme="minorHAnsi"/>
                <w:sz w:val="20"/>
                <w:szCs w:val="20"/>
              </w:rPr>
              <w:t>%</w:t>
            </w:r>
          </w:p>
        </w:tc>
      </w:tr>
      <w:tr w:rsidR="007B6990" w:rsidRPr="000D5F37" w14:paraId="381E0C75"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340116C7" w14:textId="7469087D"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Personal vehicles used for transportation are properly registered.</w:t>
            </w:r>
          </w:p>
        </w:tc>
        <w:tc>
          <w:tcPr>
            <w:tcW w:w="1439" w:type="dxa"/>
            <w:noWrap/>
            <w:vAlign w:val="center"/>
            <w:hideMark/>
          </w:tcPr>
          <w:p w14:paraId="28D3AF61" w14:textId="622E9590"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w:t>
            </w:r>
          </w:p>
        </w:tc>
        <w:tc>
          <w:tcPr>
            <w:tcW w:w="1441" w:type="dxa"/>
            <w:noWrap/>
            <w:vAlign w:val="center"/>
            <w:hideMark/>
          </w:tcPr>
          <w:p w14:paraId="5BFBE2F8" w14:textId="51A6FA0C"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7</w:t>
            </w:r>
          </w:p>
        </w:tc>
        <w:tc>
          <w:tcPr>
            <w:tcW w:w="1438" w:type="dxa"/>
            <w:noWrap/>
            <w:vAlign w:val="center"/>
            <w:hideMark/>
          </w:tcPr>
          <w:p w14:paraId="693F2FEA" w14:textId="6AA131BF"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Pr>
                <w:rFonts w:asciiTheme="minorHAnsi" w:hAnsiTheme="minorHAnsi" w:cstheme="minorHAnsi"/>
                <w:sz w:val="20"/>
                <w:szCs w:val="20"/>
              </w:rPr>
              <w:t>100</w:t>
            </w:r>
            <w:r w:rsidRPr="007B6990">
              <w:rPr>
                <w:rFonts w:asciiTheme="minorHAnsi" w:hAnsiTheme="minorHAnsi" w:cstheme="minorHAnsi"/>
                <w:sz w:val="20"/>
                <w:szCs w:val="20"/>
              </w:rPr>
              <w:t>%</w:t>
            </w:r>
          </w:p>
        </w:tc>
      </w:tr>
      <w:tr w:rsidR="007B6990" w:rsidRPr="000D5F37" w14:paraId="1FEE49A8"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73D0C648" w14:textId="15C98467"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received a Certificate of Consultant Training from a designated APD trainer (CDC+).</w:t>
            </w:r>
          </w:p>
        </w:tc>
        <w:tc>
          <w:tcPr>
            <w:tcW w:w="1439" w:type="dxa"/>
            <w:noWrap/>
            <w:vAlign w:val="center"/>
            <w:hideMark/>
          </w:tcPr>
          <w:p w14:paraId="2B53B9EF" w14:textId="3B765A92"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117</w:t>
            </w:r>
          </w:p>
        </w:tc>
        <w:tc>
          <w:tcPr>
            <w:tcW w:w="1441" w:type="dxa"/>
            <w:noWrap/>
            <w:vAlign w:val="center"/>
            <w:hideMark/>
          </w:tcPr>
          <w:p w14:paraId="4610D061" w14:textId="06327D22"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94</w:t>
            </w:r>
          </w:p>
        </w:tc>
        <w:tc>
          <w:tcPr>
            <w:tcW w:w="1438" w:type="dxa"/>
            <w:noWrap/>
            <w:vAlign w:val="center"/>
            <w:hideMark/>
          </w:tcPr>
          <w:p w14:paraId="0E16E8D1" w14:textId="64A103A5"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98.9%</w:t>
            </w:r>
          </w:p>
        </w:tc>
      </w:tr>
      <w:tr w:rsidR="007B6990" w:rsidRPr="000D5F37" w14:paraId="0CDA300B"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138C808F" w14:textId="0341F146"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provider meets all minimum educational requirements and levels of experience for Support Coordination.</w:t>
            </w:r>
          </w:p>
        </w:tc>
        <w:tc>
          <w:tcPr>
            <w:tcW w:w="1439" w:type="dxa"/>
            <w:noWrap/>
            <w:vAlign w:val="center"/>
            <w:hideMark/>
          </w:tcPr>
          <w:p w14:paraId="102CAF37" w14:textId="52068518"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noWrap/>
            <w:vAlign w:val="center"/>
            <w:hideMark/>
          </w:tcPr>
          <w:p w14:paraId="1D4A8C7A" w14:textId="7A98C75C"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hideMark/>
          </w:tcPr>
          <w:p w14:paraId="4FFBE056" w14:textId="2E6A539C"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99.6%</w:t>
            </w:r>
          </w:p>
        </w:tc>
      </w:tr>
      <w:tr w:rsidR="007B6990" w:rsidRPr="000D5F37" w14:paraId="16FA6CC7"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2971BF95" w14:textId="7315A06F"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Support Coordinator completed required Statewide pre-service training.</w:t>
            </w:r>
          </w:p>
        </w:tc>
        <w:tc>
          <w:tcPr>
            <w:tcW w:w="1439" w:type="dxa"/>
            <w:noWrap/>
            <w:vAlign w:val="center"/>
            <w:hideMark/>
          </w:tcPr>
          <w:p w14:paraId="0BCF89B4" w14:textId="551A6251"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351</w:t>
            </w:r>
          </w:p>
        </w:tc>
        <w:tc>
          <w:tcPr>
            <w:tcW w:w="1441" w:type="dxa"/>
            <w:noWrap/>
            <w:vAlign w:val="center"/>
            <w:hideMark/>
          </w:tcPr>
          <w:p w14:paraId="33E27850" w14:textId="70CC2FF1"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hideMark/>
          </w:tcPr>
          <w:p w14:paraId="122E5834" w14:textId="364E68C3"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96.8%</w:t>
            </w:r>
          </w:p>
        </w:tc>
      </w:tr>
      <w:tr w:rsidR="007B6990" w:rsidRPr="000D5F37" w14:paraId="30EB1E01"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hideMark/>
          </w:tcPr>
          <w:p w14:paraId="202BD660" w14:textId="09A79949" w:rsidR="007B6990" w:rsidRPr="007B6990" w:rsidRDefault="007B6990" w:rsidP="007B6990">
            <w:pPr>
              <w:spacing w:line="240" w:lineRule="auto"/>
              <w:rPr>
                <w:rFonts w:asciiTheme="minorHAnsi" w:eastAsia="Times New Roman" w:hAnsiTheme="minorHAnsi" w:cstheme="minorHAnsi"/>
                <w:b w:val="0"/>
                <w:color w:val="000000"/>
                <w:sz w:val="20"/>
                <w:szCs w:val="20"/>
              </w:rPr>
            </w:pPr>
            <w:r w:rsidRPr="007B6990">
              <w:rPr>
                <w:rFonts w:asciiTheme="minorHAnsi" w:hAnsiTheme="minorHAnsi" w:cstheme="minorHAnsi"/>
                <w:b w:val="0"/>
                <w:sz w:val="20"/>
                <w:szCs w:val="20"/>
              </w:rPr>
              <w:t>The Support Coordinator completed required Region Specific training.</w:t>
            </w:r>
          </w:p>
        </w:tc>
        <w:tc>
          <w:tcPr>
            <w:tcW w:w="1439" w:type="dxa"/>
            <w:noWrap/>
            <w:vAlign w:val="center"/>
            <w:hideMark/>
          </w:tcPr>
          <w:p w14:paraId="4CCBF0AC" w14:textId="137EF53B"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347</w:t>
            </w:r>
          </w:p>
        </w:tc>
        <w:tc>
          <w:tcPr>
            <w:tcW w:w="1441" w:type="dxa"/>
            <w:noWrap/>
            <w:vAlign w:val="center"/>
            <w:hideMark/>
          </w:tcPr>
          <w:p w14:paraId="46DCE17B" w14:textId="253C5A7B"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250</w:t>
            </w:r>
          </w:p>
        </w:tc>
        <w:tc>
          <w:tcPr>
            <w:tcW w:w="1438" w:type="dxa"/>
            <w:noWrap/>
            <w:vAlign w:val="center"/>
            <w:hideMark/>
          </w:tcPr>
          <w:p w14:paraId="22C31436" w14:textId="550EA6EB"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7B6990">
              <w:rPr>
                <w:rFonts w:asciiTheme="minorHAnsi" w:hAnsiTheme="minorHAnsi" w:cstheme="minorHAnsi"/>
                <w:sz w:val="20"/>
                <w:szCs w:val="20"/>
              </w:rPr>
              <w:t>94.4%</w:t>
            </w:r>
          </w:p>
        </w:tc>
      </w:tr>
      <w:tr w:rsidR="007B6990" w:rsidRPr="000D5F37" w14:paraId="5E0C22AC" w14:textId="77777777" w:rsidTr="007B699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tcPr>
          <w:p w14:paraId="069CCBDE" w14:textId="7993D60E" w:rsidR="007B6990" w:rsidRPr="007B6990" w:rsidRDefault="007B6990" w:rsidP="007B6990">
            <w:pPr>
              <w:spacing w:line="240" w:lineRule="auto"/>
              <w:rPr>
                <w:rFonts w:asciiTheme="minorHAnsi" w:hAnsiTheme="minorHAnsi" w:cstheme="minorHAnsi"/>
                <w:b w:val="0"/>
                <w:sz w:val="20"/>
                <w:szCs w:val="20"/>
              </w:rPr>
            </w:pPr>
            <w:r w:rsidRPr="007B6990">
              <w:rPr>
                <w:rFonts w:asciiTheme="minorHAnsi" w:hAnsiTheme="minorHAnsi" w:cstheme="minorHAnsi"/>
                <w:b w:val="0"/>
                <w:sz w:val="20"/>
                <w:szCs w:val="20"/>
              </w:rPr>
              <w:t>The Support Coordinator completed Introduction to Social Security Work Incentives.</w:t>
            </w:r>
          </w:p>
        </w:tc>
        <w:tc>
          <w:tcPr>
            <w:tcW w:w="1439" w:type="dxa"/>
            <w:noWrap/>
            <w:vAlign w:val="center"/>
          </w:tcPr>
          <w:p w14:paraId="4845B866" w14:textId="08929474"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346</w:t>
            </w:r>
          </w:p>
        </w:tc>
        <w:tc>
          <w:tcPr>
            <w:tcW w:w="1441" w:type="dxa"/>
            <w:noWrap/>
            <w:vAlign w:val="center"/>
          </w:tcPr>
          <w:p w14:paraId="35BFF619" w14:textId="1767F1C2"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250</w:t>
            </w:r>
          </w:p>
        </w:tc>
        <w:tc>
          <w:tcPr>
            <w:tcW w:w="1438" w:type="dxa"/>
            <w:noWrap/>
            <w:vAlign w:val="center"/>
          </w:tcPr>
          <w:p w14:paraId="2050FD24" w14:textId="2E266B33" w:rsidR="007B6990" w:rsidRPr="007B6990" w:rsidRDefault="007B6990" w:rsidP="007B699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93.6%</w:t>
            </w:r>
          </w:p>
        </w:tc>
      </w:tr>
      <w:tr w:rsidR="007B6990" w:rsidRPr="000D5F37" w14:paraId="1266D6EF" w14:textId="77777777" w:rsidTr="007B6990">
        <w:trPr>
          <w:trHeight w:val="300"/>
        </w:trPr>
        <w:tc>
          <w:tcPr>
            <w:cnfStyle w:val="001000000000" w:firstRow="0" w:lastRow="0" w:firstColumn="1" w:lastColumn="0" w:oddVBand="0" w:evenVBand="0" w:oddHBand="0" w:evenHBand="0" w:firstRowFirstColumn="0" w:firstRowLastColumn="0" w:lastRowFirstColumn="0" w:lastRowLastColumn="0"/>
            <w:tcW w:w="5032" w:type="dxa"/>
            <w:noWrap/>
            <w:vAlign w:val="center"/>
          </w:tcPr>
          <w:p w14:paraId="795CFD43" w14:textId="3787C442" w:rsidR="007B6990" w:rsidRPr="007B6990" w:rsidRDefault="007B6990" w:rsidP="007B6990">
            <w:pPr>
              <w:spacing w:line="240" w:lineRule="auto"/>
              <w:rPr>
                <w:rFonts w:asciiTheme="minorHAnsi" w:hAnsiTheme="minorHAnsi" w:cstheme="minorHAnsi"/>
                <w:b w:val="0"/>
                <w:sz w:val="20"/>
                <w:szCs w:val="20"/>
              </w:rPr>
            </w:pPr>
            <w:r w:rsidRPr="007B6990">
              <w:rPr>
                <w:rFonts w:asciiTheme="minorHAnsi" w:hAnsiTheme="minorHAnsi" w:cstheme="minorHAnsi"/>
                <w:b w:val="0"/>
                <w:sz w:val="20"/>
                <w:szCs w:val="20"/>
              </w:rPr>
              <w:t>The Support Coordinator completes 24 hours of job related annual in-service training.</w:t>
            </w:r>
          </w:p>
        </w:tc>
        <w:tc>
          <w:tcPr>
            <w:tcW w:w="1439" w:type="dxa"/>
            <w:noWrap/>
            <w:vAlign w:val="center"/>
          </w:tcPr>
          <w:p w14:paraId="7F6CE4B4" w14:textId="7A55EC92"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341</w:t>
            </w:r>
          </w:p>
        </w:tc>
        <w:tc>
          <w:tcPr>
            <w:tcW w:w="1441" w:type="dxa"/>
            <w:noWrap/>
            <w:vAlign w:val="center"/>
          </w:tcPr>
          <w:p w14:paraId="0F8EC6DA" w14:textId="09B2677C"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248</w:t>
            </w:r>
          </w:p>
        </w:tc>
        <w:tc>
          <w:tcPr>
            <w:tcW w:w="1438" w:type="dxa"/>
            <w:noWrap/>
            <w:vAlign w:val="center"/>
          </w:tcPr>
          <w:p w14:paraId="736F5D9A" w14:textId="12EB579A" w:rsidR="007B6990" w:rsidRPr="007B6990" w:rsidRDefault="007B6990" w:rsidP="007B699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B6990">
              <w:rPr>
                <w:rFonts w:asciiTheme="minorHAnsi" w:hAnsiTheme="minorHAnsi" w:cstheme="minorHAnsi"/>
                <w:sz w:val="20"/>
                <w:szCs w:val="20"/>
              </w:rPr>
              <w:t>86.7%</w:t>
            </w:r>
          </w:p>
        </w:tc>
      </w:tr>
    </w:tbl>
    <w:p w14:paraId="609A2348" w14:textId="77777777" w:rsidR="00F34C75" w:rsidRDefault="00F34C75" w:rsidP="00F34C75"/>
    <w:p w14:paraId="7216FB55" w14:textId="77777777" w:rsidR="00A4522F" w:rsidRDefault="00A4522F" w:rsidP="00F34C75">
      <w:pPr>
        <w:spacing w:line="240" w:lineRule="auto"/>
        <w:jc w:val="center"/>
      </w:pPr>
    </w:p>
    <w:p w14:paraId="3A24D44A" w14:textId="77777777" w:rsidR="00F34C75" w:rsidRDefault="00F34C75" w:rsidP="00F34C75">
      <w:pPr>
        <w:pStyle w:val="Heading3"/>
      </w:pPr>
      <w:bookmarkStart w:id="51" w:name="_Toc369864682"/>
      <w:bookmarkStart w:id="52" w:name="_Toc64285540"/>
      <w:r>
        <w:t>Service Specific Record Review Results (SSRR)</w:t>
      </w:r>
      <w:bookmarkEnd w:id="51"/>
      <w:bookmarkEnd w:id="52"/>
    </w:p>
    <w:p w14:paraId="31F0DDF2" w14:textId="250FD62C" w:rsidR="00F34C75" w:rsidRPr="00C74D32" w:rsidRDefault="00F34C75" w:rsidP="00F34C75">
      <w:r w:rsidRPr="00751A74">
        <w:rPr>
          <w:noProof/>
        </w:rPr>
        <w:drawing>
          <wp:anchor distT="0" distB="0" distL="114300" distR="114300" simplePos="0" relativeHeight="251658259" behindDoc="0" locked="0" layoutInCell="1" allowOverlap="1" wp14:anchorId="7C15E61C" wp14:editId="6F29CBC3">
            <wp:simplePos x="0" y="0"/>
            <wp:positionH relativeFrom="column">
              <wp:posOffset>16328</wp:posOffset>
            </wp:positionH>
            <wp:positionV relativeFrom="paragraph">
              <wp:posOffset>186236</wp:posOffset>
            </wp:positionV>
            <wp:extent cx="758952" cy="841248"/>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acks_of_files[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8952" cy="841248"/>
                    </a:xfrm>
                    <a:prstGeom prst="rect">
                      <a:avLst/>
                    </a:prstGeom>
                  </pic:spPr>
                </pic:pic>
              </a:graphicData>
            </a:graphic>
            <wp14:sizeRelH relativeFrom="margin">
              <wp14:pctWidth>0</wp14:pctWidth>
            </wp14:sizeRelH>
            <wp14:sizeRelV relativeFrom="margin">
              <wp14:pctHeight>0</wp14:pctHeight>
            </wp14:sizeRelV>
          </wp:anchor>
        </w:drawing>
      </w:r>
      <w:r w:rsidRPr="00751A74">
        <w:t>During the PDR, a sample of individuals is used to review records for each service offered by the provider. The number of records reviewed depends upon the size of the organization and</w:t>
      </w:r>
      <w:r w:rsidRPr="00F55E09">
        <w:t xml:space="preserve"> th</w:t>
      </w:r>
      <w:r>
        <w:t>e number of services provided, with a</w:t>
      </w:r>
      <w:r w:rsidRPr="00F55E09">
        <w:t xml:space="preserve">t least one record per service </w:t>
      </w:r>
      <w:r>
        <w:t>include</w:t>
      </w:r>
      <w:r w:rsidRPr="00F55E09">
        <w:t>d</w:t>
      </w:r>
      <w:r>
        <w:t>. T</w:t>
      </w:r>
      <w:r w:rsidRPr="00D72C67">
        <w:t>he SSRR tool includes a review of stand</w:t>
      </w:r>
      <w:r>
        <w:t xml:space="preserve">ards specific to each </w:t>
      </w:r>
      <w:r w:rsidRPr="00C74D32">
        <w:t xml:space="preserve">service. There </w:t>
      </w:r>
      <w:r w:rsidRPr="00B571CE">
        <w:t xml:space="preserve">were </w:t>
      </w:r>
      <w:r w:rsidR="00B571CE" w:rsidRPr="00B571CE">
        <w:t>2</w:t>
      </w:r>
      <w:r w:rsidR="00751A74" w:rsidRPr="00B571CE">
        <w:t>,</w:t>
      </w:r>
      <w:r w:rsidR="00B571CE" w:rsidRPr="00B571CE">
        <w:t>966</w:t>
      </w:r>
      <w:r w:rsidRPr="00C74D32">
        <w:t xml:space="preserve"> SSRRs completed </w:t>
      </w:r>
      <w:r w:rsidR="00BA73DA" w:rsidRPr="00C74D32">
        <w:t xml:space="preserve">during the </w:t>
      </w:r>
      <w:r w:rsidR="00751A74">
        <w:t>1</w:t>
      </w:r>
      <w:r w:rsidR="00751A74" w:rsidRPr="00751A74">
        <w:rPr>
          <w:vertAlign w:val="superscript"/>
        </w:rPr>
        <w:t>st</w:t>
      </w:r>
      <w:r w:rsidR="00751A74">
        <w:t xml:space="preserve"> </w:t>
      </w:r>
      <w:r w:rsidR="00ED2E64">
        <w:t xml:space="preserve">two </w:t>
      </w:r>
      <w:r w:rsidR="00751A74">
        <w:t>quarter</w:t>
      </w:r>
      <w:r w:rsidR="00ED2E64">
        <w:t>s</w:t>
      </w:r>
      <w:r w:rsidR="00751A74">
        <w:t xml:space="preserve"> of the contract year</w:t>
      </w:r>
      <w:r w:rsidRPr="00C74D32">
        <w:t xml:space="preserve"> as part of the </w:t>
      </w:r>
      <w:r w:rsidR="00ED2E64">
        <w:t>817</w:t>
      </w:r>
      <w:r w:rsidRPr="00C74D32">
        <w:t xml:space="preserve"> PDRs for service providers</w:t>
      </w:r>
      <w:r w:rsidRPr="00867675">
        <w:t xml:space="preserve">, scoring </w:t>
      </w:r>
      <w:r w:rsidR="00867675" w:rsidRPr="00867675">
        <w:t>48</w:t>
      </w:r>
      <w:r w:rsidR="00751A74" w:rsidRPr="00867675">
        <w:t>,</w:t>
      </w:r>
      <w:r w:rsidR="00867675">
        <w:t>587</w:t>
      </w:r>
      <w:r w:rsidRPr="00C74D32">
        <w:t xml:space="preserve"> standards</w:t>
      </w:r>
      <w:r w:rsidR="00BA73DA" w:rsidRPr="00C74D32">
        <w:t>;</w:t>
      </w:r>
      <w:r w:rsidRPr="00C74D32">
        <w:t xml:space="preserve"> and </w:t>
      </w:r>
      <w:r w:rsidR="00867675">
        <w:t>998</w:t>
      </w:r>
      <w:r w:rsidRPr="00C74D32">
        <w:t xml:space="preserve"> SSRRs completed as part of the </w:t>
      </w:r>
      <w:r w:rsidR="00ED2E64">
        <w:t>250</w:t>
      </w:r>
      <w:r w:rsidRPr="00C74D32">
        <w:t xml:space="preserve"> WSC PDRs, scoring </w:t>
      </w:r>
      <w:r w:rsidR="00867675">
        <w:t>25,845</w:t>
      </w:r>
      <w:r w:rsidRPr="00C74D32">
        <w:t xml:space="preserve"> standards.</w:t>
      </w:r>
    </w:p>
    <w:p w14:paraId="007F5633" w14:textId="03CA16D7" w:rsidR="00F34C75" w:rsidRPr="008C6E58" w:rsidRDefault="00F34C75" w:rsidP="00F34C75">
      <w:pPr>
        <w:pStyle w:val="Heading4"/>
      </w:pPr>
      <w:r w:rsidRPr="008C6E58">
        <w:t>SSRR by Region</w:t>
      </w:r>
      <w:r w:rsidR="00751A74">
        <w:t xml:space="preserve"> and by Service</w:t>
      </w:r>
    </w:p>
    <w:p w14:paraId="301A885E" w14:textId="52EE79CA" w:rsidR="00F34C75" w:rsidRDefault="00751A74" w:rsidP="00F34C75">
      <w:r>
        <w:t xml:space="preserve">SSRR results are presented by region in Table </w:t>
      </w:r>
      <w:r w:rsidR="00A44B4F">
        <w:t>19</w:t>
      </w:r>
      <w:r>
        <w:t xml:space="preserve"> </w:t>
      </w:r>
      <w:r w:rsidR="000D626C">
        <w:t xml:space="preserve">and </w:t>
      </w:r>
      <w:r w:rsidR="004B51D0">
        <w:t xml:space="preserve">by </w:t>
      </w:r>
      <w:r w:rsidR="000D626C">
        <w:t xml:space="preserve">service </w:t>
      </w:r>
      <w:r w:rsidR="004B51D0">
        <w:t xml:space="preserve">in </w:t>
      </w:r>
      <w:r w:rsidR="00A017BB">
        <w:t>Figure</w:t>
      </w:r>
      <w:r w:rsidR="000D626C">
        <w:t xml:space="preserve"> </w:t>
      </w:r>
      <w:r>
        <w:t>1</w:t>
      </w:r>
      <w:r w:rsidR="00867675">
        <w:t>7</w:t>
      </w:r>
      <w:r w:rsidR="00F34C75" w:rsidRPr="00551571">
        <w:t xml:space="preserve">. </w:t>
      </w:r>
      <w:r w:rsidR="00C84833" w:rsidRPr="00551571">
        <w:t xml:space="preserve">Because many of the standards have a weight of more than one, both the weighted score and the percent of standards scored as met (Percent Met) are presented by region. </w:t>
      </w:r>
      <w:r w:rsidR="00F34C75" w:rsidRPr="00551571">
        <w:t>Comparisons by service show</w:t>
      </w:r>
      <w:r w:rsidR="00C84833">
        <w:t>n in Figure 1</w:t>
      </w:r>
      <w:r w:rsidR="00A26AEC">
        <w:t>7</w:t>
      </w:r>
      <w:r w:rsidR="00C84833">
        <w:t xml:space="preserve"> present</w:t>
      </w:r>
      <w:r w:rsidR="00F34C75" w:rsidRPr="00551571">
        <w:t xml:space="preserve"> the Percent Met with the number of reviews completed in parentheses. </w:t>
      </w:r>
      <w:r w:rsidR="00BE7638" w:rsidRPr="00551571">
        <w:t xml:space="preserve">The number of standards scored, on which the percent met is based, </w:t>
      </w:r>
      <w:r w:rsidR="00BE7638" w:rsidRPr="00EF2EF8">
        <w:t xml:space="preserve">varies from </w:t>
      </w:r>
      <w:r w:rsidR="00FF3BC8" w:rsidRPr="00EF2EF8">
        <w:t>12</w:t>
      </w:r>
      <w:r w:rsidR="000F16C0" w:rsidRPr="00EF2EF8">
        <w:t xml:space="preserve"> for Special Medical Home Care to </w:t>
      </w:r>
      <w:r w:rsidR="00EF2EF8" w:rsidRPr="00EF2EF8">
        <w:t>12</w:t>
      </w:r>
      <w:r w:rsidR="00551571" w:rsidRPr="00EF2EF8">
        <w:t>,</w:t>
      </w:r>
      <w:r w:rsidR="00EF2EF8" w:rsidRPr="00EF2EF8">
        <w:t>676</w:t>
      </w:r>
      <w:r w:rsidR="000F16C0" w:rsidRPr="00EF2EF8">
        <w:t xml:space="preserve"> for Personal Supports. </w:t>
      </w:r>
      <w:r w:rsidR="00C84833" w:rsidRPr="00EF2EF8">
        <w:t xml:space="preserve"> </w:t>
      </w:r>
      <w:r w:rsidR="00FF3BC8" w:rsidRPr="00EF2EF8">
        <w:t>There is some variatio</w:t>
      </w:r>
      <w:r w:rsidR="00FF3BC8" w:rsidRPr="00551571">
        <w:t xml:space="preserve">n </w:t>
      </w:r>
      <w:r w:rsidR="00FF3BC8">
        <w:t xml:space="preserve">to date </w:t>
      </w:r>
      <w:r w:rsidR="00FF3BC8" w:rsidRPr="00551571">
        <w:t>across regions</w:t>
      </w:r>
      <w:r w:rsidR="00FF3BC8">
        <w:t xml:space="preserve"> and services</w:t>
      </w:r>
      <w:r w:rsidR="00FF3BC8" w:rsidRPr="00551571">
        <w:t>.</w:t>
      </w:r>
      <w:r w:rsidR="00C44799">
        <w:t xml:space="preserve"> Providers of Supported Employment and Supported Living Coaching were least likely to have the standards met. 87.8 percent and 89.1 percent respectively. </w:t>
      </w:r>
    </w:p>
    <w:p w14:paraId="04EE4D94" w14:textId="06ECD941" w:rsidR="00F34C75" w:rsidRDefault="00F34C75" w:rsidP="00F34C75">
      <w:pPr>
        <w:rPr>
          <w:highlight w:val="yellow"/>
        </w:rPr>
      </w:pPr>
    </w:p>
    <w:tbl>
      <w:tblPr>
        <w:tblW w:w="10182" w:type="dxa"/>
        <w:tblInd w:w="-100" w:type="dxa"/>
        <w:tblLook w:val="04A0" w:firstRow="1" w:lastRow="0" w:firstColumn="1" w:lastColumn="0" w:noHBand="0" w:noVBand="1"/>
      </w:tblPr>
      <w:tblGrid>
        <w:gridCol w:w="1139"/>
        <w:gridCol w:w="1045"/>
        <w:gridCol w:w="1150"/>
        <w:gridCol w:w="1036"/>
        <w:gridCol w:w="1120"/>
        <w:gridCol w:w="761"/>
        <w:gridCol w:w="319"/>
        <w:gridCol w:w="1182"/>
        <w:gridCol w:w="1260"/>
        <w:gridCol w:w="1170"/>
      </w:tblGrid>
      <w:tr w:rsidR="004D7114" w:rsidRPr="00024484" w14:paraId="30029E25" w14:textId="77777777" w:rsidTr="00EF79C0">
        <w:trPr>
          <w:trHeight w:val="315"/>
          <w:tblHeader/>
        </w:trPr>
        <w:tc>
          <w:tcPr>
            <w:tcW w:w="10182" w:type="dxa"/>
            <w:gridSpan w:val="10"/>
            <w:tcBorders>
              <w:top w:val="single" w:sz="8" w:space="0" w:color="auto"/>
              <w:left w:val="single" w:sz="8" w:space="0" w:color="auto"/>
              <w:bottom w:val="single" w:sz="4" w:space="0" w:color="auto"/>
              <w:right w:val="single" w:sz="8" w:space="0" w:color="auto"/>
            </w:tcBorders>
            <w:shd w:val="clear" w:color="auto" w:fill="1F4E79" w:themeFill="accent1" w:themeFillShade="80"/>
          </w:tcPr>
          <w:p w14:paraId="64B933BC" w14:textId="28080203" w:rsidR="004D7114" w:rsidRPr="00AA3CB4" w:rsidRDefault="004D7114" w:rsidP="00751A74">
            <w:pPr>
              <w:spacing w:line="240" w:lineRule="auto"/>
              <w:jc w:val="center"/>
              <w:rPr>
                <w:rFonts w:ascii="Franklin Gothic Medium" w:eastAsia="Times New Roman" w:hAnsi="Franklin Gothic Medium" w:cs="Times New Roman"/>
                <w:bCs/>
                <w:color w:val="FFFFFF"/>
                <w:sz w:val="22"/>
              </w:rPr>
            </w:pPr>
            <w:r w:rsidRPr="00AA3CB4">
              <w:rPr>
                <w:rFonts w:ascii="Franklin Gothic Medium" w:eastAsia="Times New Roman" w:hAnsi="Franklin Gothic Medium" w:cs="Times New Roman"/>
                <w:bCs/>
                <w:color w:val="FFFFFF"/>
                <w:sz w:val="22"/>
              </w:rPr>
              <w:t xml:space="preserve">Table </w:t>
            </w:r>
            <w:r w:rsidR="00751A74">
              <w:rPr>
                <w:rFonts w:ascii="Franklin Gothic Medium" w:eastAsia="Times New Roman" w:hAnsi="Franklin Gothic Medium" w:cs="Times New Roman"/>
                <w:bCs/>
                <w:color w:val="FFFFFF"/>
                <w:sz w:val="22"/>
              </w:rPr>
              <w:t>19</w:t>
            </w:r>
            <w:r>
              <w:rPr>
                <w:rFonts w:ascii="Franklin Gothic Medium" w:eastAsia="Times New Roman" w:hAnsi="Franklin Gothic Medium" w:cs="Times New Roman"/>
                <w:bCs/>
                <w:color w:val="FFFFFF"/>
                <w:sz w:val="22"/>
              </w:rPr>
              <w:t>.</w:t>
            </w:r>
            <w:r w:rsidRPr="00AA3CB4">
              <w:rPr>
                <w:rFonts w:ascii="Franklin Gothic Medium" w:eastAsia="Times New Roman" w:hAnsi="Franklin Gothic Medium" w:cs="Times New Roman"/>
                <w:bCs/>
                <w:color w:val="FFFFFF"/>
                <w:sz w:val="22"/>
              </w:rPr>
              <w:t xml:space="preserve">  PDR Service Specific Record Review Results by </w:t>
            </w:r>
            <w:r>
              <w:rPr>
                <w:rFonts w:ascii="Franklin Gothic Medium" w:eastAsia="Times New Roman" w:hAnsi="Franklin Gothic Medium" w:cs="Times New Roman"/>
                <w:bCs/>
                <w:color w:val="FFFFFF"/>
                <w:sz w:val="22"/>
              </w:rPr>
              <w:t xml:space="preserve">APD </w:t>
            </w:r>
            <w:r w:rsidRPr="00AA3CB4">
              <w:rPr>
                <w:rFonts w:ascii="Franklin Gothic Medium" w:eastAsia="Times New Roman" w:hAnsi="Franklin Gothic Medium" w:cs="Times New Roman"/>
                <w:bCs/>
                <w:color w:val="FFFFFF"/>
                <w:sz w:val="22"/>
              </w:rPr>
              <w:t xml:space="preserve">Region                                            </w:t>
            </w:r>
          </w:p>
        </w:tc>
      </w:tr>
      <w:tr w:rsidR="004D7114" w:rsidRPr="00024484" w14:paraId="2E951989" w14:textId="77777777" w:rsidTr="00EF79C0">
        <w:trPr>
          <w:trHeight w:val="315"/>
          <w:tblHeader/>
        </w:trPr>
        <w:tc>
          <w:tcPr>
            <w:tcW w:w="10182" w:type="dxa"/>
            <w:gridSpan w:val="10"/>
            <w:tcBorders>
              <w:top w:val="single" w:sz="4" w:space="0" w:color="auto"/>
              <w:left w:val="single" w:sz="8" w:space="0" w:color="auto"/>
              <w:bottom w:val="single" w:sz="4" w:space="0" w:color="auto"/>
              <w:right w:val="single" w:sz="8" w:space="0" w:color="auto"/>
            </w:tcBorders>
            <w:shd w:val="clear" w:color="auto" w:fill="1F4E79" w:themeFill="accent1" w:themeFillShade="80"/>
          </w:tcPr>
          <w:p w14:paraId="6F79CC07" w14:textId="45368FBC" w:rsidR="004D7114" w:rsidRPr="00AA3CB4" w:rsidRDefault="00751A74" w:rsidP="00A26AEC">
            <w:pPr>
              <w:spacing w:line="240" w:lineRule="auto"/>
              <w:jc w:val="center"/>
              <w:rPr>
                <w:rFonts w:ascii="Franklin Gothic Medium" w:eastAsia="Times New Roman" w:hAnsi="Franklin Gothic Medium" w:cs="Times New Roman"/>
                <w:bCs/>
                <w:color w:val="FFFFFF"/>
                <w:sz w:val="22"/>
              </w:rPr>
            </w:pPr>
            <w:r>
              <w:rPr>
                <w:rFonts w:ascii="Franklin Gothic Medium" w:eastAsia="Times New Roman" w:hAnsi="Franklin Gothic Medium" w:cs="Times New Roman"/>
                <w:bCs/>
                <w:color w:val="FFFFFF"/>
                <w:sz w:val="22"/>
              </w:rPr>
              <w:t xml:space="preserve">July – </w:t>
            </w:r>
            <w:r w:rsidR="00A26AEC">
              <w:rPr>
                <w:rFonts w:ascii="Franklin Gothic Medium" w:eastAsia="Times New Roman" w:hAnsi="Franklin Gothic Medium" w:cs="Times New Roman"/>
                <w:bCs/>
                <w:color w:val="FFFFFF"/>
                <w:sz w:val="22"/>
              </w:rPr>
              <w:t>December</w:t>
            </w:r>
            <w:r>
              <w:rPr>
                <w:rFonts w:ascii="Franklin Gothic Medium" w:eastAsia="Times New Roman" w:hAnsi="Franklin Gothic Medium" w:cs="Times New Roman"/>
                <w:bCs/>
                <w:color w:val="FFFFFF"/>
                <w:sz w:val="22"/>
              </w:rPr>
              <w:t xml:space="preserve"> </w:t>
            </w:r>
            <w:r w:rsidR="004D7114">
              <w:rPr>
                <w:rFonts w:ascii="Franklin Gothic Medium" w:eastAsia="Times New Roman" w:hAnsi="Franklin Gothic Medium" w:cs="Times New Roman"/>
                <w:bCs/>
                <w:color w:val="FFFFFF"/>
                <w:sz w:val="22"/>
              </w:rPr>
              <w:t>2020</w:t>
            </w:r>
          </w:p>
        </w:tc>
      </w:tr>
      <w:tr w:rsidR="004D7114" w:rsidRPr="00024484" w14:paraId="4F19E3D2" w14:textId="77777777" w:rsidTr="00EF79C0">
        <w:trPr>
          <w:trHeight w:val="278"/>
          <w:tblHeader/>
        </w:trPr>
        <w:tc>
          <w:tcPr>
            <w:tcW w:w="1139" w:type="dxa"/>
            <w:tcBorders>
              <w:top w:val="nil"/>
              <w:left w:val="single" w:sz="8" w:space="0" w:color="auto"/>
              <w:bottom w:val="single" w:sz="4" w:space="0" w:color="auto"/>
              <w:right w:val="nil"/>
            </w:tcBorders>
            <w:shd w:val="clear" w:color="000000" w:fill="BFBFBF"/>
            <w:noWrap/>
            <w:vAlign w:val="bottom"/>
            <w:hideMark/>
          </w:tcPr>
          <w:p w14:paraId="29017350" w14:textId="77777777" w:rsidR="004D7114" w:rsidRPr="00AA3CB4" w:rsidRDefault="004D7114" w:rsidP="00EF79C0">
            <w:pPr>
              <w:spacing w:line="240" w:lineRule="auto"/>
              <w:rPr>
                <w:rFonts w:ascii="Franklin Gothic Medium" w:eastAsia="Times New Roman" w:hAnsi="Franklin Gothic Medium" w:cs="Times New Roman"/>
                <w:color w:val="000000"/>
                <w:sz w:val="22"/>
              </w:rPr>
            </w:pPr>
            <w:r w:rsidRPr="00AA3CB4">
              <w:rPr>
                <w:rFonts w:ascii="Franklin Gothic Medium" w:eastAsia="Times New Roman" w:hAnsi="Franklin Gothic Medium" w:cs="Times New Roman"/>
                <w:color w:val="000000"/>
                <w:sz w:val="22"/>
              </w:rPr>
              <w:t> </w:t>
            </w:r>
          </w:p>
        </w:tc>
        <w:tc>
          <w:tcPr>
            <w:tcW w:w="4351" w:type="dxa"/>
            <w:gridSpan w:val="4"/>
            <w:tcBorders>
              <w:top w:val="single" w:sz="4" w:space="0" w:color="auto"/>
              <w:left w:val="double" w:sz="6" w:space="0" w:color="auto"/>
              <w:right w:val="double" w:sz="6" w:space="0" w:color="000000"/>
            </w:tcBorders>
            <w:shd w:val="clear" w:color="000000" w:fill="BFBFBF"/>
          </w:tcPr>
          <w:p w14:paraId="37B19609" w14:textId="77777777" w:rsidR="004D7114" w:rsidRPr="00AA3CB4" w:rsidRDefault="004D7114" w:rsidP="00EF79C0">
            <w:pPr>
              <w:spacing w:line="240" w:lineRule="auto"/>
              <w:jc w:val="center"/>
              <w:rPr>
                <w:rFonts w:ascii="Franklin Gothic Medium" w:eastAsia="Times New Roman" w:hAnsi="Franklin Gothic Medium" w:cs="Times New Roman"/>
                <w:color w:val="000000"/>
                <w:sz w:val="22"/>
              </w:rPr>
            </w:pPr>
            <w:r w:rsidRPr="00AA3CB4">
              <w:rPr>
                <w:rFonts w:ascii="Franklin Gothic Medium" w:eastAsia="Times New Roman" w:hAnsi="Franklin Gothic Medium" w:cs="Times New Roman"/>
                <w:color w:val="000000"/>
                <w:sz w:val="22"/>
              </w:rPr>
              <w:t>Service Providers</w:t>
            </w:r>
          </w:p>
        </w:tc>
        <w:tc>
          <w:tcPr>
            <w:tcW w:w="761" w:type="dxa"/>
            <w:tcBorders>
              <w:top w:val="single" w:sz="4" w:space="0" w:color="auto"/>
              <w:left w:val="nil"/>
              <w:bottom w:val="single" w:sz="4" w:space="0" w:color="auto"/>
              <w:right w:val="nil"/>
            </w:tcBorders>
            <w:shd w:val="clear" w:color="000000" w:fill="BFBFBF"/>
          </w:tcPr>
          <w:p w14:paraId="32D5A62C" w14:textId="77777777" w:rsidR="004D7114" w:rsidRPr="00AA3CB4" w:rsidRDefault="004D7114" w:rsidP="00EF79C0">
            <w:pPr>
              <w:spacing w:line="240" w:lineRule="auto"/>
              <w:jc w:val="center"/>
              <w:rPr>
                <w:rFonts w:ascii="Franklin Gothic Medium" w:eastAsia="Times New Roman" w:hAnsi="Franklin Gothic Medium" w:cs="Times New Roman"/>
                <w:color w:val="000000"/>
                <w:sz w:val="22"/>
              </w:rPr>
            </w:pPr>
          </w:p>
        </w:tc>
        <w:tc>
          <w:tcPr>
            <w:tcW w:w="3931" w:type="dxa"/>
            <w:gridSpan w:val="4"/>
            <w:tcBorders>
              <w:top w:val="single" w:sz="4" w:space="0" w:color="auto"/>
              <w:left w:val="nil"/>
              <w:bottom w:val="single" w:sz="4" w:space="0" w:color="auto"/>
              <w:right w:val="single" w:sz="8" w:space="0" w:color="auto"/>
            </w:tcBorders>
            <w:shd w:val="clear" w:color="000000" w:fill="BFBFBF"/>
            <w:noWrap/>
            <w:vAlign w:val="bottom"/>
            <w:hideMark/>
          </w:tcPr>
          <w:p w14:paraId="4954A3BA" w14:textId="77777777" w:rsidR="004D7114" w:rsidRPr="00AA3CB4" w:rsidRDefault="004D7114" w:rsidP="00EF79C0">
            <w:pPr>
              <w:spacing w:line="240" w:lineRule="auto"/>
              <w:jc w:val="center"/>
              <w:rPr>
                <w:rFonts w:ascii="Franklin Gothic Medium" w:eastAsia="Times New Roman" w:hAnsi="Franklin Gothic Medium" w:cs="Times New Roman"/>
                <w:color w:val="000000"/>
                <w:sz w:val="22"/>
              </w:rPr>
            </w:pPr>
            <w:r w:rsidRPr="00AA3CB4">
              <w:rPr>
                <w:rFonts w:ascii="Franklin Gothic Medium" w:eastAsia="Times New Roman" w:hAnsi="Franklin Gothic Medium" w:cs="Times New Roman"/>
                <w:color w:val="000000"/>
                <w:sz w:val="22"/>
              </w:rPr>
              <w:t>WSCs</w:t>
            </w:r>
          </w:p>
        </w:tc>
      </w:tr>
      <w:tr w:rsidR="004D7114" w:rsidRPr="00024484" w14:paraId="112C2F3A" w14:textId="77777777" w:rsidTr="004D7114">
        <w:trPr>
          <w:trHeight w:val="503"/>
          <w:tblHeader/>
        </w:trPr>
        <w:tc>
          <w:tcPr>
            <w:tcW w:w="1139" w:type="dxa"/>
            <w:tcBorders>
              <w:top w:val="nil"/>
              <w:left w:val="single" w:sz="8" w:space="0" w:color="auto"/>
              <w:bottom w:val="single" w:sz="4" w:space="0" w:color="auto"/>
              <w:right w:val="double" w:sz="4" w:space="0" w:color="auto"/>
            </w:tcBorders>
            <w:shd w:val="clear" w:color="auto" w:fill="1F4E79" w:themeFill="accent1" w:themeFillShade="80"/>
            <w:noWrap/>
            <w:vAlign w:val="bottom"/>
            <w:hideMark/>
          </w:tcPr>
          <w:p w14:paraId="2F45D38B" w14:textId="77777777" w:rsidR="004D7114" w:rsidRPr="00F50AB9" w:rsidRDefault="004D7114" w:rsidP="00EF79C0">
            <w:pPr>
              <w:spacing w:line="240" w:lineRule="auto"/>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Region</w:t>
            </w:r>
          </w:p>
        </w:tc>
        <w:tc>
          <w:tcPr>
            <w:tcW w:w="1045" w:type="dxa"/>
            <w:tcBorders>
              <w:top w:val="nil"/>
              <w:left w:val="double" w:sz="4" w:space="0" w:color="auto"/>
              <w:bottom w:val="single" w:sz="4" w:space="0" w:color="auto"/>
            </w:tcBorders>
            <w:shd w:val="clear" w:color="auto" w:fill="1F4E79" w:themeFill="accent1" w:themeFillShade="80"/>
            <w:vAlign w:val="bottom"/>
            <w:hideMark/>
          </w:tcPr>
          <w:p w14:paraId="24D156B0"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 Records Reviewed</w:t>
            </w:r>
          </w:p>
        </w:tc>
        <w:tc>
          <w:tcPr>
            <w:tcW w:w="1150" w:type="dxa"/>
            <w:tcBorders>
              <w:top w:val="nil"/>
              <w:bottom w:val="single" w:sz="4" w:space="0" w:color="auto"/>
            </w:tcBorders>
            <w:shd w:val="clear" w:color="auto" w:fill="1F4E79" w:themeFill="accent1" w:themeFillShade="80"/>
          </w:tcPr>
          <w:p w14:paraId="0DF75397"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Pr>
                <w:rFonts w:ascii="Franklin Gothic Medium" w:eastAsia="Times New Roman" w:hAnsi="Franklin Gothic Medium" w:cs="Times New Roman"/>
                <w:color w:val="FFFFFF"/>
                <w:sz w:val="20"/>
              </w:rPr>
              <w:t># Standards Scored</w:t>
            </w:r>
          </w:p>
        </w:tc>
        <w:tc>
          <w:tcPr>
            <w:tcW w:w="1036" w:type="dxa"/>
            <w:tcBorders>
              <w:top w:val="nil"/>
              <w:bottom w:val="single" w:sz="4" w:space="0" w:color="auto"/>
            </w:tcBorders>
            <w:shd w:val="clear" w:color="auto" w:fill="1F4E79" w:themeFill="accent1" w:themeFillShade="80"/>
            <w:vAlign w:val="bottom"/>
            <w:hideMark/>
          </w:tcPr>
          <w:p w14:paraId="644E7D6D"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Weighted Score</w:t>
            </w:r>
          </w:p>
        </w:tc>
        <w:tc>
          <w:tcPr>
            <w:tcW w:w="1120" w:type="dxa"/>
            <w:tcBorders>
              <w:top w:val="nil"/>
              <w:bottom w:val="single" w:sz="4" w:space="0" w:color="auto"/>
              <w:right w:val="double" w:sz="4" w:space="0" w:color="auto"/>
            </w:tcBorders>
            <w:shd w:val="clear" w:color="auto" w:fill="1F4E79" w:themeFill="accent1" w:themeFillShade="80"/>
            <w:vAlign w:val="bottom"/>
            <w:hideMark/>
          </w:tcPr>
          <w:p w14:paraId="322EB9EE"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 xml:space="preserve">Percent </w:t>
            </w:r>
          </w:p>
          <w:p w14:paraId="459FB88D"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Met</w:t>
            </w:r>
          </w:p>
        </w:tc>
        <w:tc>
          <w:tcPr>
            <w:tcW w:w="1080" w:type="dxa"/>
            <w:gridSpan w:val="2"/>
            <w:tcBorders>
              <w:top w:val="single" w:sz="4" w:space="0" w:color="auto"/>
              <w:left w:val="double" w:sz="4" w:space="0" w:color="auto"/>
              <w:bottom w:val="single" w:sz="4" w:space="0" w:color="auto"/>
              <w:right w:val="nil"/>
            </w:tcBorders>
            <w:shd w:val="clear" w:color="auto" w:fill="1F4E79" w:themeFill="accent1" w:themeFillShade="80"/>
            <w:vAlign w:val="bottom"/>
            <w:hideMark/>
          </w:tcPr>
          <w:p w14:paraId="1B77D1F1"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 Records Reviewed</w:t>
            </w:r>
          </w:p>
        </w:tc>
        <w:tc>
          <w:tcPr>
            <w:tcW w:w="1182" w:type="dxa"/>
            <w:tcBorders>
              <w:top w:val="single" w:sz="4" w:space="0" w:color="auto"/>
              <w:left w:val="nil"/>
              <w:bottom w:val="single" w:sz="4" w:space="0" w:color="auto"/>
              <w:right w:val="nil"/>
            </w:tcBorders>
            <w:shd w:val="clear" w:color="auto" w:fill="1F4E79" w:themeFill="accent1" w:themeFillShade="80"/>
          </w:tcPr>
          <w:p w14:paraId="5EBDC06C"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Pr>
                <w:rFonts w:ascii="Franklin Gothic Medium" w:eastAsia="Times New Roman" w:hAnsi="Franklin Gothic Medium" w:cs="Times New Roman"/>
                <w:color w:val="FFFFFF"/>
                <w:sz w:val="20"/>
              </w:rPr>
              <w:t># Standards Scored</w:t>
            </w:r>
          </w:p>
        </w:tc>
        <w:tc>
          <w:tcPr>
            <w:tcW w:w="1260" w:type="dxa"/>
            <w:tcBorders>
              <w:top w:val="single" w:sz="4" w:space="0" w:color="auto"/>
              <w:left w:val="nil"/>
              <w:bottom w:val="single" w:sz="4" w:space="0" w:color="auto"/>
              <w:right w:val="nil"/>
            </w:tcBorders>
            <w:shd w:val="clear" w:color="auto" w:fill="1F4E79" w:themeFill="accent1" w:themeFillShade="80"/>
            <w:vAlign w:val="bottom"/>
            <w:hideMark/>
          </w:tcPr>
          <w:p w14:paraId="308BE014"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Weighted Score</w:t>
            </w:r>
          </w:p>
        </w:tc>
        <w:tc>
          <w:tcPr>
            <w:tcW w:w="1170" w:type="dxa"/>
            <w:tcBorders>
              <w:top w:val="nil"/>
              <w:left w:val="nil"/>
              <w:bottom w:val="single" w:sz="4" w:space="0" w:color="auto"/>
              <w:right w:val="single" w:sz="8" w:space="0" w:color="auto"/>
            </w:tcBorders>
            <w:shd w:val="clear" w:color="auto" w:fill="1F4E79" w:themeFill="accent1" w:themeFillShade="80"/>
            <w:vAlign w:val="bottom"/>
            <w:hideMark/>
          </w:tcPr>
          <w:p w14:paraId="012027E0"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 xml:space="preserve">Percent </w:t>
            </w:r>
          </w:p>
          <w:p w14:paraId="49A6703A" w14:textId="77777777" w:rsidR="004D7114" w:rsidRPr="00F50AB9" w:rsidRDefault="004D7114" w:rsidP="00EF79C0">
            <w:pPr>
              <w:spacing w:line="240" w:lineRule="auto"/>
              <w:jc w:val="center"/>
              <w:rPr>
                <w:rFonts w:ascii="Franklin Gothic Medium" w:eastAsia="Times New Roman" w:hAnsi="Franklin Gothic Medium" w:cs="Times New Roman"/>
                <w:color w:val="FFFFFF"/>
                <w:sz w:val="20"/>
              </w:rPr>
            </w:pPr>
            <w:r w:rsidRPr="00F50AB9">
              <w:rPr>
                <w:rFonts w:ascii="Franklin Gothic Medium" w:eastAsia="Times New Roman" w:hAnsi="Franklin Gothic Medium" w:cs="Times New Roman"/>
                <w:color w:val="FFFFFF"/>
                <w:sz w:val="20"/>
              </w:rPr>
              <w:t>Met</w:t>
            </w:r>
          </w:p>
        </w:tc>
      </w:tr>
      <w:tr w:rsidR="00EF2EF8" w:rsidRPr="00024484" w14:paraId="781DA4D1" w14:textId="77777777" w:rsidTr="00EF2EF8">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671C6DF4"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Northwest</w:t>
            </w:r>
          </w:p>
        </w:tc>
        <w:tc>
          <w:tcPr>
            <w:tcW w:w="1045" w:type="dxa"/>
            <w:tcBorders>
              <w:top w:val="single" w:sz="4" w:space="0" w:color="auto"/>
              <w:left w:val="double" w:sz="4" w:space="0" w:color="auto"/>
              <w:bottom w:val="single" w:sz="4" w:space="0" w:color="auto"/>
            </w:tcBorders>
            <w:shd w:val="clear" w:color="auto" w:fill="auto"/>
            <w:noWrap/>
            <w:vAlign w:val="bottom"/>
          </w:tcPr>
          <w:p w14:paraId="48B31816" w14:textId="3E04601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145</w:t>
            </w:r>
          </w:p>
        </w:tc>
        <w:tc>
          <w:tcPr>
            <w:tcW w:w="1150" w:type="dxa"/>
            <w:tcBorders>
              <w:top w:val="single" w:sz="4" w:space="0" w:color="auto"/>
              <w:bottom w:val="single" w:sz="4" w:space="0" w:color="auto"/>
            </w:tcBorders>
            <w:vAlign w:val="bottom"/>
          </w:tcPr>
          <w:p w14:paraId="19AFD3CB" w14:textId="4FE7CBBE"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2</w:t>
            </w:r>
            <w:r>
              <w:rPr>
                <w:rFonts w:asciiTheme="minorHAnsi" w:hAnsiTheme="minorHAnsi" w:cstheme="minorHAnsi"/>
                <w:sz w:val="20"/>
              </w:rPr>
              <w:t>,</w:t>
            </w:r>
            <w:r w:rsidRPr="00EF2EF8">
              <w:rPr>
                <w:rFonts w:asciiTheme="minorHAnsi" w:hAnsiTheme="minorHAnsi" w:cstheme="minorHAnsi"/>
                <w:sz w:val="20"/>
              </w:rPr>
              <w:t>468</w:t>
            </w:r>
          </w:p>
        </w:tc>
        <w:tc>
          <w:tcPr>
            <w:tcW w:w="1036" w:type="dxa"/>
            <w:tcBorders>
              <w:top w:val="single" w:sz="4" w:space="0" w:color="auto"/>
              <w:bottom w:val="single" w:sz="4" w:space="0" w:color="auto"/>
            </w:tcBorders>
            <w:shd w:val="clear" w:color="auto" w:fill="auto"/>
            <w:noWrap/>
            <w:vAlign w:val="bottom"/>
          </w:tcPr>
          <w:p w14:paraId="095CD762" w14:textId="799FA1CA"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90.3%</w:t>
            </w:r>
          </w:p>
        </w:tc>
        <w:tc>
          <w:tcPr>
            <w:tcW w:w="1120" w:type="dxa"/>
            <w:tcBorders>
              <w:top w:val="single" w:sz="4" w:space="0" w:color="auto"/>
              <w:bottom w:val="single" w:sz="4" w:space="0" w:color="auto"/>
              <w:right w:val="double" w:sz="4" w:space="0" w:color="auto"/>
            </w:tcBorders>
            <w:shd w:val="clear" w:color="auto" w:fill="auto"/>
            <w:noWrap/>
            <w:vAlign w:val="bottom"/>
          </w:tcPr>
          <w:p w14:paraId="49BF8CC3" w14:textId="42327758"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89.5%</w:t>
            </w:r>
          </w:p>
        </w:tc>
        <w:tc>
          <w:tcPr>
            <w:tcW w:w="1080" w:type="dxa"/>
            <w:gridSpan w:val="2"/>
            <w:tcBorders>
              <w:top w:val="single" w:sz="4" w:space="0" w:color="auto"/>
              <w:left w:val="double" w:sz="4" w:space="0" w:color="auto"/>
              <w:bottom w:val="single" w:sz="4" w:space="0" w:color="auto"/>
            </w:tcBorders>
            <w:shd w:val="clear" w:color="auto" w:fill="auto"/>
            <w:noWrap/>
            <w:vAlign w:val="bottom"/>
          </w:tcPr>
          <w:p w14:paraId="5487FD97" w14:textId="0E4268BC"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57 </w:t>
            </w:r>
          </w:p>
        </w:tc>
        <w:tc>
          <w:tcPr>
            <w:tcW w:w="1182" w:type="dxa"/>
            <w:tcBorders>
              <w:top w:val="single" w:sz="4" w:space="0" w:color="auto"/>
              <w:bottom w:val="single" w:sz="4" w:space="0" w:color="auto"/>
            </w:tcBorders>
            <w:vAlign w:val="bottom"/>
          </w:tcPr>
          <w:p w14:paraId="00186127" w14:textId="57F3975D"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1,569 </w:t>
            </w:r>
          </w:p>
        </w:tc>
        <w:tc>
          <w:tcPr>
            <w:tcW w:w="1260" w:type="dxa"/>
            <w:tcBorders>
              <w:top w:val="single" w:sz="4" w:space="0" w:color="auto"/>
              <w:bottom w:val="single" w:sz="4" w:space="0" w:color="auto"/>
            </w:tcBorders>
            <w:shd w:val="clear" w:color="auto" w:fill="auto"/>
            <w:noWrap/>
            <w:vAlign w:val="bottom"/>
          </w:tcPr>
          <w:p w14:paraId="4253B9BC" w14:textId="36D737D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98.8%</w:t>
            </w:r>
          </w:p>
        </w:tc>
        <w:tc>
          <w:tcPr>
            <w:tcW w:w="1170" w:type="dxa"/>
            <w:tcBorders>
              <w:top w:val="single" w:sz="4" w:space="0" w:color="auto"/>
              <w:bottom w:val="single" w:sz="4" w:space="0" w:color="auto"/>
              <w:right w:val="single" w:sz="8" w:space="0" w:color="auto"/>
            </w:tcBorders>
            <w:shd w:val="clear" w:color="auto" w:fill="auto"/>
            <w:noWrap/>
            <w:vAlign w:val="bottom"/>
          </w:tcPr>
          <w:p w14:paraId="21092D5A" w14:textId="2B8BC84F" w:rsidR="00EF2EF8" w:rsidRPr="00EF2EF8" w:rsidRDefault="00EF2EF8" w:rsidP="00EF2EF8">
            <w:pPr>
              <w:jc w:val="center"/>
              <w:rPr>
                <w:rFonts w:asciiTheme="minorHAnsi" w:hAnsiTheme="minorHAnsi" w:cstheme="minorHAnsi"/>
                <w:sz w:val="20"/>
                <w:szCs w:val="20"/>
                <w:highlight w:val="yellow"/>
              </w:rPr>
            </w:pPr>
            <w:r w:rsidRPr="00EF2EF8">
              <w:rPr>
                <w:rFonts w:asciiTheme="minorHAnsi" w:hAnsiTheme="minorHAnsi" w:cstheme="minorHAnsi"/>
                <w:sz w:val="20"/>
                <w:szCs w:val="20"/>
              </w:rPr>
              <w:t>98.7%</w:t>
            </w:r>
          </w:p>
        </w:tc>
      </w:tr>
      <w:tr w:rsidR="00EF2EF8" w:rsidRPr="00024484" w14:paraId="297862D2" w14:textId="77777777" w:rsidTr="00EF2EF8">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2448DEF0"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Northeast</w:t>
            </w:r>
          </w:p>
        </w:tc>
        <w:tc>
          <w:tcPr>
            <w:tcW w:w="1045" w:type="dxa"/>
            <w:tcBorders>
              <w:top w:val="single" w:sz="4" w:space="0" w:color="auto"/>
              <w:left w:val="double" w:sz="4" w:space="0" w:color="auto"/>
              <w:bottom w:val="single" w:sz="4" w:space="0" w:color="auto"/>
            </w:tcBorders>
            <w:shd w:val="clear" w:color="auto" w:fill="auto"/>
            <w:noWrap/>
            <w:vAlign w:val="bottom"/>
          </w:tcPr>
          <w:p w14:paraId="1A9D5E27" w14:textId="15CEB789"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378</w:t>
            </w:r>
          </w:p>
        </w:tc>
        <w:tc>
          <w:tcPr>
            <w:tcW w:w="1150" w:type="dxa"/>
            <w:tcBorders>
              <w:top w:val="single" w:sz="4" w:space="0" w:color="auto"/>
              <w:bottom w:val="single" w:sz="4" w:space="0" w:color="auto"/>
            </w:tcBorders>
            <w:vAlign w:val="bottom"/>
          </w:tcPr>
          <w:p w14:paraId="2231C427" w14:textId="7E78B29B"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6</w:t>
            </w:r>
            <w:r>
              <w:rPr>
                <w:rFonts w:asciiTheme="minorHAnsi" w:hAnsiTheme="minorHAnsi" w:cstheme="minorHAnsi"/>
                <w:sz w:val="20"/>
              </w:rPr>
              <w:t>,</w:t>
            </w:r>
            <w:r w:rsidRPr="00EF2EF8">
              <w:rPr>
                <w:rFonts w:asciiTheme="minorHAnsi" w:hAnsiTheme="minorHAnsi" w:cstheme="minorHAnsi"/>
                <w:sz w:val="20"/>
              </w:rPr>
              <w:t>145</w:t>
            </w:r>
          </w:p>
        </w:tc>
        <w:tc>
          <w:tcPr>
            <w:tcW w:w="1036" w:type="dxa"/>
            <w:tcBorders>
              <w:top w:val="single" w:sz="4" w:space="0" w:color="auto"/>
              <w:bottom w:val="single" w:sz="4" w:space="0" w:color="auto"/>
            </w:tcBorders>
            <w:shd w:val="clear" w:color="auto" w:fill="auto"/>
            <w:noWrap/>
            <w:vAlign w:val="bottom"/>
          </w:tcPr>
          <w:p w14:paraId="6A3ED8AB" w14:textId="5C3D9265"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93.1%</w:t>
            </w:r>
          </w:p>
        </w:tc>
        <w:tc>
          <w:tcPr>
            <w:tcW w:w="1120" w:type="dxa"/>
            <w:tcBorders>
              <w:top w:val="single" w:sz="4" w:space="0" w:color="auto"/>
              <w:bottom w:val="single" w:sz="4" w:space="0" w:color="auto"/>
              <w:right w:val="double" w:sz="4" w:space="0" w:color="auto"/>
            </w:tcBorders>
            <w:shd w:val="clear" w:color="auto" w:fill="auto"/>
            <w:noWrap/>
            <w:vAlign w:val="bottom"/>
          </w:tcPr>
          <w:p w14:paraId="080B036C" w14:textId="52862C7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92.9%</w:t>
            </w:r>
          </w:p>
        </w:tc>
        <w:tc>
          <w:tcPr>
            <w:tcW w:w="1080" w:type="dxa"/>
            <w:gridSpan w:val="2"/>
            <w:tcBorders>
              <w:top w:val="single" w:sz="4" w:space="0" w:color="auto"/>
              <w:left w:val="double" w:sz="4" w:space="0" w:color="auto"/>
              <w:bottom w:val="single" w:sz="4" w:space="0" w:color="auto"/>
            </w:tcBorders>
            <w:shd w:val="clear" w:color="auto" w:fill="auto"/>
            <w:noWrap/>
            <w:vAlign w:val="bottom"/>
          </w:tcPr>
          <w:p w14:paraId="298EFDE8" w14:textId="5A59D07D"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183 </w:t>
            </w:r>
          </w:p>
        </w:tc>
        <w:tc>
          <w:tcPr>
            <w:tcW w:w="1182" w:type="dxa"/>
            <w:tcBorders>
              <w:top w:val="single" w:sz="4" w:space="0" w:color="auto"/>
              <w:bottom w:val="single" w:sz="4" w:space="0" w:color="auto"/>
            </w:tcBorders>
            <w:vAlign w:val="bottom"/>
          </w:tcPr>
          <w:p w14:paraId="6DAF858B" w14:textId="7F77717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4,751 </w:t>
            </w:r>
          </w:p>
        </w:tc>
        <w:tc>
          <w:tcPr>
            <w:tcW w:w="1260" w:type="dxa"/>
            <w:tcBorders>
              <w:top w:val="single" w:sz="4" w:space="0" w:color="auto"/>
              <w:bottom w:val="single" w:sz="4" w:space="0" w:color="auto"/>
            </w:tcBorders>
            <w:shd w:val="clear" w:color="auto" w:fill="auto"/>
            <w:noWrap/>
            <w:vAlign w:val="bottom"/>
          </w:tcPr>
          <w:p w14:paraId="01A324A7" w14:textId="546462F8"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95.0%</w:t>
            </w:r>
          </w:p>
        </w:tc>
        <w:tc>
          <w:tcPr>
            <w:tcW w:w="1170" w:type="dxa"/>
            <w:tcBorders>
              <w:top w:val="single" w:sz="4" w:space="0" w:color="auto"/>
              <w:bottom w:val="single" w:sz="4" w:space="0" w:color="auto"/>
              <w:right w:val="single" w:sz="8" w:space="0" w:color="auto"/>
            </w:tcBorders>
            <w:shd w:val="clear" w:color="auto" w:fill="auto"/>
            <w:noWrap/>
            <w:vAlign w:val="bottom"/>
          </w:tcPr>
          <w:p w14:paraId="6AC1D795" w14:textId="34D5E385" w:rsidR="00EF2EF8" w:rsidRPr="00EF2EF8" w:rsidRDefault="00EF2EF8" w:rsidP="00EF2EF8">
            <w:pPr>
              <w:jc w:val="center"/>
              <w:rPr>
                <w:rFonts w:asciiTheme="minorHAnsi" w:hAnsiTheme="minorHAnsi" w:cstheme="minorHAnsi"/>
                <w:sz w:val="20"/>
                <w:szCs w:val="20"/>
                <w:highlight w:val="yellow"/>
              </w:rPr>
            </w:pPr>
            <w:r w:rsidRPr="00EF2EF8">
              <w:rPr>
                <w:rFonts w:asciiTheme="minorHAnsi" w:hAnsiTheme="minorHAnsi" w:cstheme="minorHAnsi"/>
                <w:sz w:val="20"/>
                <w:szCs w:val="20"/>
              </w:rPr>
              <w:t>94.8%</w:t>
            </w:r>
          </w:p>
        </w:tc>
      </w:tr>
      <w:tr w:rsidR="00EF2EF8" w:rsidRPr="00024484" w14:paraId="6A0CC869" w14:textId="77777777" w:rsidTr="00EF2EF8">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0A73E29E"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Central</w:t>
            </w:r>
          </w:p>
        </w:tc>
        <w:tc>
          <w:tcPr>
            <w:tcW w:w="1045" w:type="dxa"/>
            <w:tcBorders>
              <w:top w:val="single" w:sz="4" w:space="0" w:color="auto"/>
              <w:left w:val="double" w:sz="4" w:space="0" w:color="auto"/>
              <w:bottom w:val="single" w:sz="4" w:space="0" w:color="auto"/>
            </w:tcBorders>
            <w:shd w:val="clear" w:color="auto" w:fill="auto"/>
            <w:noWrap/>
            <w:vAlign w:val="bottom"/>
          </w:tcPr>
          <w:p w14:paraId="1AC97016" w14:textId="2967AB2A"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649</w:t>
            </w:r>
          </w:p>
        </w:tc>
        <w:tc>
          <w:tcPr>
            <w:tcW w:w="1150" w:type="dxa"/>
            <w:tcBorders>
              <w:top w:val="single" w:sz="4" w:space="0" w:color="auto"/>
              <w:bottom w:val="single" w:sz="4" w:space="0" w:color="auto"/>
            </w:tcBorders>
            <w:vAlign w:val="bottom"/>
          </w:tcPr>
          <w:p w14:paraId="3CDDC7AC" w14:textId="512DDC60"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10</w:t>
            </w:r>
            <w:r>
              <w:rPr>
                <w:rFonts w:asciiTheme="minorHAnsi" w:hAnsiTheme="minorHAnsi" w:cstheme="minorHAnsi"/>
                <w:sz w:val="20"/>
              </w:rPr>
              <w:t>,</w:t>
            </w:r>
            <w:r w:rsidRPr="00EF2EF8">
              <w:rPr>
                <w:rFonts w:asciiTheme="minorHAnsi" w:hAnsiTheme="minorHAnsi" w:cstheme="minorHAnsi"/>
                <w:sz w:val="20"/>
              </w:rPr>
              <w:t>711</w:t>
            </w:r>
          </w:p>
        </w:tc>
        <w:tc>
          <w:tcPr>
            <w:tcW w:w="1036" w:type="dxa"/>
            <w:tcBorders>
              <w:top w:val="single" w:sz="4" w:space="0" w:color="auto"/>
              <w:bottom w:val="single" w:sz="4" w:space="0" w:color="auto"/>
            </w:tcBorders>
            <w:shd w:val="clear" w:color="auto" w:fill="auto"/>
            <w:noWrap/>
            <w:vAlign w:val="bottom"/>
          </w:tcPr>
          <w:p w14:paraId="2341D67F" w14:textId="6C620F3B"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93.0%</w:t>
            </w:r>
          </w:p>
        </w:tc>
        <w:tc>
          <w:tcPr>
            <w:tcW w:w="1120" w:type="dxa"/>
            <w:tcBorders>
              <w:top w:val="single" w:sz="4" w:space="0" w:color="auto"/>
              <w:bottom w:val="single" w:sz="4" w:space="0" w:color="auto"/>
              <w:right w:val="double" w:sz="4" w:space="0" w:color="auto"/>
            </w:tcBorders>
            <w:shd w:val="clear" w:color="auto" w:fill="auto"/>
            <w:noWrap/>
            <w:vAlign w:val="bottom"/>
          </w:tcPr>
          <w:p w14:paraId="2FCE84C7" w14:textId="5E88D6EC"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92.9%</w:t>
            </w:r>
          </w:p>
        </w:tc>
        <w:tc>
          <w:tcPr>
            <w:tcW w:w="1080" w:type="dxa"/>
            <w:gridSpan w:val="2"/>
            <w:tcBorders>
              <w:top w:val="single" w:sz="4" w:space="0" w:color="auto"/>
              <w:left w:val="double" w:sz="4" w:space="0" w:color="auto"/>
              <w:bottom w:val="single" w:sz="4" w:space="0" w:color="auto"/>
            </w:tcBorders>
            <w:shd w:val="clear" w:color="auto" w:fill="auto"/>
            <w:noWrap/>
            <w:vAlign w:val="bottom"/>
          </w:tcPr>
          <w:p w14:paraId="20C89A71" w14:textId="17DE161A"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152 </w:t>
            </w:r>
          </w:p>
        </w:tc>
        <w:tc>
          <w:tcPr>
            <w:tcW w:w="1182" w:type="dxa"/>
            <w:tcBorders>
              <w:top w:val="single" w:sz="4" w:space="0" w:color="auto"/>
              <w:bottom w:val="single" w:sz="4" w:space="0" w:color="auto"/>
            </w:tcBorders>
            <w:vAlign w:val="bottom"/>
          </w:tcPr>
          <w:p w14:paraId="4AD993DA" w14:textId="466F9B64"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3,909 </w:t>
            </w:r>
          </w:p>
        </w:tc>
        <w:tc>
          <w:tcPr>
            <w:tcW w:w="1260" w:type="dxa"/>
            <w:tcBorders>
              <w:top w:val="single" w:sz="4" w:space="0" w:color="auto"/>
              <w:bottom w:val="single" w:sz="4" w:space="0" w:color="auto"/>
            </w:tcBorders>
            <w:shd w:val="clear" w:color="auto" w:fill="auto"/>
            <w:noWrap/>
            <w:vAlign w:val="bottom"/>
          </w:tcPr>
          <w:p w14:paraId="1809F1E2" w14:textId="694005BB"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94.8%</w:t>
            </w:r>
          </w:p>
        </w:tc>
        <w:tc>
          <w:tcPr>
            <w:tcW w:w="1170" w:type="dxa"/>
            <w:tcBorders>
              <w:top w:val="single" w:sz="4" w:space="0" w:color="auto"/>
              <w:bottom w:val="single" w:sz="4" w:space="0" w:color="auto"/>
              <w:right w:val="single" w:sz="8" w:space="0" w:color="auto"/>
            </w:tcBorders>
            <w:shd w:val="clear" w:color="auto" w:fill="auto"/>
            <w:noWrap/>
            <w:vAlign w:val="bottom"/>
          </w:tcPr>
          <w:p w14:paraId="50911CDA" w14:textId="1126E1C3" w:rsidR="00EF2EF8" w:rsidRPr="00EF2EF8" w:rsidRDefault="00EF2EF8" w:rsidP="00EF2EF8">
            <w:pPr>
              <w:jc w:val="center"/>
              <w:rPr>
                <w:rFonts w:asciiTheme="minorHAnsi" w:hAnsiTheme="minorHAnsi" w:cstheme="minorHAnsi"/>
                <w:sz w:val="20"/>
                <w:szCs w:val="20"/>
                <w:highlight w:val="yellow"/>
              </w:rPr>
            </w:pPr>
            <w:r w:rsidRPr="00EF2EF8">
              <w:rPr>
                <w:rFonts w:asciiTheme="minorHAnsi" w:hAnsiTheme="minorHAnsi" w:cstheme="minorHAnsi"/>
                <w:sz w:val="20"/>
                <w:szCs w:val="20"/>
              </w:rPr>
              <w:t>94.6%</w:t>
            </w:r>
          </w:p>
        </w:tc>
      </w:tr>
      <w:tr w:rsidR="00EF2EF8" w:rsidRPr="00024484" w14:paraId="3ACFEC72" w14:textId="77777777" w:rsidTr="00EF2EF8">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07714F98"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Suncoast</w:t>
            </w:r>
          </w:p>
        </w:tc>
        <w:tc>
          <w:tcPr>
            <w:tcW w:w="1045" w:type="dxa"/>
            <w:tcBorders>
              <w:top w:val="single" w:sz="4" w:space="0" w:color="auto"/>
              <w:left w:val="double" w:sz="4" w:space="0" w:color="auto"/>
              <w:bottom w:val="single" w:sz="4" w:space="0" w:color="auto"/>
            </w:tcBorders>
            <w:shd w:val="clear" w:color="auto" w:fill="auto"/>
            <w:noWrap/>
            <w:vAlign w:val="bottom"/>
          </w:tcPr>
          <w:p w14:paraId="21073FD4" w14:textId="67FC5234"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889</w:t>
            </w:r>
          </w:p>
        </w:tc>
        <w:tc>
          <w:tcPr>
            <w:tcW w:w="1150" w:type="dxa"/>
            <w:tcBorders>
              <w:top w:val="single" w:sz="4" w:space="0" w:color="auto"/>
              <w:bottom w:val="single" w:sz="4" w:space="0" w:color="auto"/>
            </w:tcBorders>
            <w:vAlign w:val="bottom"/>
          </w:tcPr>
          <w:p w14:paraId="2E28780A" w14:textId="1AE593B2"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14</w:t>
            </w:r>
            <w:r>
              <w:rPr>
                <w:rFonts w:asciiTheme="minorHAnsi" w:hAnsiTheme="minorHAnsi" w:cstheme="minorHAnsi"/>
                <w:sz w:val="20"/>
              </w:rPr>
              <w:t>,</w:t>
            </w:r>
            <w:r w:rsidRPr="00EF2EF8">
              <w:rPr>
                <w:rFonts w:asciiTheme="minorHAnsi" w:hAnsiTheme="minorHAnsi" w:cstheme="minorHAnsi"/>
                <w:sz w:val="20"/>
              </w:rPr>
              <w:t>844</w:t>
            </w:r>
          </w:p>
        </w:tc>
        <w:tc>
          <w:tcPr>
            <w:tcW w:w="1036" w:type="dxa"/>
            <w:tcBorders>
              <w:top w:val="single" w:sz="4" w:space="0" w:color="auto"/>
              <w:bottom w:val="single" w:sz="4" w:space="0" w:color="auto"/>
            </w:tcBorders>
            <w:shd w:val="clear" w:color="auto" w:fill="auto"/>
            <w:noWrap/>
            <w:vAlign w:val="bottom"/>
          </w:tcPr>
          <w:p w14:paraId="6191F12C" w14:textId="5A40D850"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88.4%</w:t>
            </w:r>
          </w:p>
        </w:tc>
        <w:tc>
          <w:tcPr>
            <w:tcW w:w="1120" w:type="dxa"/>
            <w:tcBorders>
              <w:top w:val="single" w:sz="4" w:space="0" w:color="auto"/>
              <w:bottom w:val="single" w:sz="4" w:space="0" w:color="auto"/>
              <w:right w:val="double" w:sz="4" w:space="0" w:color="auto"/>
            </w:tcBorders>
            <w:shd w:val="clear" w:color="auto" w:fill="auto"/>
            <w:noWrap/>
            <w:vAlign w:val="bottom"/>
          </w:tcPr>
          <w:p w14:paraId="36DE0126" w14:textId="101EC75B"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87.9%</w:t>
            </w:r>
          </w:p>
        </w:tc>
        <w:tc>
          <w:tcPr>
            <w:tcW w:w="1080" w:type="dxa"/>
            <w:gridSpan w:val="2"/>
            <w:tcBorders>
              <w:top w:val="single" w:sz="4" w:space="0" w:color="auto"/>
              <w:left w:val="double" w:sz="4" w:space="0" w:color="auto"/>
              <w:bottom w:val="single" w:sz="4" w:space="0" w:color="auto"/>
            </w:tcBorders>
            <w:shd w:val="clear" w:color="auto" w:fill="auto"/>
            <w:noWrap/>
            <w:vAlign w:val="bottom"/>
          </w:tcPr>
          <w:p w14:paraId="7DDED250" w14:textId="05BABE05"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198 </w:t>
            </w:r>
          </w:p>
        </w:tc>
        <w:tc>
          <w:tcPr>
            <w:tcW w:w="1182" w:type="dxa"/>
            <w:tcBorders>
              <w:top w:val="single" w:sz="4" w:space="0" w:color="auto"/>
              <w:bottom w:val="single" w:sz="4" w:space="0" w:color="auto"/>
            </w:tcBorders>
            <w:vAlign w:val="bottom"/>
          </w:tcPr>
          <w:p w14:paraId="68373A26" w14:textId="6DBBD786"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5,210 </w:t>
            </w:r>
          </w:p>
        </w:tc>
        <w:tc>
          <w:tcPr>
            <w:tcW w:w="1260" w:type="dxa"/>
            <w:tcBorders>
              <w:top w:val="single" w:sz="4" w:space="0" w:color="auto"/>
              <w:bottom w:val="single" w:sz="4" w:space="0" w:color="auto"/>
            </w:tcBorders>
            <w:shd w:val="clear" w:color="auto" w:fill="auto"/>
            <w:noWrap/>
            <w:vAlign w:val="bottom"/>
          </w:tcPr>
          <w:p w14:paraId="29BEC402" w14:textId="2FA4847A"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94.0%</w:t>
            </w:r>
          </w:p>
        </w:tc>
        <w:tc>
          <w:tcPr>
            <w:tcW w:w="1170" w:type="dxa"/>
            <w:tcBorders>
              <w:top w:val="single" w:sz="4" w:space="0" w:color="auto"/>
              <w:bottom w:val="single" w:sz="4" w:space="0" w:color="auto"/>
              <w:right w:val="single" w:sz="8" w:space="0" w:color="auto"/>
            </w:tcBorders>
            <w:shd w:val="clear" w:color="auto" w:fill="auto"/>
            <w:noWrap/>
            <w:vAlign w:val="bottom"/>
          </w:tcPr>
          <w:p w14:paraId="16725267" w14:textId="40CAEE63"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93.9%</w:t>
            </w:r>
          </w:p>
        </w:tc>
      </w:tr>
      <w:tr w:rsidR="00EF2EF8" w:rsidRPr="00024484" w14:paraId="4CD90DEE" w14:textId="77777777" w:rsidTr="00EF2EF8">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55AE9FA3"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Southeast</w:t>
            </w:r>
          </w:p>
        </w:tc>
        <w:tc>
          <w:tcPr>
            <w:tcW w:w="1045" w:type="dxa"/>
            <w:tcBorders>
              <w:top w:val="single" w:sz="4" w:space="0" w:color="auto"/>
              <w:left w:val="double" w:sz="4" w:space="0" w:color="auto"/>
              <w:bottom w:val="single" w:sz="4" w:space="0" w:color="auto"/>
            </w:tcBorders>
            <w:shd w:val="clear" w:color="auto" w:fill="auto"/>
            <w:noWrap/>
            <w:vAlign w:val="bottom"/>
          </w:tcPr>
          <w:p w14:paraId="272F2255" w14:textId="1E928301"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419</w:t>
            </w:r>
          </w:p>
        </w:tc>
        <w:tc>
          <w:tcPr>
            <w:tcW w:w="1150" w:type="dxa"/>
            <w:tcBorders>
              <w:top w:val="single" w:sz="4" w:space="0" w:color="auto"/>
              <w:bottom w:val="single" w:sz="4" w:space="0" w:color="auto"/>
            </w:tcBorders>
            <w:vAlign w:val="bottom"/>
          </w:tcPr>
          <w:p w14:paraId="5644E2DB" w14:textId="7A9E65C6"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65</w:t>
            </w:r>
            <w:r>
              <w:rPr>
                <w:rFonts w:asciiTheme="minorHAnsi" w:hAnsiTheme="minorHAnsi" w:cstheme="minorHAnsi"/>
                <w:sz w:val="20"/>
              </w:rPr>
              <w:t>,</w:t>
            </w:r>
            <w:r w:rsidRPr="00EF2EF8">
              <w:rPr>
                <w:rFonts w:asciiTheme="minorHAnsi" w:hAnsiTheme="minorHAnsi" w:cstheme="minorHAnsi"/>
                <w:sz w:val="20"/>
              </w:rPr>
              <w:t>81</w:t>
            </w:r>
          </w:p>
        </w:tc>
        <w:tc>
          <w:tcPr>
            <w:tcW w:w="1036" w:type="dxa"/>
            <w:tcBorders>
              <w:top w:val="single" w:sz="4" w:space="0" w:color="auto"/>
              <w:bottom w:val="single" w:sz="4" w:space="0" w:color="auto"/>
            </w:tcBorders>
            <w:shd w:val="clear" w:color="auto" w:fill="auto"/>
            <w:noWrap/>
            <w:vAlign w:val="bottom"/>
          </w:tcPr>
          <w:p w14:paraId="2BBFCC71" w14:textId="08325BE5"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95.0%</w:t>
            </w:r>
          </w:p>
        </w:tc>
        <w:tc>
          <w:tcPr>
            <w:tcW w:w="1120" w:type="dxa"/>
            <w:tcBorders>
              <w:top w:val="single" w:sz="4" w:space="0" w:color="auto"/>
              <w:bottom w:val="single" w:sz="4" w:space="0" w:color="auto"/>
              <w:right w:val="double" w:sz="4" w:space="0" w:color="auto"/>
            </w:tcBorders>
            <w:shd w:val="clear" w:color="auto" w:fill="auto"/>
            <w:noWrap/>
            <w:vAlign w:val="bottom"/>
          </w:tcPr>
          <w:p w14:paraId="7812DF91" w14:textId="38A27E63"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95.1%</w:t>
            </w:r>
          </w:p>
        </w:tc>
        <w:tc>
          <w:tcPr>
            <w:tcW w:w="1080" w:type="dxa"/>
            <w:gridSpan w:val="2"/>
            <w:tcBorders>
              <w:top w:val="single" w:sz="4" w:space="0" w:color="auto"/>
              <w:left w:val="double" w:sz="4" w:space="0" w:color="auto"/>
              <w:bottom w:val="single" w:sz="4" w:space="0" w:color="auto"/>
            </w:tcBorders>
            <w:shd w:val="clear" w:color="auto" w:fill="auto"/>
            <w:noWrap/>
            <w:vAlign w:val="bottom"/>
          </w:tcPr>
          <w:p w14:paraId="0717B9B0" w14:textId="0F1FD658"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277 </w:t>
            </w:r>
          </w:p>
        </w:tc>
        <w:tc>
          <w:tcPr>
            <w:tcW w:w="1182" w:type="dxa"/>
            <w:tcBorders>
              <w:top w:val="single" w:sz="4" w:space="0" w:color="auto"/>
              <w:bottom w:val="single" w:sz="4" w:space="0" w:color="auto"/>
            </w:tcBorders>
            <w:vAlign w:val="bottom"/>
          </w:tcPr>
          <w:p w14:paraId="343B39BA" w14:textId="1C81B860"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7,133 </w:t>
            </w:r>
          </w:p>
        </w:tc>
        <w:tc>
          <w:tcPr>
            <w:tcW w:w="1260" w:type="dxa"/>
            <w:tcBorders>
              <w:top w:val="single" w:sz="4" w:space="0" w:color="auto"/>
              <w:bottom w:val="single" w:sz="4" w:space="0" w:color="auto"/>
            </w:tcBorders>
            <w:shd w:val="clear" w:color="auto" w:fill="auto"/>
            <w:noWrap/>
            <w:vAlign w:val="bottom"/>
          </w:tcPr>
          <w:p w14:paraId="5F227587" w14:textId="6D10FFF2"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96.6%</w:t>
            </w:r>
          </w:p>
        </w:tc>
        <w:tc>
          <w:tcPr>
            <w:tcW w:w="1170" w:type="dxa"/>
            <w:tcBorders>
              <w:top w:val="single" w:sz="4" w:space="0" w:color="auto"/>
              <w:bottom w:val="single" w:sz="4" w:space="0" w:color="auto"/>
              <w:right w:val="single" w:sz="8" w:space="0" w:color="auto"/>
            </w:tcBorders>
            <w:shd w:val="clear" w:color="auto" w:fill="auto"/>
            <w:noWrap/>
            <w:vAlign w:val="bottom"/>
          </w:tcPr>
          <w:p w14:paraId="48039788" w14:textId="5167B6B7"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97.0%</w:t>
            </w:r>
          </w:p>
        </w:tc>
      </w:tr>
      <w:tr w:rsidR="00EF2EF8" w:rsidRPr="00024484" w14:paraId="2C046027" w14:textId="77777777" w:rsidTr="00EF2EF8">
        <w:trPr>
          <w:trHeight w:val="288"/>
        </w:trPr>
        <w:tc>
          <w:tcPr>
            <w:tcW w:w="1139" w:type="dxa"/>
            <w:tcBorders>
              <w:top w:val="single" w:sz="4" w:space="0" w:color="auto"/>
              <w:left w:val="single" w:sz="8" w:space="0" w:color="auto"/>
              <w:bottom w:val="double" w:sz="6" w:space="0" w:color="auto"/>
              <w:right w:val="double" w:sz="4" w:space="0" w:color="auto"/>
            </w:tcBorders>
            <w:shd w:val="clear" w:color="auto" w:fill="auto"/>
            <w:noWrap/>
            <w:vAlign w:val="bottom"/>
            <w:hideMark/>
          </w:tcPr>
          <w:p w14:paraId="3DF82EEA" w14:textId="77777777" w:rsidR="00EF2EF8" w:rsidRPr="00F50AB9" w:rsidRDefault="00EF2EF8" w:rsidP="00EF2EF8">
            <w:pPr>
              <w:spacing w:line="240" w:lineRule="auto"/>
              <w:rPr>
                <w:rFonts w:asciiTheme="minorHAnsi" w:eastAsia="Times New Roman" w:hAnsiTheme="minorHAnsi" w:cstheme="minorHAnsi"/>
                <w:color w:val="000000"/>
                <w:sz w:val="20"/>
                <w:szCs w:val="20"/>
              </w:rPr>
            </w:pPr>
            <w:r w:rsidRPr="00F50AB9">
              <w:rPr>
                <w:rFonts w:asciiTheme="minorHAnsi" w:eastAsia="Times New Roman" w:hAnsiTheme="minorHAnsi" w:cstheme="minorHAnsi"/>
                <w:color w:val="000000"/>
                <w:sz w:val="20"/>
                <w:szCs w:val="20"/>
              </w:rPr>
              <w:t>Southern</w:t>
            </w:r>
          </w:p>
        </w:tc>
        <w:tc>
          <w:tcPr>
            <w:tcW w:w="1045" w:type="dxa"/>
            <w:tcBorders>
              <w:top w:val="single" w:sz="4" w:space="0" w:color="auto"/>
              <w:left w:val="double" w:sz="4" w:space="0" w:color="auto"/>
              <w:bottom w:val="double" w:sz="4" w:space="0" w:color="auto"/>
            </w:tcBorders>
            <w:shd w:val="clear" w:color="auto" w:fill="auto"/>
            <w:noWrap/>
            <w:vAlign w:val="bottom"/>
          </w:tcPr>
          <w:p w14:paraId="752C9D79" w14:textId="40D62DE1"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486</w:t>
            </w:r>
          </w:p>
        </w:tc>
        <w:tc>
          <w:tcPr>
            <w:tcW w:w="1150" w:type="dxa"/>
            <w:tcBorders>
              <w:top w:val="single" w:sz="4" w:space="0" w:color="auto"/>
              <w:bottom w:val="double" w:sz="4" w:space="0" w:color="auto"/>
            </w:tcBorders>
            <w:vAlign w:val="bottom"/>
          </w:tcPr>
          <w:p w14:paraId="4BA21C53" w14:textId="62AA5062"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78</w:t>
            </w:r>
            <w:r>
              <w:rPr>
                <w:rFonts w:asciiTheme="minorHAnsi" w:hAnsiTheme="minorHAnsi" w:cstheme="minorHAnsi"/>
                <w:sz w:val="20"/>
              </w:rPr>
              <w:t>,</w:t>
            </w:r>
            <w:r w:rsidRPr="00EF2EF8">
              <w:rPr>
                <w:rFonts w:asciiTheme="minorHAnsi" w:hAnsiTheme="minorHAnsi" w:cstheme="minorHAnsi"/>
                <w:sz w:val="20"/>
              </w:rPr>
              <w:t>38</w:t>
            </w:r>
          </w:p>
        </w:tc>
        <w:tc>
          <w:tcPr>
            <w:tcW w:w="1036" w:type="dxa"/>
            <w:tcBorders>
              <w:top w:val="single" w:sz="4" w:space="0" w:color="auto"/>
              <w:bottom w:val="double" w:sz="4" w:space="0" w:color="auto"/>
            </w:tcBorders>
            <w:shd w:val="clear" w:color="auto" w:fill="auto"/>
            <w:noWrap/>
            <w:vAlign w:val="bottom"/>
          </w:tcPr>
          <w:p w14:paraId="25256F40" w14:textId="7726BD51"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95.1%</w:t>
            </w:r>
          </w:p>
        </w:tc>
        <w:tc>
          <w:tcPr>
            <w:tcW w:w="1120" w:type="dxa"/>
            <w:tcBorders>
              <w:top w:val="single" w:sz="4" w:space="0" w:color="auto"/>
              <w:bottom w:val="double" w:sz="4" w:space="0" w:color="auto"/>
              <w:right w:val="double" w:sz="4" w:space="0" w:color="auto"/>
            </w:tcBorders>
            <w:shd w:val="clear" w:color="auto" w:fill="auto"/>
            <w:noWrap/>
            <w:vAlign w:val="bottom"/>
          </w:tcPr>
          <w:p w14:paraId="2829AE96" w14:textId="00DAB0F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rPr>
              <w:t>94.4%</w:t>
            </w:r>
          </w:p>
        </w:tc>
        <w:tc>
          <w:tcPr>
            <w:tcW w:w="1080" w:type="dxa"/>
            <w:gridSpan w:val="2"/>
            <w:tcBorders>
              <w:top w:val="single" w:sz="4" w:space="0" w:color="auto"/>
              <w:left w:val="double" w:sz="4" w:space="0" w:color="auto"/>
              <w:bottom w:val="double" w:sz="4" w:space="0" w:color="auto"/>
            </w:tcBorders>
            <w:shd w:val="clear" w:color="auto" w:fill="auto"/>
            <w:noWrap/>
            <w:vAlign w:val="bottom"/>
          </w:tcPr>
          <w:p w14:paraId="621B7D24" w14:textId="5488175B"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131 </w:t>
            </w:r>
          </w:p>
        </w:tc>
        <w:tc>
          <w:tcPr>
            <w:tcW w:w="1182" w:type="dxa"/>
            <w:tcBorders>
              <w:top w:val="single" w:sz="4" w:space="0" w:color="auto"/>
              <w:bottom w:val="double" w:sz="4" w:space="0" w:color="auto"/>
            </w:tcBorders>
            <w:vAlign w:val="bottom"/>
          </w:tcPr>
          <w:p w14:paraId="539CC750" w14:textId="677C6926"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 xml:space="preserve"> 3,273 </w:t>
            </w:r>
          </w:p>
        </w:tc>
        <w:tc>
          <w:tcPr>
            <w:tcW w:w="1260" w:type="dxa"/>
            <w:tcBorders>
              <w:top w:val="single" w:sz="4" w:space="0" w:color="auto"/>
              <w:bottom w:val="double" w:sz="4" w:space="0" w:color="auto"/>
            </w:tcBorders>
            <w:shd w:val="clear" w:color="auto" w:fill="auto"/>
            <w:noWrap/>
            <w:vAlign w:val="bottom"/>
          </w:tcPr>
          <w:p w14:paraId="40971DDB" w14:textId="387420A2"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98.5%</w:t>
            </w:r>
          </w:p>
        </w:tc>
        <w:tc>
          <w:tcPr>
            <w:tcW w:w="1170" w:type="dxa"/>
            <w:tcBorders>
              <w:top w:val="single" w:sz="4" w:space="0" w:color="auto"/>
              <w:bottom w:val="double" w:sz="4" w:space="0" w:color="auto"/>
              <w:right w:val="single" w:sz="8" w:space="0" w:color="auto"/>
            </w:tcBorders>
            <w:shd w:val="clear" w:color="auto" w:fill="auto"/>
            <w:noWrap/>
            <w:vAlign w:val="bottom"/>
          </w:tcPr>
          <w:p w14:paraId="00613394" w14:textId="3C65875F" w:rsidR="00EF2EF8" w:rsidRPr="00EF2EF8" w:rsidRDefault="00EF2EF8" w:rsidP="00EF2EF8">
            <w:pPr>
              <w:jc w:val="center"/>
              <w:rPr>
                <w:rFonts w:asciiTheme="minorHAnsi" w:hAnsiTheme="minorHAnsi" w:cstheme="minorHAnsi"/>
                <w:sz w:val="20"/>
                <w:szCs w:val="20"/>
              </w:rPr>
            </w:pPr>
            <w:r w:rsidRPr="00EF2EF8">
              <w:rPr>
                <w:rFonts w:asciiTheme="minorHAnsi" w:hAnsiTheme="minorHAnsi" w:cstheme="minorHAnsi"/>
                <w:sz w:val="20"/>
                <w:szCs w:val="20"/>
              </w:rPr>
              <w:t>98.4%</w:t>
            </w:r>
          </w:p>
        </w:tc>
      </w:tr>
      <w:tr w:rsidR="00EF2EF8" w:rsidRPr="00024484" w14:paraId="0C37BE4B" w14:textId="77777777" w:rsidTr="00EF2EF8">
        <w:trPr>
          <w:trHeight w:val="288"/>
        </w:trPr>
        <w:tc>
          <w:tcPr>
            <w:tcW w:w="1139" w:type="dxa"/>
            <w:tcBorders>
              <w:top w:val="nil"/>
              <w:left w:val="single" w:sz="8" w:space="0" w:color="auto"/>
              <w:bottom w:val="single" w:sz="8" w:space="0" w:color="auto"/>
              <w:right w:val="double" w:sz="4" w:space="0" w:color="auto"/>
            </w:tcBorders>
            <w:shd w:val="clear" w:color="auto" w:fill="auto"/>
            <w:noWrap/>
            <w:vAlign w:val="bottom"/>
            <w:hideMark/>
          </w:tcPr>
          <w:p w14:paraId="3EE9722A" w14:textId="77777777" w:rsidR="00EF2EF8" w:rsidRPr="004E05BC" w:rsidRDefault="00EF2EF8" w:rsidP="00EF2EF8">
            <w:pPr>
              <w:spacing w:line="240" w:lineRule="auto"/>
              <w:rPr>
                <w:rFonts w:asciiTheme="minorHAnsi" w:eastAsia="Times New Roman" w:hAnsiTheme="minorHAnsi" w:cstheme="minorHAnsi"/>
                <w:b/>
                <w:color w:val="000000"/>
                <w:sz w:val="20"/>
                <w:szCs w:val="20"/>
              </w:rPr>
            </w:pPr>
            <w:r w:rsidRPr="004E05BC">
              <w:rPr>
                <w:rFonts w:asciiTheme="minorHAnsi" w:eastAsia="Times New Roman" w:hAnsiTheme="minorHAnsi" w:cstheme="minorHAnsi"/>
                <w:b/>
                <w:color w:val="000000"/>
                <w:sz w:val="20"/>
                <w:szCs w:val="20"/>
              </w:rPr>
              <w:t>State</w:t>
            </w:r>
          </w:p>
        </w:tc>
        <w:tc>
          <w:tcPr>
            <w:tcW w:w="1045" w:type="dxa"/>
            <w:tcBorders>
              <w:top w:val="double" w:sz="4" w:space="0" w:color="auto"/>
              <w:left w:val="double" w:sz="4" w:space="0" w:color="auto"/>
              <w:bottom w:val="single" w:sz="8" w:space="0" w:color="auto"/>
            </w:tcBorders>
            <w:shd w:val="clear" w:color="auto" w:fill="auto"/>
            <w:noWrap/>
            <w:vAlign w:val="bottom"/>
          </w:tcPr>
          <w:p w14:paraId="1CCD8DC0" w14:textId="7F96FA31"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rPr>
              <w:t>2,966</w:t>
            </w:r>
          </w:p>
        </w:tc>
        <w:tc>
          <w:tcPr>
            <w:tcW w:w="1150" w:type="dxa"/>
            <w:tcBorders>
              <w:top w:val="double" w:sz="4" w:space="0" w:color="auto"/>
              <w:bottom w:val="single" w:sz="8" w:space="0" w:color="auto"/>
            </w:tcBorders>
            <w:vAlign w:val="bottom"/>
          </w:tcPr>
          <w:p w14:paraId="14C3C616" w14:textId="0615440E"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rPr>
              <w:t>48,587</w:t>
            </w:r>
          </w:p>
        </w:tc>
        <w:tc>
          <w:tcPr>
            <w:tcW w:w="1036" w:type="dxa"/>
            <w:tcBorders>
              <w:top w:val="double" w:sz="4" w:space="0" w:color="auto"/>
              <w:bottom w:val="single" w:sz="8" w:space="0" w:color="auto"/>
            </w:tcBorders>
            <w:shd w:val="clear" w:color="auto" w:fill="auto"/>
            <w:noWrap/>
            <w:vAlign w:val="bottom"/>
          </w:tcPr>
          <w:p w14:paraId="3592EA79" w14:textId="56F93EFE"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rPr>
              <w:t>92.1%</w:t>
            </w:r>
          </w:p>
        </w:tc>
        <w:tc>
          <w:tcPr>
            <w:tcW w:w="1120" w:type="dxa"/>
            <w:tcBorders>
              <w:top w:val="double" w:sz="4" w:space="0" w:color="auto"/>
              <w:bottom w:val="single" w:sz="8" w:space="0" w:color="auto"/>
              <w:right w:val="double" w:sz="4" w:space="0" w:color="auto"/>
            </w:tcBorders>
            <w:shd w:val="clear" w:color="auto" w:fill="auto"/>
            <w:noWrap/>
            <w:vAlign w:val="bottom"/>
          </w:tcPr>
          <w:p w14:paraId="6039EB70" w14:textId="7866B96F" w:rsidR="00EF2EF8" w:rsidRPr="00EF2EF8" w:rsidRDefault="00EF2EF8" w:rsidP="00EF2EF8">
            <w:pPr>
              <w:spacing w:line="240" w:lineRule="auto"/>
              <w:jc w:val="center"/>
              <w:rPr>
                <w:rFonts w:asciiTheme="minorHAnsi" w:hAnsiTheme="minorHAnsi" w:cstheme="minorHAnsi"/>
                <w:b/>
                <w:sz w:val="20"/>
                <w:szCs w:val="20"/>
              </w:rPr>
            </w:pPr>
            <w:r w:rsidRPr="00EF2EF8">
              <w:rPr>
                <w:rFonts w:asciiTheme="minorHAnsi" w:hAnsiTheme="minorHAnsi" w:cstheme="minorHAnsi"/>
                <w:b/>
                <w:sz w:val="20"/>
              </w:rPr>
              <w:t>91.7%</w:t>
            </w:r>
          </w:p>
        </w:tc>
        <w:tc>
          <w:tcPr>
            <w:tcW w:w="1080" w:type="dxa"/>
            <w:gridSpan w:val="2"/>
            <w:tcBorders>
              <w:top w:val="double" w:sz="4" w:space="0" w:color="auto"/>
              <w:left w:val="double" w:sz="4" w:space="0" w:color="auto"/>
              <w:bottom w:val="single" w:sz="8" w:space="0" w:color="auto"/>
            </w:tcBorders>
            <w:shd w:val="clear" w:color="auto" w:fill="auto"/>
            <w:noWrap/>
            <w:vAlign w:val="bottom"/>
          </w:tcPr>
          <w:p w14:paraId="290A0C78" w14:textId="6302C49D"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szCs w:val="20"/>
              </w:rPr>
              <w:t xml:space="preserve"> 998 </w:t>
            </w:r>
          </w:p>
        </w:tc>
        <w:tc>
          <w:tcPr>
            <w:tcW w:w="1182" w:type="dxa"/>
            <w:tcBorders>
              <w:top w:val="double" w:sz="4" w:space="0" w:color="auto"/>
              <w:bottom w:val="single" w:sz="8" w:space="0" w:color="auto"/>
            </w:tcBorders>
            <w:vAlign w:val="bottom"/>
          </w:tcPr>
          <w:p w14:paraId="018D16D6" w14:textId="28409BDB"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szCs w:val="20"/>
              </w:rPr>
              <w:t xml:space="preserve"> 25,845 </w:t>
            </w:r>
          </w:p>
        </w:tc>
        <w:tc>
          <w:tcPr>
            <w:tcW w:w="1260" w:type="dxa"/>
            <w:tcBorders>
              <w:top w:val="double" w:sz="4" w:space="0" w:color="auto"/>
              <w:bottom w:val="single" w:sz="8" w:space="0" w:color="auto"/>
            </w:tcBorders>
            <w:shd w:val="clear" w:color="auto" w:fill="auto"/>
            <w:noWrap/>
            <w:vAlign w:val="bottom"/>
          </w:tcPr>
          <w:p w14:paraId="1CB1CEE9" w14:textId="6892FF15" w:rsidR="00EF2EF8" w:rsidRPr="00EF2EF8" w:rsidRDefault="00EF2EF8" w:rsidP="00EF2EF8">
            <w:pPr>
              <w:jc w:val="center"/>
              <w:rPr>
                <w:rFonts w:asciiTheme="minorHAnsi" w:hAnsiTheme="minorHAnsi" w:cstheme="minorHAnsi"/>
                <w:b/>
                <w:sz w:val="20"/>
                <w:szCs w:val="20"/>
              </w:rPr>
            </w:pPr>
            <w:r w:rsidRPr="00EF2EF8">
              <w:rPr>
                <w:rFonts w:asciiTheme="minorHAnsi" w:hAnsiTheme="minorHAnsi" w:cstheme="minorHAnsi"/>
                <w:b/>
                <w:sz w:val="20"/>
                <w:szCs w:val="20"/>
              </w:rPr>
              <w:t>95.8%</w:t>
            </w:r>
          </w:p>
        </w:tc>
        <w:tc>
          <w:tcPr>
            <w:tcW w:w="1170" w:type="dxa"/>
            <w:tcBorders>
              <w:top w:val="double" w:sz="4" w:space="0" w:color="auto"/>
              <w:bottom w:val="single" w:sz="8" w:space="0" w:color="auto"/>
              <w:right w:val="single" w:sz="8" w:space="0" w:color="auto"/>
            </w:tcBorders>
            <w:shd w:val="clear" w:color="auto" w:fill="auto"/>
            <w:noWrap/>
            <w:vAlign w:val="bottom"/>
          </w:tcPr>
          <w:p w14:paraId="6C5B78D7" w14:textId="10CB6010" w:rsidR="00EF2EF8" w:rsidRPr="00EF2EF8" w:rsidRDefault="00EF2EF8" w:rsidP="00EF2EF8">
            <w:pPr>
              <w:spacing w:line="240" w:lineRule="auto"/>
              <w:jc w:val="center"/>
              <w:rPr>
                <w:rFonts w:asciiTheme="minorHAnsi" w:hAnsiTheme="minorHAnsi" w:cstheme="minorHAnsi"/>
                <w:b/>
                <w:sz w:val="20"/>
                <w:szCs w:val="20"/>
              </w:rPr>
            </w:pPr>
            <w:r w:rsidRPr="00EF2EF8">
              <w:rPr>
                <w:rFonts w:asciiTheme="minorHAnsi" w:hAnsiTheme="minorHAnsi" w:cstheme="minorHAnsi"/>
                <w:b/>
                <w:sz w:val="20"/>
                <w:szCs w:val="20"/>
              </w:rPr>
              <w:t>95.9%</w:t>
            </w:r>
          </w:p>
        </w:tc>
      </w:tr>
    </w:tbl>
    <w:p w14:paraId="4757427E" w14:textId="77777777" w:rsidR="004D7114" w:rsidRPr="002674C0" w:rsidRDefault="004D7114" w:rsidP="00F34C75">
      <w:pPr>
        <w:rPr>
          <w:highlight w:val="yellow"/>
        </w:rPr>
      </w:pPr>
    </w:p>
    <w:p w14:paraId="4522D40F" w14:textId="62270ED3" w:rsidR="00F34C75" w:rsidRPr="002674C0" w:rsidRDefault="00EF2EF8" w:rsidP="000D749F">
      <w:pPr>
        <w:spacing w:line="240" w:lineRule="auto"/>
        <w:jc w:val="center"/>
        <w:rPr>
          <w:highlight w:val="yellow"/>
        </w:rPr>
      </w:pPr>
      <w:r>
        <w:rPr>
          <w:noProof/>
        </w:rPr>
        <w:lastRenderedPageBreak/>
        <w:drawing>
          <wp:inline distT="0" distB="0" distL="0" distR="0" wp14:anchorId="0F709158" wp14:editId="4D32DF48">
            <wp:extent cx="5381625" cy="3973190"/>
            <wp:effectExtent l="0" t="0" r="0" b="889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42E28DD" w14:textId="77777777" w:rsidR="00F34C75" w:rsidRDefault="00F34C75" w:rsidP="00F34C75">
      <w:pPr>
        <w:tabs>
          <w:tab w:val="left" w:pos="3030"/>
        </w:tabs>
        <w:spacing w:line="240" w:lineRule="auto"/>
      </w:pPr>
      <w:r>
        <w:tab/>
      </w:r>
    </w:p>
    <w:p w14:paraId="61B20489" w14:textId="77777777" w:rsidR="00F34C75" w:rsidRDefault="00F34C75" w:rsidP="00F34C75">
      <w:pPr>
        <w:pStyle w:val="Heading4"/>
      </w:pPr>
      <w:r>
        <w:t>Lowest SSRR Indicators by Service</w:t>
      </w:r>
    </w:p>
    <w:p w14:paraId="0564EA38" w14:textId="253AE2FB" w:rsidR="00F34C75" w:rsidRDefault="00F34C75" w:rsidP="00F34C75">
      <w:r w:rsidRPr="00147483">
        <w:t xml:space="preserve">Of approximately 400 standards scored </w:t>
      </w:r>
      <w:r w:rsidR="00FF3BC8" w:rsidRPr="00147483">
        <w:t xml:space="preserve">for all the different services, among the standards that were reviewed for at least 50 records, </w:t>
      </w:r>
      <w:r w:rsidR="00C44799">
        <w:t xml:space="preserve">six </w:t>
      </w:r>
      <w:r w:rsidRPr="00147483">
        <w:t xml:space="preserve">reflected compliance of less than </w:t>
      </w:r>
      <w:r w:rsidR="00FF3BC8" w:rsidRPr="00147483">
        <w:t>70</w:t>
      </w:r>
      <w:r w:rsidR="00FF3BC8">
        <w:t xml:space="preserve"> percent</w:t>
      </w:r>
      <w:r>
        <w:t>:</w:t>
      </w:r>
    </w:p>
    <w:p w14:paraId="0422DBE3" w14:textId="2AA76C8A" w:rsidR="00202140" w:rsidRDefault="00202140" w:rsidP="00202140">
      <w:pPr>
        <w:pStyle w:val="ListParagraph"/>
        <w:numPr>
          <w:ilvl w:val="0"/>
          <w:numId w:val="20"/>
        </w:numPr>
      </w:pPr>
      <w:r w:rsidRPr="00202140">
        <w:t>The current Employment Stability Plan covering services provided and billed during the period under review contains all required components</w:t>
      </w:r>
      <w:r>
        <w:t xml:space="preserve"> (LSD 2 – Supported Employment</w:t>
      </w:r>
      <w:r w:rsidR="00C44799">
        <w:t>: 55.1%)</w:t>
      </w:r>
      <w:r w:rsidR="00147483">
        <w:t>.</w:t>
      </w:r>
    </w:p>
    <w:p w14:paraId="5656899B" w14:textId="27DC0B32" w:rsidR="00C44799" w:rsidRDefault="00C44799" w:rsidP="00C44799">
      <w:pPr>
        <w:pStyle w:val="ListParagraph"/>
        <w:numPr>
          <w:ilvl w:val="0"/>
          <w:numId w:val="20"/>
        </w:numPr>
      </w:pPr>
      <w:r w:rsidRPr="00C44799">
        <w:t>A Quarterly Summary covering services provided and billed during the period under review is in the record</w:t>
      </w:r>
      <w:r>
        <w:t xml:space="preserve"> (LSD 2 – Supported Employment: 69.8%)</w:t>
      </w:r>
      <w:r w:rsidRPr="00C44799">
        <w:t>.</w:t>
      </w:r>
    </w:p>
    <w:p w14:paraId="22956F69" w14:textId="2D97FF16" w:rsidR="00F34C75" w:rsidRDefault="00147483" w:rsidP="00147483">
      <w:pPr>
        <w:pStyle w:val="ListParagraph"/>
        <w:numPr>
          <w:ilvl w:val="0"/>
          <w:numId w:val="20"/>
        </w:numPr>
      </w:pPr>
      <w:r w:rsidRPr="00147483">
        <w:t xml:space="preserve">The Annual Report covering services provided and billed during the period under review contains all required components </w:t>
      </w:r>
      <w:r w:rsidR="00202140">
        <w:t>(</w:t>
      </w:r>
      <w:r>
        <w:t xml:space="preserve">Supported Employment </w:t>
      </w:r>
      <w:r w:rsidR="00C44799">
        <w:t xml:space="preserve">(74.1%) </w:t>
      </w:r>
      <w:r>
        <w:t xml:space="preserve">and </w:t>
      </w:r>
      <w:r w:rsidR="00202140">
        <w:t>Supported Living Coaching</w:t>
      </w:r>
      <w:r w:rsidR="00C44799">
        <w:t xml:space="preserve"> (70.0%)</w:t>
      </w:r>
      <w:r w:rsidR="00202140">
        <w:t>)</w:t>
      </w:r>
      <w:r>
        <w:t>.</w:t>
      </w:r>
    </w:p>
    <w:p w14:paraId="3B21ABD6" w14:textId="04FF8E07" w:rsidR="00F10D6A" w:rsidRDefault="00F10D6A" w:rsidP="00F10D6A">
      <w:pPr>
        <w:pStyle w:val="ListParagraph"/>
        <w:numPr>
          <w:ilvl w:val="0"/>
          <w:numId w:val="20"/>
        </w:numPr>
      </w:pPr>
      <w:r w:rsidRPr="00F10D6A">
        <w:t>The current Implementation Plan covering services provided and billed during the period under review contains all required components</w:t>
      </w:r>
      <w:r>
        <w:t xml:space="preserve"> (Supported Living Coaching (70.5%))</w:t>
      </w:r>
      <w:r w:rsidRPr="00F10D6A">
        <w:t>.</w:t>
      </w:r>
    </w:p>
    <w:p w14:paraId="1D40D453" w14:textId="14DBC4BA" w:rsidR="00597C65" w:rsidRDefault="00147483" w:rsidP="00147483">
      <w:pPr>
        <w:pStyle w:val="ListParagraph"/>
        <w:numPr>
          <w:ilvl w:val="0"/>
          <w:numId w:val="20"/>
        </w:numPr>
      </w:pPr>
      <w:r w:rsidRPr="00147483">
        <w:t>Provider documents ongoing efforts to assist the person to define abuse, neglect, and exploitation including how the person would report any incidents</w:t>
      </w:r>
      <w:r>
        <w:t xml:space="preserve"> (Residential Habilitation Standard</w:t>
      </w:r>
      <w:r w:rsidR="00C44799">
        <w:t xml:space="preserve"> (</w:t>
      </w:r>
      <w:r w:rsidR="00F10D6A">
        <w:t>70.5</w:t>
      </w:r>
      <w:r w:rsidR="00C44799">
        <w:t>%)</w:t>
      </w:r>
      <w:r>
        <w:t>)</w:t>
      </w:r>
      <w:r w:rsidRPr="00147483">
        <w:t>.</w:t>
      </w:r>
    </w:p>
    <w:p w14:paraId="21910EF5" w14:textId="77777777" w:rsidR="00F34C75" w:rsidRDefault="00F34C75" w:rsidP="00F34C75">
      <w:pPr>
        <w:pStyle w:val="Heading3"/>
      </w:pPr>
      <w:bookmarkStart w:id="53" w:name="_Toc369864684"/>
      <w:bookmarkStart w:id="54" w:name="_Toc64285541"/>
      <w:r>
        <w:lastRenderedPageBreak/>
        <w:t>Alerts</w:t>
      </w:r>
      <w:bookmarkEnd w:id="53"/>
      <w:bookmarkEnd w:id="54"/>
    </w:p>
    <w:p w14:paraId="54F7990E" w14:textId="61E220C1" w:rsidR="00F34C75" w:rsidRDefault="00F34C75" w:rsidP="00F34C75">
      <w:r w:rsidRPr="00F26AC7">
        <w:rPr>
          <w:noProof/>
        </w:rPr>
        <w:drawing>
          <wp:anchor distT="0" distB="0" distL="114300" distR="114300" simplePos="0" relativeHeight="251658258" behindDoc="0" locked="0" layoutInCell="1" allowOverlap="1" wp14:anchorId="632C7899" wp14:editId="3C1B754D">
            <wp:simplePos x="0" y="0"/>
            <wp:positionH relativeFrom="column">
              <wp:posOffset>-46990</wp:posOffset>
            </wp:positionH>
            <wp:positionV relativeFrom="paragraph">
              <wp:posOffset>76835</wp:posOffset>
            </wp:positionV>
            <wp:extent cx="896620" cy="97853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ction-Alert[1].g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96620" cy="978535"/>
                    </a:xfrm>
                    <a:prstGeom prst="rect">
                      <a:avLst/>
                    </a:prstGeom>
                  </pic:spPr>
                </pic:pic>
              </a:graphicData>
            </a:graphic>
            <wp14:sizeRelH relativeFrom="margin">
              <wp14:pctWidth>0</wp14:pctWidth>
            </wp14:sizeRelH>
            <wp14:sizeRelV relativeFrom="margin">
              <wp14:pctHeight>0</wp14:pctHeight>
            </wp14:sizeRelV>
          </wp:anchor>
        </w:drawing>
      </w:r>
      <w:r w:rsidRPr="00F26AC7">
        <w:t>At any time during a review if a situation is noted that could cause harm to an individual receiving services, the QAR immediately informs the local APD Regional office. The Qlarant</w:t>
      </w:r>
      <w:r>
        <w:t xml:space="preserve"> QAR calls the abuse hotline, if appropriate, records an alert,</w:t>
      </w:r>
      <w:r w:rsidRPr="00092ED9">
        <w:t xml:space="preserve"> </w:t>
      </w:r>
      <w:r>
        <w:t>and notifies the Qlarant Regional Manager</w:t>
      </w:r>
      <w:r w:rsidR="009E15A7">
        <w:t>. The manager</w:t>
      </w:r>
      <w:r>
        <w:t xml:space="preserve"> </w:t>
      </w:r>
      <w:r w:rsidR="009E15A7">
        <w:t xml:space="preserve">then </w:t>
      </w:r>
      <w:r>
        <w:t>notifies the local APD Regional and State offices and AHCA in writing. Alerts can be related to health, safety, abuse, neglect, exploitation or rights. In addition, when any provider or employee who has direct contact with individuals does not have all the appropriate background screening documentation on file, an alert is recorded, unless the only reason cited is noncompliance with the Affidavit of Good Moral Character/Attestation of Good Moral Character.</w:t>
      </w:r>
    </w:p>
    <w:p w14:paraId="39B795F0" w14:textId="77777777" w:rsidR="00F34C75" w:rsidRDefault="00F34C75" w:rsidP="00F34C75">
      <w:pPr>
        <w:spacing w:line="240" w:lineRule="auto"/>
      </w:pPr>
    </w:p>
    <w:p w14:paraId="52FFE896" w14:textId="34E2A85C" w:rsidR="00F34C75" w:rsidRDefault="00F34C75" w:rsidP="00F34C75">
      <w:r w:rsidRPr="00FF2066">
        <w:t xml:space="preserve">Between July </w:t>
      </w:r>
      <w:r w:rsidR="00F80CCA" w:rsidRPr="00FF2066">
        <w:t xml:space="preserve">and </w:t>
      </w:r>
      <w:r w:rsidR="009E15A7" w:rsidRPr="00FF2066">
        <w:t>December</w:t>
      </w:r>
      <w:r w:rsidR="00831D83" w:rsidRPr="00FF2066">
        <w:t xml:space="preserve"> 2020,</w:t>
      </w:r>
      <w:r w:rsidRPr="00FF2066">
        <w:t xml:space="preserve"> </w:t>
      </w:r>
      <w:r w:rsidR="00FF2066" w:rsidRPr="00FF2066">
        <w:t>335</w:t>
      </w:r>
      <w:r w:rsidR="00EF79C0" w:rsidRPr="00FF2066">
        <w:t xml:space="preserve"> a</w:t>
      </w:r>
      <w:r w:rsidRPr="00FF2066">
        <w:t>lerts were recorded</w:t>
      </w:r>
      <w:r w:rsidR="00EF79C0" w:rsidRPr="00FF2066">
        <w:t xml:space="preserve">, </w:t>
      </w:r>
      <w:r w:rsidR="00FF2066" w:rsidRPr="00FF2066">
        <w:t>276</w:t>
      </w:r>
      <w:r w:rsidR="00EF79C0" w:rsidRPr="00FF2066">
        <w:t xml:space="preserve"> for </w:t>
      </w:r>
      <w:r w:rsidRPr="00FF2066">
        <w:t xml:space="preserve">service providers with an additional </w:t>
      </w:r>
      <w:r w:rsidR="00790C75" w:rsidRPr="00FF2066">
        <w:t>3</w:t>
      </w:r>
      <w:r w:rsidR="00FF2066" w:rsidRPr="00FF2066">
        <w:t>6</w:t>
      </w:r>
      <w:r w:rsidRPr="00FF2066">
        <w:t xml:space="preserve"> reported for WSCs</w:t>
      </w:r>
      <w:r w:rsidR="00FF2066" w:rsidRPr="00FF2066">
        <w:t xml:space="preserve"> and 23 reported for CDC+ Representatives (CDC+ Rep)</w:t>
      </w:r>
      <w:r w:rsidR="005D0A25" w:rsidRPr="00FF2066">
        <w:t xml:space="preserve">. These are listed by type of alert in </w:t>
      </w:r>
      <w:r w:rsidR="00056415" w:rsidRPr="00FF2066">
        <w:t>Table 2</w:t>
      </w:r>
      <w:r w:rsidR="00790C75" w:rsidRPr="00FF2066">
        <w:t>0</w:t>
      </w:r>
      <w:r w:rsidRPr="00FF2066">
        <w:t>.</w:t>
      </w:r>
      <w:r w:rsidR="00FF2066">
        <w:t xml:space="preserve"> For Support Coordinators and Representatives, alerts were all related to background screening.  In total, background screening was responsible for the majority of alerts (62.4%).  Medication administration and training accounted for another 31 percent of the total number of alerts. </w:t>
      </w:r>
      <w:r w:rsidR="00B053B9">
        <w:t xml:space="preserve">Note that due to the pandemic observations are not currently being conducted.  This likely reduces the total number of alerts, particularly for rights, health and safety, and medication storage.  There was also a hiatus on some background screening requirements between April and September, due to the pandemic. </w:t>
      </w:r>
    </w:p>
    <w:p w14:paraId="235D7469" w14:textId="77777777" w:rsidR="005D0A25" w:rsidRDefault="005D0A25" w:rsidP="00F34C75"/>
    <w:tbl>
      <w:tblPr>
        <w:tblW w:w="7920" w:type="dxa"/>
        <w:jc w:val="center"/>
        <w:tblLook w:val="04A0" w:firstRow="1" w:lastRow="0" w:firstColumn="1" w:lastColumn="0" w:noHBand="0" w:noVBand="1"/>
      </w:tblPr>
      <w:tblGrid>
        <w:gridCol w:w="2610"/>
        <w:gridCol w:w="990"/>
        <w:gridCol w:w="900"/>
        <w:gridCol w:w="1170"/>
        <w:gridCol w:w="1080"/>
        <w:gridCol w:w="1170"/>
      </w:tblGrid>
      <w:tr w:rsidR="00841E1D" w:rsidRPr="00841E1D" w14:paraId="3AD7C52B" w14:textId="77777777" w:rsidTr="00FF2066">
        <w:trPr>
          <w:trHeight w:val="330"/>
          <w:jc w:val="center"/>
        </w:trPr>
        <w:tc>
          <w:tcPr>
            <w:tcW w:w="7920" w:type="dxa"/>
            <w:gridSpan w:val="6"/>
            <w:tcBorders>
              <w:top w:val="single" w:sz="8" w:space="0" w:color="auto"/>
              <w:left w:val="single" w:sz="8" w:space="0" w:color="auto"/>
              <w:bottom w:val="single" w:sz="4" w:space="0" w:color="auto"/>
              <w:right w:val="single" w:sz="8" w:space="0" w:color="000000"/>
            </w:tcBorders>
            <w:shd w:val="clear" w:color="000000" w:fill="31869B"/>
            <w:noWrap/>
            <w:vAlign w:val="bottom"/>
            <w:hideMark/>
          </w:tcPr>
          <w:p w14:paraId="75D9AD3C" w14:textId="1DD31053" w:rsidR="00841E1D" w:rsidRPr="00841E1D" w:rsidRDefault="00841E1D" w:rsidP="00F26AC7">
            <w:pPr>
              <w:spacing w:line="240" w:lineRule="auto"/>
              <w:jc w:val="center"/>
              <w:rPr>
                <w:rFonts w:ascii="Franklin Gothic Medium" w:eastAsia="Times New Roman" w:hAnsi="Franklin Gothic Medium" w:cs="Calibri"/>
                <w:color w:val="FFFFFF"/>
                <w:sz w:val="22"/>
              </w:rPr>
            </w:pPr>
            <w:r w:rsidRPr="00841E1D">
              <w:rPr>
                <w:rFonts w:ascii="Franklin Gothic Medium" w:eastAsia="Times New Roman" w:hAnsi="Franklin Gothic Medium" w:cs="Calibri"/>
                <w:color w:val="FFFFFF"/>
                <w:sz w:val="22"/>
              </w:rPr>
              <w:t>Table 20.  Alert Type by Review Type: July - December 2020</w:t>
            </w:r>
          </w:p>
        </w:tc>
      </w:tr>
      <w:tr w:rsidR="00FF2066" w:rsidRPr="00841E1D" w14:paraId="7003FB1C" w14:textId="77777777" w:rsidTr="00FF2066">
        <w:trPr>
          <w:trHeight w:val="315"/>
          <w:jc w:val="center"/>
        </w:trPr>
        <w:tc>
          <w:tcPr>
            <w:tcW w:w="2610" w:type="dxa"/>
            <w:tcBorders>
              <w:top w:val="nil"/>
              <w:left w:val="single" w:sz="8" w:space="0" w:color="auto"/>
              <w:bottom w:val="single" w:sz="4" w:space="0" w:color="auto"/>
              <w:right w:val="nil"/>
            </w:tcBorders>
            <w:shd w:val="clear" w:color="auto" w:fill="FFE599" w:themeFill="accent4" w:themeFillTint="66"/>
            <w:noWrap/>
            <w:vAlign w:val="bottom"/>
            <w:hideMark/>
          </w:tcPr>
          <w:p w14:paraId="02B3CB88" w14:textId="77777777" w:rsidR="00841E1D" w:rsidRPr="00841E1D" w:rsidRDefault="00841E1D" w:rsidP="00841E1D">
            <w:pPr>
              <w:spacing w:line="240" w:lineRule="auto"/>
              <w:rPr>
                <w:rFonts w:ascii="Calibri" w:eastAsia="Times New Roman" w:hAnsi="Calibri" w:cs="Calibri"/>
                <w:color w:val="000000"/>
                <w:sz w:val="22"/>
              </w:rPr>
            </w:pPr>
            <w:r w:rsidRPr="00841E1D">
              <w:rPr>
                <w:rFonts w:ascii="Calibri" w:eastAsia="Times New Roman" w:hAnsi="Calibri" w:cs="Calibri"/>
                <w:color w:val="000000"/>
                <w:sz w:val="22"/>
              </w:rPr>
              <w:t>Alert Type</w:t>
            </w:r>
          </w:p>
        </w:tc>
        <w:tc>
          <w:tcPr>
            <w:tcW w:w="990" w:type="dxa"/>
            <w:tcBorders>
              <w:top w:val="nil"/>
              <w:left w:val="nil"/>
              <w:bottom w:val="single" w:sz="4" w:space="0" w:color="auto"/>
              <w:right w:val="nil"/>
            </w:tcBorders>
            <w:shd w:val="clear" w:color="auto" w:fill="FFE599" w:themeFill="accent4" w:themeFillTint="66"/>
            <w:vAlign w:val="bottom"/>
            <w:hideMark/>
          </w:tcPr>
          <w:p w14:paraId="4693C9C4" w14:textId="629694B1" w:rsidR="00841E1D" w:rsidRPr="00841E1D" w:rsidRDefault="00F26AC7" w:rsidP="00841E1D">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Service Provider</w:t>
            </w:r>
          </w:p>
        </w:tc>
        <w:tc>
          <w:tcPr>
            <w:tcW w:w="900" w:type="dxa"/>
            <w:tcBorders>
              <w:top w:val="nil"/>
              <w:left w:val="nil"/>
              <w:bottom w:val="single" w:sz="4" w:space="0" w:color="auto"/>
              <w:right w:val="nil"/>
            </w:tcBorders>
            <w:shd w:val="clear" w:color="auto" w:fill="FFE599" w:themeFill="accent4" w:themeFillTint="66"/>
            <w:vAlign w:val="bottom"/>
            <w:hideMark/>
          </w:tcPr>
          <w:p w14:paraId="2EB0483C"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WSC</w:t>
            </w:r>
          </w:p>
        </w:tc>
        <w:tc>
          <w:tcPr>
            <w:tcW w:w="1170" w:type="dxa"/>
            <w:tcBorders>
              <w:top w:val="nil"/>
              <w:left w:val="nil"/>
              <w:bottom w:val="single" w:sz="4" w:space="0" w:color="auto"/>
              <w:right w:val="nil"/>
            </w:tcBorders>
            <w:shd w:val="clear" w:color="auto" w:fill="FFE599" w:themeFill="accent4" w:themeFillTint="66"/>
            <w:vAlign w:val="bottom"/>
            <w:hideMark/>
          </w:tcPr>
          <w:p w14:paraId="3BD00315"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CDC+ Rep</w:t>
            </w:r>
          </w:p>
        </w:tc>
        <w:tc>
          <w:tcPr>
            <w:tcW w:w="1080" w:type="dxa"/>
            <w:tcBorders>
              <w:top w:val="nil"/>
              <w:left w:val="nil"/>
              <w:bottom w:val="single" w:sz="4" w:space="0" w:color="auto"/>
              <w:right w:val="nil"/>
            </w:tcBorders>
            <w:shd w:val="clear" w:color="auto" w:fill="FFE599" w:themeFill="accent4" w:themeFillTint="66"/>
            <w:vAlign w:val="bottom"/>
            <w:hideMark/>
          </w:tcPr>
          <w:p w14:paraId="36131BF0"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Total</w:t>
            </w:r>
          </w:p>
        </w:tc>
        <w:tc>
          <w:tcPr>
            <w:tcW w:w="1170" w:type="dxa"/>
            <w:tcBorders>
              <w:top w:val="nil"/>
              <w:left w:val="nil"/>
              <w:bottom w:val="single" w:sz="4" w:space="0" w:color="auto"/>
              <w:right w:val="single" w:sz="8" w:space="0" w:color="auto"/>
            </w:tcBorders>
            <w:shd w:val="clear" w:color="auto" w:fill="FFE599" w:themeFill="accent4" w:themeFillTint="66"/>
            <w:vAlign w:val="bottom"/>
            <w:hideMark/>
          </w:tcPr>
          <w:p w14:paraId="1623A1D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 of Total</w:t>
            </w:r>
          </w:p>
        </w:tc>
      </w:tr>
      <w:tr w:rsidR="00FF2066" w:rsidRPr="00841E1D" w14:paraId="76031EE1" w14:textId="77777777" w:rsidTr="00FF2066">
        <w:trPr>
          <w:trHeight w:val="330"/>
          <w:jc w:val="center"/>
        </w:trPr>
        <w:tc>
          <w:tcPr>
            <w:tcW w:w="2610" w:type="dxa"/>
            <w:tcBorders>
              <w:top w:val="nil"/>
              <w:left w:val="single" w:sz="8" w:space="0" w:color="auto"/>
              <w:bottom w:val="single" w:sz="4" w:space="0" w:color="auto"/>
              <w:right w:val="nil"/>
            </w:tcBorders>
            <w:shd w:val="clear" w:color="auto" w:fill="auto"/>
            <w:noWrap/>
            <w:vAlign w:val="bottom"/>
            <w:hideMark/>
          </w:tcPr>
          <w:p w14:paraId="63C54ABE" w14:textId="77777777" w:rsidR="00841E1D" w:rsidRPr="00841E1D" w:rsidRDefault="00841E1D" w:rsidP="00841E1D">
            <w:pPr>
              <w:spacing w:line="240" w:lineRule="auto"/>
              <w:rPr>
                <w:rFonts w:ascii="Calibri" w:eastAsia="Times New Roman" w:hAnsi="Calibri" w:cs="Calibri"/>
                <w:color w:val="000000"/>
                <w:sz w:val="22"/>
              </w:rPr>
            </w:pPr>
            <w:r w:rsidRPr="00841E1D">
              <w:rPr>
                <w:rFonts w:ascii="Calibri" w:eastAsia="Times New Roman" w:hAnsi="Calibri" w:cs="Calibri"/>
                <w:color w:val="000000"/>
                <w:sz w:val="22"/>
              </w:rPr>
              <w:t>Abuse, Neglect, Exploitation</w:t>
            </w:r>
          </w:p>
        </w:tc>
        <w:tc>
          <w:tcPr>
            <w:tcW w:w="990" w:type="dxa"/>
            <w:tcBorders>
              <w:top w:val="nil"/>
              <w:left w:val="nil"/>
              <w:bottom w:val="single" w:sz="4" w:space="0" w:color="auto"/>
              <w:right w:val="nil"/>
            </w:tcBorders>
            <w:shd w:val="clear" w:color="auto" w:fill="auto"/>
            <w:noWrap/>
            <w:vAlign w:val="bottom"/>
            <w:hideMark/>
          </w:tcPr>
          <w:p w14:paraId="22D158AE"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w:t>
            </w:r>
          </w:p>
        </w:tc>
        <w:tc>
          <w:tcPr>
            <w:tcW w:w="900" w:type="dxa"/>
            <w:tcBorders>
              <w:top w:val="nil"/>
              <w:left w:val="nil"/>
              <w:bottom w:val="single" w:sz="4" w:space="0" w:color="auto"/>
              <w:right w:val="nil"/>
            </w:tcBorders>
            <w:shd w:val="clear" w:color="auto" w:fill="auto"/>
            <w:noWrap/>
            <w:vAlign w:val="bottom"/>
            <w:hideMark/>
          </w:tcPr>
          <w:p w14:paraId="5443D623"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497AEF21"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0C34ACD8"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w:t>
            </w:r>
          </w:p>
        </w:tc>
        <w:tc>
          <w:tcPr>
            <w:tcW w:w="1170" w:type="dxa"/>
            <w:tcBorders>
              <w:top w:val="nil"/>
              <w:left w:val="nil"/>
              <w:bottom w:val="single" w:sz="4" w:space="0" w:color="auto"/>
              <w:right w:val="single" w:sz="8" w:space="0" w:color="auto"/>
            </w:tcBorders>
            <w:shd w:val="clear" w:color="auto" w:fill="auto"/>
            <w:noWrap/>
            <w:vAlign w:val="bottom"/>
            <w:hideMark/>
          </w:tcPr>
          <w:p w14:paraId="5BD78481"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0.3%</w:t>
            </w:r>
          </w:p>
        </w:tc>
      </w:tr>
      <w:tr w:rsidR="00FF2066" w:rsidRPr="00841E1D" w14:paraId="655C0D26"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70C48BA8"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Background Screening</w:t>
            </w:r>
          </w:p>
        </w:tc>
        <w:tc>
          <w:tcPr>
            <w:tcW w:w="990" w:type="dxa"/>
            <w:tcBorders>
              <w:top w:val="nil"/>
              <w:left w:val="nil"/>
              <w:bottom w:val="single" w:sz="4" w:space="0" w:color="auto"/>
              <w:right w:val="nil"/>
            </w:tcBorders>
            <w:shd w:val="clear" w:color="auto" w:fill="auto"/>
            <w:noWrap/>
            <w:vAlign w:val="bottom"/>
            <w:hideMark/>
          </w:tcPr>
          <w:p w14:paraId="3F2E97DA"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74</w:t>
            </w:r>
          </w:p>
        </w:tc>
        <w:tc>
          <w:tcPr>
            <w:tcW w:w="900" w:type="dxa"/>
            <w:tcBorders>
              <w:top w:val="nil"/>
              <w:left w:val="nil"/>
              <w:bottom w:val="single" w:sz="4" w:space="0" w:color="auto"/>
              <w:right w:val="nil"/>
            </w:tcBorders>
            <w:shd w:val="clear" w:color="auto" w:fill="auto"/>
            <w:noWrap/>
            <w:vAlign w:val="bottom"/>
            <w:hideMark/>
          </w:tcPr>
          <w:p w14:paraId="79846EB8"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13</w:t>
            </w:r>
          </w:p>
        </w:tc>
        <w:tc>
          <w:tcPr>
            <w:tcW w:w="1170" w:type="dxa"/>
            <w:tcBorders>
              <w:top w:val="nil"/>
              <w:left w:val="nil"/>
              <w:bottom w:val="single" w:sz="4" w:space="0" w:color="auto"/>
              <w:right w:val="nil"/>
            </w:tcBorders>
            <w:shd w:val="clear" w:color="auto" w:fill="auto"/>
            <w:noWrap/>
            <w:vAlign w:val="bottom"/>
            <w:hideMark/>
          </w:tcPr>
          <w:p w14:paraId="68987197"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9</w:t>
            </w:r>
          </w:p>
        </w:tc>
        <w:tc>
          <w:tcPr>
            <w:tcW w:w="1080" w:type="dxa"/>
            <w:tcBorders>
              <w:top w:val="nil"/>
              <w:left w:val="nil"/>
              <w:bottom w:val="single" w:sz="4" w:space="0" w:color="auto"/>
              <w:right w:val="nil"/>
            </w:tcBorders>
            <w:shd w:val="clear" w:color="auto" w:fill="auto"/>
            <w:noWrap/>
            <w:vAlign w:val="bottom"/>
            <w:hideMark/>
          </w:tcPr>
          <w:p w14:paraId="3B4AABA9"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96</w:t>
            </w:r>
          </w:p>
        </w:tc>
        <w:tc>
          <w:tcPr>
            <w:tcW w:w="1170" w:type="dxa"/>
            <w:tcBorders>
              <w:top w:val="nil"/>
              <w:left w:val="nil"/>
              <w:bottom w:val="single" w:sz="4" w:space="0" w:color="auto"/>
              <w:right w:val="single" w:sz="8" w:space="0" w:color="auto"/>
            </w:tcBorders>
            <w:shd w:val="clear" w:color="auto" w:fill="auto"/>
            <w:noWrap/>
            <w:vAlign w:val="bottom"/>
            <w:hideMark/>
          </w:tcPr>
          <w:p w14:paraId="3AA84B43"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28.7%</w:t>
            </w:r>
          </w:p>
        </w:tc>
      </w:tr>
      <w:tr w:rsidR="00FF2066" w:rsidRPr="00841E1D" w14:paraId="60F24B31"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17715368"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Clearinghouse Roster</w:t>
            </w:r>
          </w:p>
        </w:tc>
        <w:tc>
          <w:tcPr>
            <w:tcW w:w="990" w:type="dxa"/>
            <w:tcBorders>
              <w:top w:val="nil"/>
              <w:left w:val="nil"/>
              <w:bottom w:val="single" w:sz="4" w:space="0" w:color="auto"/>
              <w:right w:val="nil"/>
            </w:tcBorders>
            <w:shd w:val="clear" w:color="auto" w:fill="auto"/>
            <w:noWrap/>
            <w:vAlign w:val="bottom"/>
            <w:hideMark/>
          </w:tcPr>
          <w:p w14:paraId="71998622"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76</w:t>
            </w:r>
          </w:p>
        </w:tc>
        <w:tc>
          <w:tcPr>
            <w:tcW w:w="900" w:type="dxa"/>
            <w:tcBorders>
              <w:top w:val="nil"/>
              <w:left w:val="nil"/>
              <w:bottom w:val="single" w:sz="4" w:space="0" w:color="auto"/>
              <w:right w:val="nil"/>
            </w:tcBorders>
            <w:shd w:val="clear" w:color="auto" w:fill="auto"/>
            <w:noWrap/>
            <w:vAlign w:val="bottom"/>
            <w:hideMark/>
          </w:tcPr>
          <w:p w14:paraId="29BBBFE3"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23</w:t>
            </w:r>
          </w:p>
        </w:tc>
        <w:tc>
          <w:tcPr>
            <w:tcW w:w="1170" w:type="dxa"/>
            <w:tcBorders>
              <w:top w:val="nil"/>
              <w:left w:val="nil"/>
              <w:bottom w:val="single" w:sz="4" w:space="0" w:color="auto"/>
              <w:right w:val="nil"/>
            </w:tcBorders>
            <w:shd w:val="clear" w:color="auto" w:fill="auto"/>
            <w:noWrap/>
            <w:vAlign w:val="bottom"/>
            <w:hideMark/>
          </w:tcPr>
          <w:p w14:paraId="22BD32EB"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14</w:t>
            </w:r>
          </w:p>
        </w:tc>
        <w:tc>
          <w:tcPr>
            <w:tcW w:w="1080" w:type="dxa"/>
            <w:tcBorders>
              <w:top w:val="nil"/>
              <w:left w:val="nil"/>
              <w:bottom w:val="single" w:sz="4" w:space="0" w:color="auto"/>
              <w:right w:val="nil"/>
            </w:tcBorders>
            <w:shd w:val="clear" w:color="auto" w:fill="auto"/>
            <w:noWrap/>
            <w:vAlign w:val="bottom"/>
            <w:hideMark/>
          </w:tcPr>
          <w:p w14:paraId="4F5737D6"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113</w:t>
            </w:r>
          </w:p>
        </w:tc>
        <w:tc>
          <w:tcPr>
            <w:tcW w:w="1170" w:type="dxa"/>
            <w:tcBorders>
              <w:top w:val="nil"/>
              <w:left w:val="nil"/>
              <w:bottom w:val="single" w:sz="4" w:space="0" w:color="auto"/>
              <w:right w:val="single" w:sz="8" w:space="0" w:color="auto"/>
            </w:tcBorders>
            <w:shd w:val="clear" w:color="auto" w:fill="auto"/>
            <w:noWrap/>
            <w:vAlign w:val="bottom"/>
            <w:hideMark/>
          </w:tcPr>
          <w:p w14:paraId="6005FE1B"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33.7%</w:t>
            </w:r>
          </w:p>
        </w:tc>
      </w:tr>
      <w:tr w:rsidR="00FF2066" w:rsidRPr="00841E1D" w14:paraId="63103C85"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4A3B7A88"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Driver’s License/Insurance</w:t>
            </w:r>
          </w:p>
        </w:tc>
        <w:tc>
          <w:tcPr>
            <w:tcW w:w="990" w:type="dxa"/>
            <w:tcBorders>
              <w:top w:val="nil"/>
              <w:left w:val="nil"/>
              <w:bottom w:val="single" w:sz="4" w:space="0" w:color="auto"/>
              <w:right w:val="nil"/>
            </w:tcBorders>
            <w:shd w:val="clear" w:color="auto" w:fill="auto"/>
            <w:noWrap/>
            <w:vAlign w:val="bottom"/>
            <w:hideMark/>
          </w:tcPr>
          <w:p w14:paraId="66D8842D"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18</w:t>
            </w:r>
          </w:p>
        </w:tc>
        <w:tc>
          <w:tcPr>
            <w:tcW w:w="900" w:type="dxa"/>
            <w:tcBorders>
              <w:top w:val="nil"/>
              <w:left w:val="nil"/>
              <w:bottom w:val="single" w:sz="4" w:space="0" w:color="auto"/>
              <w:right w:val="nil"/>
            </w:tcBorders>
            <w:shd w:val="clear" w:color="auto" w:fill="auto"/>
            <w:noWrap/>
            <w:vAlign w:val="bottom"/>
            <w:hideMark/>
          </w:tcPr>
          <w:p w14:paraId="1B53AB36"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73DBE991"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569C4D4B"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18</w:t>
            </w:r>
          </w:p>
        </w:tc>
        <w:tc>
          <w:tcPr>
            <w:tcW w:w="1170" w:type="dxa"/>
            <w:tcBorders>
              <w:top w:val="nil"/>
              <w:left w:val="nil"/>
              <w:bottom w:val="single" w:sz="4" w:space="0" w:color="auto"/>
              <w:right w:val="single" w:sz="8" w:space="0" w:color="auto"/>
            </w:tcBorders>
            <w:shd w:val="clear" w:color="auto" w:fill="auto"/>
            <w:noWrap/>
            <w:vAlign w:val="bottom"/>
            <w:hideMark/>
          </w:tcPr>
          <w:p w14:paraId="454E2C8F"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5.4%</w:t>
            </w:r>
          </w:p>
        </w:tc>
      </w:tr>
      <w:tr w:rsidR="00FF2066" w:rsidRPr="00841E1D" w14:paraId="45DC7C89"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00EE9A9A"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Health &amp; Safety</w:t>
            </w:r>
          </w:p>
        </w:tc>
        <w:tc>
          <w:tcPr>
            <w:tcW w:w="990" w:type="dxa"/>
            <w:tcBorders>
              <w:top w:val="nil"/>
              <w:left w:val="nil"/>
              <w:bottom w:val="single" w:sz="4" w:space="0" w:color="auto"/>
              <w:right w:val="nil"/>
            </w:tcBorders>
            <w:shd w:val="clear" w:color="auto" w:fill="auto"/>
            <w:noWrap/>
            <w:vAlign w:val="bottom"/>
            <w:hideMark/>
          </w:tcPr>
          <w:p w14:paraId="5CADC91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900" w:type="dxa"/>
            <w:tcBorders>
              <w:top w:val="nil"/>
              <w:left w:val="nil"/>
              <w:bottom w:val="single" w:sz="4" w:space="0" w:color="auto"/>
              <w:right w:val="nil"/>
            </w:tcBorders>
            <w:shd w:val="clear" w:color="auto" w:fill="auto"/>
            <w:noWrap/>
            <w:vAlign w:val="bottom"/>
            <w:hideMark/>
          </w:tcPr>
          <w:p w14:paraId="1207FAE2"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57305D48"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7577814C"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single" w:sz="8" w:space="0" w:color="auto"/>
            </w:tcBorders>
            <w:shd w:val="clear" w:color="auto" w:fill="auto"/>
            <w:noWrap/>
            <w:vAlign w:val="bottom"/>
            <w:hideMark/>
          </w:tcPr>
          <w:p w14:paraId="04A8414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0.0%</w:t>
            </w:r>
          </w:p>
        </w:tc>
      </w:tr>
      <w:tr w:rsidR="00FF2066" w:rsidRPr="00841E1D" w14:paraId="68181705"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36A25B67"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Medication Admin/Training</w:t>
            </w:r>
          </w:p>
        </w:tc>
        <w:tc>
          <w:tcPr>
            <w:tcW w:w="990" w:type="dxa"/>
            <w:tcBorders>
              <w:top w:val="nil"/>
              <w:left w:val="nil"/>
              <w:bottom w:val="single" w:sz="4" w:space="0" w:color="auto"/>
              <w:right w:val="nil"/>
            </w:tcBorders>
            <w:shd w:val="clear" w:color="auto" w:fill="auto"/>
            <w:noWrap/>
            <w:vAlign w:val="bottom"/>
            <w:hideMark/>
          </w:tcPr>
          <w:p w14:paraId="0D994AC6"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103</w:t>
            </w:r>
          </w:p>
        </w:tc>
        <w:tc>
          <w:tcPr>
            <w:tcW w:w="900" w:type="dxa"/>
            <w:tcBorders>
              <w:top w:val="nil"/>
              <w:left w:val="nil"/>
              <w:bottom w:val="single" w:sz="4" w:space="0" w:color="auto"/>
              <w:right w:val="nil"/>
            </w:tcBorders>
            <w:shd w:val="clear" w:color="auto" w:fill="auto"/>
            <w:noWrap/>
            <w:vAlign w:val="bottom"/>
            <w:hideMark/>
          </w:tcPr>
          <w:p w14:paraId="4CD644ED"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531F1E60"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6BDD206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103</w:t>
            </w:r>
          </w:p>
        </w:tc>
        <w:tc>
          <w:tcPr>
            <w:tcW w:w="1170" w:type="dxa"/>
            <w:tcBorders>
              <w:top w:val="nil"/>
              <w:left w:val="nil"/>
              <w:bottom w:val="single" w:sz="4" w:space="0" w:color="auto"/>
              <w:right w:val="single" w:sz="8" w:space="0" w:color="auto"/>
            </w:tcBorders>
            <w:shd w:val="clear" w:color="auto" w:fill="auto"/>
            <w:noWrap/>
            <w:vAlign w:val="bottom"/>
            <w:hideMark/>
          </w:tcPr>
          <w:p w14:paraId="1D307C2A"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30.7%</w:t>
            </w:r>
          </w:p>
        </w:tc>
      </w:tr>
      <w:tr w:rsidR="00FF2066" w:rsidRPr="00841E1D" w14:paraId="65E4B195"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7F380AC1"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Medication Storage</w:t>
            </w:r>
          </w:p>
        </w:tc>
        <w:tc>
          <w:tcPr>
            <w:tcW w:w="990" w:type="dxa"/>
            <w:tcBorders>
              <w:top w:val="nil"/>
              <w:left w:val="nil"/>
              <w:bottom w:val="single" w:sz="4" w:space="0" w:color="auto"/>
              <w:right w:val="nil"/>
            </w:tcBorders>
            <w:shd w:val="clear" w:color="auto" w:fill="auto"/>
            <w:noWrap/>
            <w:vAlign w:val="bottom"/>
            <w:hideMark/>
          </w:tcPr>
          <w:p w14:paraId="24019C8E"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900" w:type="dxa"/>
            <w:tcBorders>
              <w:top w:val="nil"/>
              <w:left w:val="nil"/>
              <w:bottom w:val="single" w:sz="4" w:space="0" w:color="auto"/>
              <w:right w:val="nil"/>
            </w:tcBorders>
            <w:shd w:val="clear" w:color="auto" w:fill="auto"/>
            <w:noWrap/>
            <w:vAlign w:val="bottom"/>
            <w:hideMark/>
          </w:tcPr>
          <w:p w14:paraId="6CDFB299"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5CD38E91"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3B113B99"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single" w:sz="8" w:space="0" w:color="auto"/>
            </w:tcBorders>
            <w:shd w:val="clear" w:color="auto" w:fill="auto"/>
            <w:noWrap/>
            <w:vAlign w:val="bottom"/>
            <w:hideMark/>
          </w:tcPr>
          <w:p w14:paraId="1F283E2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0.0%</w:t>
            </w:r>
          </w:p>
        </w:tc>
      </w:tr>
      <w:tr w:rsidR="00FF2066" w:rsidRPr="00841E1D" w14:paraId="412C9386" w14:textId="77777777" w:rsidTr="00FF2066">
        <w:trPr>
          <w:trHeight w:val="300"/>
          <w:jc w:val="center"/>
        </w:trPr>
        <w:tc>
          <w:tcPr>
            <w:tcW w:w="2610" w:type="dxa"/>
            <w:tcBorders>
              <w:top w:val="nil"/>
              <w:left w:val="single" w:sz="8" w:space="0" w:color="auto"/>
              <w:bottom w:val="single" w:sz="4" w:space="0" w:color="auto"/>
              <w:right w:val="nil"/>
            </w:tcBorders>
            <w:shd w:val="clear" w:color="auto" w:fill="auto"/>
            <w:noWrap/>
            <w:vAlign w:val="bottom"/>
            <w:hideMark/>
          </w:tcPr>
          <w:p w14:paraId="117D9E6A"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Rights</w:t>
            </w:r>
          </w:p>
        </w:tc>
        <w:tc>
          <w:tcPr>
            <w:tcW w:w="990" w:type="dxa"/>
            <w:tcBorders>
              <w:top w:val="nil"/>
              <w:left w:val="nil"/>
              <w:bottom w:val="single" w:sz="4" w:space="0" w:color="auto"/>
              <w:right w:val="nil"/>
            </w:tcBorders>
            <w:shd w:val="clear" w:color="auto" w:fill="auto"/>
            <w:noWrap/>
            <w:vAlign w:val="bottom"/>
            <w:hideMark/>
          </w:tcPr>
          <w:p w14:paraId="1B32F099"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w:t>
            </w:r>
          </w:p>
        </w:tc>
        <w:tc>
          <w:tcPr>
            <w:tcW w:w="900" w:type="dxa"/>
            <w:tcBorders>
              <w:top w:val="nil"/>
              <w:left w:val="nil"/>
              <w:bottom w:val="single" w:sz="4" w:space="0" w:color="auto"/>
              <w:right w:val="nil"/>
            </w:tcBorders>
            <w:shd w:val="clear" w:color="auto" w:fill="auto"/>
            <w:noWrap/>
            <w:vAlign w:val="bottom"/>
            <w:hideMark/>
          </w:tcPr>
          <w:p w14:paraId="0C44D7E1"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noWrap/>
            <w:vAlign w:val="bottom"/>
            <w:hideMark/>
          </w:tcPr>
          <w:p w14:paraId="481A925A"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3E6D68B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w:t>
            </w:r>
          </w:p>
        </w:tc>
        <w:tc>
          <w:tcPr>
            <w:tcW w:w="1170" w:type="dxa"/>
            <w:tcBorders>
              <w:top w:val="nil"/>
              <w:left w:val="nil"/>
              <w:bottom w:val="single" w:sz="4" w:space="0" w:color="auto"/>
              <w:right w:val="single" w:sz="8" w:space="0" w:color="auto"/>
            </w:tcBorders>
            <w:shd w:val="clear" w:color="auto" w:fill="auto"/>
            <w:noWrap/>
            <w:vAlign w:val="bottom"/>
            <w:hideMark/>
          </w:tcPr>
          <w:p w14:paraId="06568B59"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0.3%</w:t>
            </w:r>
          </w:p>
        </w:tc>
      </w:tr>
      <w:tr w:rsidR="00FF2066" w:rsidRPr="00841E1D" w14:paraId="6D10DF63" w14:textId="77777777" w:rsidTr="00FF2066">
        <w:trPr>
          <w:trHeight w:val="296"/>
          <w:jc w:val="center"/>
        </w:trPr>
        <w:tc>
          <w:tcPr>
            <w:tcW w:w="2610" w:type="dxa"/>
            <w:tcBorders>
              <w:top w:val="nil"/>
              <w:left w:val="single" w:sz="8" w:space="0" w:color="auto"/>
              <w:bottom w:val="single" w:sz="4" w:space="0" w:color="auto"/>
              <w:right w:val="nil"/>
            </w:tcBorders>
            <w:shd w:val="clear" w:color="auto" w:fill="auto"/>
            <w:noWrap/>
            <w:vAlign w:val="bottom"/>
            <w:hideMark/>
          </w:tcPr>
          <w:p w14:paraId="66244C60"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Vehicle Insurance</w:t>
            </w:r>
          </w:p>
        </w:tc>
        <w:tc>
          <w:tcPr>
            <w:tcW w:w="990" w:type="dxa"/>
            <w:tcBorders>
              <w:top w:val="nil"/>
              <w:left w:val="nil"/>
              <w:bottom w:val="single" w:sz="4" w:space="0" w:color="auto"/>
              <w:right w:val="nil"/>
            </w:tcBorders>
            <w:shd w:val="clear" w:color="auto" w:fill="auto"/>
            <w:noWrap/>
            <w:vAlign w:val="bottom"/>
            <w:hideMark/>
          </w:tcPr>
          <w:p w14:paraId="1992F0C5"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w:t>
            </w:r>
          </w:p>
        </w:tc>
        <w:tc>
          <w:tcPr>
            <w:tcW w:w="900" w:type="dxa"/>
            <w:tcBorders>
              <w:top w:val="nil"/>
              <w:left w:val="nil"/>
              <w:bottom w:val="single" w:sz="4" w:space="0" w:color="auto"/>
              <w:right w:val="nil"/>
            </w:tcBorders>
            <w:shd w:val="clear" w:color="auto" w:fill="auto"/>
            <w:noWrap/>
            <w:vAlign w:val="bottom"/>
            <w:hideMark/>
          </w:tcPr>
          <w:p w14:paraId="352B6CA4"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170" w:type="dxa"/>
            <w:tcBorders>
              <w:top w:val="nil"/>
              <w:left w:val="nil"/>
              <w:bottom w:val="single" w:sz="4" w:space="0" w:color="auto"/>
              <w:right w:val="nil"/>
            </w:tcBorders>
            <w:shd w:val="clear" w:color="auto" w:fill="auto"/>
            <w:vAlign w:val="bottom"/>
            <w:hideMark/>
          </w:tcPr>
          <w:p w14:paraId="5DF39675"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w:t>
            </w:r>
          </w:p>
        </w:tc>
        <w:tc>
          <w:tcPr>
            <w:tcW w:w="1080" w:type="dxa"/>
            <w:tcBorders>
              <w:top w:val="nil"/>
              <w:left w:val="nil"/>
              <w:bottom w:val="single" w:sz="4" w:space="0" w:color="auto"/>
              <w:right w:val="nil"/>
            </w:tcBorders>
            <w:shd w:val="clear" w:color="auto" w:fill="auto"/>
            <w:noWrap/>
            <w:vAlign w:val="bottom"/>
            <w:hideMark/>
          </w:tcPr>
          <w:p w14:paraId="64E00043"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w:t>
            </w:r>
          </w:p>
        </w:tc>
        <w:tc>
          <w:tcPr>
            <w:tcW w:w="1170" w:type="dxa"/>
            <w:tcBorders>
              <w:top w:val="nil"/>
              <w:left w:val="nil"/>
              <w:bottom w:val="single" w:sz="4" w:space="0" w:color="auto"/>
              <w:right w:val="single" w:sz="8" w:space="0" w:color="auto"/>
            </w:tcBorders>
            <w:shd w:val="clear" w:color="auto" w:fill="auto"/>
            <w:noWrap/>
            <w:vAlign w:val="bottom"/>
            <w:hideMark/>
          </w:tcPr>
          <w:p w14:paraId="0076EA8D"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0.9%</w:t>
            </w:r>
          </w:p>
        </w:tc>
      </w:tr>
      <w:tr w:rsidR="00FF2066" w:rsidRPr="00841E1D" w14:paraId="01F80BA8" w14:textId="77777777" w:rsidTr="00FF2066">
        <w:trPr>
          <w:trHeight w:val="315"/>
          <w:jc w:val="center"/>
        </w:trPr>
        <w:tc>
          <w:tcPr>
            <w:tcW w:w="2610" w:type="dxa"/>
            <w:tcBorders>
              <w:top w:val="nil"/>
              <w:left w:val="single" w:sz="8" w:space="0" w:color="auto"/>
              <w:bottom w:val="single" w:sz="8" w:space="0" w:color="auto"/>
              <w:right w:val="nil"/>
            </w:tcBorders>
            <w:shd w:val="clear" w:color="auto" w:fill="auto"/>
            <w:noWrap/>
            <w:vAlign w:val="bottom"/>
            <w:hideMark/>
          </w:tcPr>
          <w:p w14:paraId="3B56D3B3" w14:textId="77777777" w:rsidR="00841E1D" w:rsidRPr="00841E1D" w:rsidRDefault="00841E1D" w:rsidP="00841E1D">
            <w:pPr>
              <w:spacing w:line="240" w:lineRule="auto"/>
              <w:rPr>
                <w:rFonts w:ascii="Calibri" w:eastAsia="Times New Roman" w:hAnsi="Calibri" w:cs="Calibri"/>
                <w:color w:val="000000"/>
                <w:sz w:val="20"/>
                <w:szCs w:val="20"/>
              </w:rPr>
            </w:pPr>
            <w:r w:rsidRPr="00841E1D">
              <w:rPr>
                <w:rFonts w:ascii="Calibri" w:eastAsia="Times New Roman" w:hAnsi="Calibri" w:cs="Calibri"/>
                <w:color w:val="000000"/>
                <w:sz w:val="20"/>
                <w:szCs w:val="20"/>
              </w:rPr>
              <w:t>Total Alerts</w:t>
            </w:r>
          </w:p>
        </w:tc>
        <w:tc>
          <w:tcPr>
            <w:tcW w:w="990" w:type="dxa"/>
            <w:tcBorders>
              <w:top w:val="nil"/>
              <w:left w:val="nil"/>
              <w:bottom w:val="single" w:sz="8" w:space="0" w:color="auto"/>
              <w:right w:val="nil"/>
            </w:tcBorders>
            <w:shd w:val="clear" w:color="auto" w:fill="auto"/>
            <w:noWrap/>
            <w:vAlign w:val="bottom"/>
            <w:hideMark/>
          </w:tcPr>
          <w:p w14:paraId="0D044D47"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276</w:t>
            </w:r>
          </w:p>
        </w:tc>
        <w:tc>
          <w:tcPr>
            <w:tcW w:w="900" w:type="dxa"/>
            <w:tcBorders>
              <w:top w:val="nil"/>
              <w:left w:val="nil"/>
              <w:bottom w:val="single" w:sz="8" w:space="0" w:color="auto"/>
              <w:right w:val="nil"/>
            </w:tcBorders>
            <w:shd w:val="clear" w:color="auto" w:fill="auto"/>
            <w:noWrap/>
            <w:vAlign w:val="bottom"/>
            <w:hideMark/>
          </w:tcPr>
          <w:p w14:paraId="791548B3"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36</w:t>
            </w:r>
          </w:p>
        </w:tc>
        <w:tc>
          <w:tcPr>
            <w:tcW w:w="1170" w:type="dxa"/>
            <w:tcBorders>
              <w:top w:val="nil"/>
              <w:left w:val="nil"/>
              <w:bottom w:val="single" w:sz="8" w:space="0" w:color="auto"/>
              <w:right w:val="nil"/>
            </w:tcBorders>
            <w:shd w:val="clear" w:color="auto" w:fill="auto"/>
            <w:noWrap/>
            <w:vAlign w:val="bottom"/>
            <w:hideMark/>
          </w:tcPr>
          <w:p w14:paraId="4092E5CD"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23</w:t>
            </w:r>
          </w:p>
        </w:tc>
        <w:tc>
          <w:tcPr>
            <w:tcW w:w="1080" w:type="dxa"/>
            <w:tcBorders>
              <w:top w:val="nil"/>
              <w:left w:val="nil"/>
              <w:bottom w:val="single" w:sz="8" w:space="0" w:color="auto"/>
              <w:right w:val="nil"/>
            </w:tcBorders>
            <w:shd w:val="clear" w:color="auto" w:fill="auto"/>
            <w:noWrap/>
            <w:vAlign w:val="bottom"/>
            <w:hideMark/>
          </w:tcPr>
          <w:p w14:paraId="5E86BD2B"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335</w:t>
            </w:r>
          </w:p>
        </w:tc>
        <w:tc>
          <w:tcPr>
            <w:tcW w:w="1170" w:type="dxa"/>
            <w:tcBorders>
              <w:top w:val="nil"/>
              <w:left w:val="nil"/>
              <w:bottom w:val="single" w:sz="8" w:space="0" w:color="auto"/>
              <w:right w:val="single" w:sz="8" w:space="0" w:color="auto"/>
            </w:tcBorders>
            <w:shd w:val="clear" w:color="auto" w:fill="auto"/>
            <w:noWrap/>
            <w:vAlign w:val="bottom"/>
            <w:hideMark/>
          </w:tcPr>
          <w:p w14:paraId="7213F056" w14:textId="77777777" w:rsidR="00841E1D" w:rsidRPr="00841E1D" w:rsidRDefault="00841E1D" w:rsidP="00841E1D">
            <w:pPr>
              <w:spacing w:line="240" w:lineRule="auto"/>
              <w:jc w:val="center"/>
              <w:rPr>
                <w:rFonts w:ascii="Calibri" w:eastAsia="Times New Roman" w:hAnsi="Calibri" w:cs="Calibri"/>
                <w:color w:val="000000"/>
                <w:sz w:val="22"/>
              </w:rPr>
            </w:pPr>
            <w:r w:rsidRPr="00841E1D">
              <w:rPr>
                <w:rFonts w:ascii="Calibri" w:eastAsia="Times New Roman" w:hAnsi="Calibri" w:cs="Calibri"/>
                <w:color w:val="000000"/>
                <w:sz w:val="22"/>
              </w:rPr>
              <w:t>100%</w:t>
            </w:r>
          </w:p>
        </w:tc>
      </w:tr>
    </w:tbl>
    <w:p w14:paraId="7A14F78F" w14:textId="25FEE736" w:rsidR="005D0A25" w:rsidRDefault="005D0A25" w:rsidP="00F34C75"/>
    <w:p w14:paraId="1BD777BD" w14:textId="77777777" w:rsidR="00F34C75" w:rsidRDefault="00F34C75" w:rsidP="00F34C75">
      <w:pPr>
        <w:pStyle w:val="Heading3"/>
      </w:pPr>
      <w:bookmarkStart w:id="55" w:name="_Toc64285542"/>
      <w:bookmarkStart w:id="56" w:name="_Toc369864691"/>
      <w:r>
        <w:t>Background Screening</w:t>
      </w:r>
      <w:bookmarkEnd w:id="55"/>
    </w:p>
    <w:p w14:paraId="34195884" w14:textId="693834E5" w:rsidR="00F34C75" w:rsidRDefault="00F34C75" w:rsidP="00F34C75">
      <w:r>
        <w:rPr>
          <w:noProof/>
        </w:rPr>
        <w:drawing>
          <wp:anchor distT="0" distB="0" distL="114300" distR="114300" simplePos="0" relativeHeight="251658263" behindDoc="0" locked="0" layoutInCell="1" allowOverlap="1" wp14:anchorId="046FDE26" wp14:editId="52A9FCBE">
            <wp:simplePos x="0" y="0"/>
            <wp:positionH relativeFrom="margin">
              <wp:posOffset>163830</wp:posOffset>
            </wp:positionH>
            <wp:positionV relativeFrom="paragraph">
              <wp:posOffset>149860</wp:posOffset>
            </wp:positionV>
            <wp:extent cx="682625" cy="758825"/>
            <wp:effectExtent l="0" t="0" r="3175"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ue-fingerprint[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82625" cy="758825"/>
                    </a:xfrm>
                    <a:prstGeom prst="rect">
                      <a:avLst/>
                    </a:prstGeom>
                  </pic:spPr>
                </pic:pic>
              </a:graphicData>
            </a:graphic>
            <wp14:sizeRelV relativeFrom="margin">
              <wp14:pctHeight>0</wp14:pctHeight>
            </wp14:sizeRelV>
          </wp:anchor>
        </w:drawing>
      </w:r>
      <w:r>
        <w:t xml:space="preserve">When examining background screening results, a varying number of employee records are reviewed to determine compliance with all the components of the requirement. For Background Screening, if any one staff record indicates a lack of required documentation, the provider is reported as having the </w:t>
      </w:r>
      <w:r>
        <w:lastRenderedPageBreak/>
        <w:t xml:space="preserve">standard Not Met. </w:t>
      </w:r>
      <w:r w:rsidRPr="006754D3">
        <w:t>The following information shows the percent of service providers and WSCs compliant with all background screening documentation requirements, by region</w:t>
      </w:r>
      <w:r w:rsidR="00BC5615">
        <w:t xml:space="preserve">, for the pre-pandemic time period </w:t>
      </w:r>
      <w:r w:rsidR="00BC5615" w:rsidRPr="006754D3">
        <w:t>(Figure 1</w:t>
      </w:r>
      <w:r w:rsidR="00BC5615">
        <w:t>8a</w:t>
      </w:r>
      <w:r w:rsidR="00BC5615" w:rsidRPr="006754D3">
        <w:t xml:space="preserve">) </w:t>
      </w:r>
      <w:r w:rsidR="00BC5615">
        <w:t xml:space="preserve">and the current contract year </w:t>
      </w:r>
      <w:r w:rsidR="00860D20">
        <w:t xml:space="preserve">(Figure 18b). Results were similar in both time periods.  The greatest regional difference is in the Southern Region, where findings show less compliance in the current year than in the pre-pandemic period. </w:t>
      </w:r>
      <w:r w:rsidR="00D75F98" w:rsidRPr="006754D3">
        <w:t>Service</w:t>
      </w:r>
      <w:r w:rsidRPr="006754D3">
        <w:t xml:space="preserve"> providers were</w:t>
      </w:r>
      <w:r w:rsidR="006754D3" w:rsidRPr="006754D3">
        <w:t xml:space="preserve">, on average, </w:t>
      </w:r>
      <w:r w:rsidRPr="006754D3">
        <w:t>less likely to have all required background docume</w:t>
      </w:r>
      <w:r w:rsidR="00FE673A" w:rsidRPr="006754D3">
        <w:t>ntation in place than were WSCs</w:t>
      </w:r>
      <w:r w:rsidR="00860D20">
        <w:t xml:space="preserve">, however, that difference was greater in the pre-pandemic period. The average WSC compliance rate has declined somewhat. </w:t>
      </w:r>
      <w:r w:rsidR="00FE673A" w:rsidRPr="006754D3">
        <w:t xml:space="preserve">  </w:t>
      </w:r>
      <w:r w:rsidR="006754D3">
        <w:t xml:space="preserve"> </w:t>
      </w:r>
    </w:p>
    <w:p w14:paraId="4B658509" w14:textId="5422A318" w:rsidR="00F34C75" w:rsidRDefault="00860D20" w:rsidP="00F34C75">
      <w:pPr>
        <w:spacing w:line="240" w:lineRule="auto"/>
        <w:jc w:val="center"/>
        <w:rPr>
          <w:noProof/>
        </w:rPr>
      </w:pPr>
      <w:r>
        <w:rPr>
          <w:noProof/>
        </w:rPr>
        <w:drawing>
          <wp:anchor distT="0" distB="0" distL="114300" distR="114300" simplePos="0" relativeHeight="251690039" behindDoc="0" locked="0" layoutInCell="1" allowOverlap="1" wp14:anchorId="4D519615" wp14:editId="60C13A1F">
            <wp:simplePos x="0" y="0"/>
            <wp:positionH relativeFrom="margin">
              <wp:posOffset>2957830</wp:posOffset>
            </wp:positionH>
            <wp:positionV relativeFrom="paragraph">
              <wp:posOffset>254000</wp:posOffset>
            </wp:positionV>
            <wp:extent cx="2805430" cy="3289935"/>
            <wp:effectExtent l="0" t="0" r="0" b="5715"/>
            <wp:wrapSquare wrapText="bothSides"/>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539B4C16" w14:textId="01772DBF" w:rsidR="00BC5615" w:rsidRDefault="00860D20" w:rsidP="00BC5615">
      <w:pPr>
        <w:spacing w:line="240" w:lineRule="auto"/>
        <w:rPr>
          <w:noProof/>
        </w:rPr>
      </w:pPr>
      <w:r>
        <w:rPr>
          <w:noProof/>
        </w:rPr>
        <w:drawing>
          <wp:anchor distT="0" distB="0" distL="114300" distR="114300" simplePos="0" relativeHeight="251689015" behindDoc="0" locked="0" layoutInCell="1" allowOverlap="1" wp14:anchorId="7A34BF89" wp14:editId="260C6D64">
            <wp:simplePos x="0" y="0"/>
            <wp:positionH relativeFrom="column">
              <wp:posOffset>-152400</wp:posOffset>
            </wp:positionH>
            <wp:positionV relativeFrom="paragraph">
              <wp:posOffset>47625</wp:posOffset>
            </wp:positionV>
            <wp:extent cx="2950845" cy="3331845"/>
            <wp:effectExtent l="0" t="0" r="1905" b="1905"/>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14:paraId="5BBEFE87" w14:textId="79C75EC5" w:rsidR="00BC5615" w:rsidRDefault="00BC5615" w:rsidP="00BC5615">
      <w:pPr>
        <w:spacing w:line="240" w:lineRule="auto"/>
        <w:rPr>
          <w:noProof/>
        </w:rPr>
      </w:pPr>
    </w:p>
    <w:p w14:paraId="3950B852" w14:textId="73D9CB9D" w:rsidR="0002184C" w:rsidRDefault="0002184C" w:rsidP="00F34C75">
      <w:pPr>
        <w:spacing w:line="240" w:lineRule="auto"/>
        <w:jc w:val="center"/>
      </w:pPr>
    </w:p>
    <w:p w14:paraId="6E69988B" w14:textId="461BA999" w:rsidR="00F34C75" w:rsidRDefault="00F34C75" w:rsidP="00F34C75">
      <w:pPr>
        <w:pStyle w:val="Heading3"/>
      </w:pPr>
      <w:bookmarkStart w:id="57" w:name="_Toc64285543"/>
      <w:r>
        <w:t>Potential Billing Discrepancy</w:t>
      </w:r>
      <w:bookmarkEnd w:id="57"/>
      <w:r>
        <w:t xml:space="preserve"> </w:t>
      </w:r>
    </w:p>
    <w:p w14:paraId="14AD9D2E" w14:textId="25E3A340" w:rsidR="00534BF4" w:rsidRDefault="00F34C75" w:rsidP="00F34C75">
      <w:r>
        <w:rPr>
          <w:noProof/>
        </w:rPr>
        <w:drawing>
          <wp:anchor distT="0" distB="0" distL="114300" distR="114300" simplePos="0" relativeHeight="251658262" behindDoc="0" locked="0" layoutInCell="1" allowOverlap="1" wp14:anchorId="78D2ECAB" wp14:editId="5E44B8C6">
            <wp:simplePos x="0" y="0"/>
            <wp:positionH relativeFrom="margin">
              <wp:align>left</wp:align>
            </wp:positionH>
            <wp:positionV relativeFrom="paragraph">
              <wp:posOffset>130810</wp:posOffset>
            </wp:positionV>
            <wp:extent cx="685800" cy="787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50px-US-$10-FRN-1914-Fr.898a[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5800" cy="787400"/>
                    </a:xfrm>
                    <a:prstGeom prst="rect">
                      <a:avLst/>
                    </a:prstGeom>
                  </pic:spPr>
                </pic:pic>
              </a:graphicData>
            </a:graphic>
            <wp14:sizeRelH relativeFrom="margin">
              <wp14:pctWidth>0</wp14:pctWidth>
            </wp14:sizeRelH>
            <wp14:sizeRelV relativeFrom="margin">
              <wp14:pctHeight>0</wp14:pctHeight>
            </wp14:sizeRelV>
          </wp:anchor>
        </w:drawing>
      </w:r>
      <w:r w:rsidRPr="003B27BE">
        <w:t>For each service, several applicable standards related to billing requirements are score</w:t>
      </w:r>
      <w:r>
        <w:t>d</w:t>
      </w:r>
      <w:r w:rsidRPr="003B27BE">
        <w:t xml:space="preserve"> by </w:t>
      </w:r>
      <w:r>
        <w:t>QAR</w:t>
      </w:r>
      <w:r w:rsidRPr="003B27BE">
        <w:t xml:space="preserve">s. </w:t>
      </w:r>
      <w:r>
        <w:t>If</w:t>
      </w:r>
      <w:r w:rsidRPr="003B27BE">
        <w:t xml:space="preserve"> any of the standards are scored Not </w:t>
      </w:r>
      <w:r w:rsidR="00261D42">
        <w:t>Present</w:t>
      </w:r>
      <w:r w:rsidRPr="003B27BE">
        <w:t xml:space="preserve">, it is noted on the PDR Report as a </w:t>
      </w:r>
      <w:r>
        <w:t xml:space="preserve">potential billing </w:t>
      </w:r>
      <w:r w:rsidRPr="00B05255">
        <w:t xml:space="preserve">discrepancy. The percentage of providers with one or </w:t>
      </w:r>
      <w:r w:rsidRPr="004E5A37">
        <w:t xml:space="preserve">more potential billing discrepancy is presented by region in Figure </w:t>
      </w:r>
      <w:r w:rsidR="00405136" w:rsidRPr="004E5A37">
        <w:t>1</w:t>
      </w:r>
      <w:r w:rsidR="00261D42" w:rsidRPr="004E5A37">
        <w:t>9</w:t>
      </w:r>
      <w:r w:rsidRPr="004E5A37">
        <w:t xml:space="preserve">. </w:t>
      </w:r>
      <w:r w:rsidR="00B05255" w:rsidRPr="004E5A37">
        <w:t xml:space="preserve">Approximately </w:t>
      </w:r>
      <w:r w:rsidR="004E5A37" w:rsidRPr="004E5A37">
        <w:t>60</w:t>
      </w:r>
      <w:r w:rsidR="0067795D" w:rsidRPr="004E5A37">
        <w:t xml:space="preserve"> </w:t>
      </w:r>
      <w:r w:rsidR="00B05255" w:rsidRPr="004E5A37">
        <w:t xml:space="preserve">percent of service providers had </w:t>
      </w:r>
      <w:r w:rsidR="00B05255" w:rsidRPr="004E5A37">
        <w:rPr>
          <w:u w:val="single"/>
        </w:rPr>
        <w:t>all</w:t>
      </w:r>
      <w:r w:rsidR="00B05255" w:rsidRPr="004E5A37">
        <w:t xml:space="preserve"> billing discrepancy standards scored </w:t>
      </w:r>
      <w:r w:rsidR="00FF10F8" w:rsidRPr="004E5A37">
        <w:t>M</w:t>
      </w:r>
      <w:r w:rsidR="00B05255" w:rsidRPr="004E5A37">
        <w:t xml:space="preserve">et, compared to </w:t>
      </w:r>
      <w:r w:rsidR="004E5A37" w:rsidRPr="004E5A37">
        <w:t>82</w:t>
      </w:r>
      <w:r w:rsidR="00B05255" w:rsidRPr="004E5A37">
        <w:t xml:space="preserve"> percent of WSCs</w:t>
      </w:r>
      <w:r w:rsidR="004E5A37" w:rsidRPr="004E5A37">
        <w:t>, a 22 point difference</w:t>
      </w:r>
      <w:r w:rsidR="00B05255" w:rsidRPr="004E5A37">
        <w:t xml:space="preserve">. </w:t>
      </w:r>
      <w:r w:rsidR="0067795D" w:rsidRPr="004E5A37">
        <w:t>The greatest discrepanc</w:t>
      </w:r>
      <w:r w:rsidR="004E5A37" w:rsidRPr="004E5A37">
        <w:t>ies</w:t>
      </w:r>
      <w:r w:rsidR="0067795D" w:rsidRPr="004E5A37">
        <w:t xml:space="preserve"> between the two types of providers w</w:t>
      </w:r>
      <w:r w:rsidR="004E5A37" w:rsidRPr="004E5A37">
        <w:t>ere</w:t>
      </w:r>
      <w:r w:rsidR="0067795D" w:rsidRPr="004E5A37">
        <w:t xml:space="preserve"> in the Southern and Northwest regions.</w:t>
      </w:r>
      <w:r w:rsidR="0067795D">
        <w:t xml:space="preserve">  </w:t>
      </w:r>
    </w:p>
    <w:p w14:paraId="761F03C5" w14:textId="544E46B3" w:rsidR="00B05255" w:rsidRDefault="00B05255" w:rsidP="00F34C75"/>
    <w:p w14:paraId="117BFC0E" w14:textId="1C553E4F" w:rsidR="0067795D" w:rsidRDefault="00B31258" w:rsidP="0067795D">
      <w:pPr>
        <w:spacing w:line="240" w:lineRule="auto"/>
        <w:jc w:val="center"/>
      </w:pPr>
      <w:r>
        <w:rPr>
          <w:noProof/>
        </w:rPr>
        <w:drawing>
          <wp:inline distT="0" distB="0" distL="0" distR="0" wp14:anchorId="0D442A1B" wp14:editId="043BBE0F">
            <wp:extent cx="4890135" cy="2590800"/>
            <wp:effectExtent l="0" t="0" r="571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BF9C61E" w14:textId="42CE3F3C" w:rsidR="006E370B" w:rsidRDefault="006E370B" w:rsidP="006E370B">
      <w:pPr>
        <w:spacing w:line="240" w:lineRule="auto"/>
      </w:pPr>
    </w:p>
    <w:p w14:paraId="2F43F9EE" w14:textId="021632DB" w:rsidR="006E370B" w:rsidRDefault="00D710C0" w:rsidP="0067795D">
      <w:r>
        <w:lastRenderedPageBreak/>
        <w:t>Table</w:t>
      </w:r>
      <w:r w:rsidR="00763209">
        <w:t xml:space="preserve"> 18</w:t>
      </w:r>
      <w:r w:rsidR="00763209" w:rsidRPr="00412928">
        <w:t xml:space="preserve"> </w:t>
      </w:r>
      <w:r>
        <w:t>shows</w:t>
      </w:r>
      <w:r w:rsidR="00763209" w:rsidRPr="00412928">
        <w:t xml:space="preserve"> the </w:t>
      </w:r>
      <w:r>
        <w:t>number</w:t>
      </w:r>
      <w:r w:rsidR="00763209" w:rsidRPr="00412928">
        <w:t xml:space="preserve"> of records reviewed, by service, </w:t>
      </w:r>
      <w:r>
        <w:t xml:space="preserve">and the percent </w:t>
      </w:r>
      <w:r w:rsidR="00D605BB">
        <w:t>of</w:t>
      </w:r>
      <w:r w:rsidR="00763209" w:rsidRPr="00412928">
        <w:t xml:space="preserve"> billing discrepancy standards scored</w:t>
      </w:r>
      <w:r w:rsidR="00763209">
        <w:t xml:space="preserve"> Met</w:t>
      </w:r>
      <w:r w:rsidR="00763209" w:rsidRPr="003438CD">
        <w:t xml:space="preserve">. </w:t>
      </w:r>
      <w:r w:rsidR="00763209">
        <w:t xml:space="preserve">For all services reviewed during the first </w:t>
      </w:r>
      <w:r w:rsidR="00D605BB">
        <w:t xml:space="preserve">two </w:t>
      </w:r>
      <w:r w:rsidR="00763209">
        <w:t>quarter</w:t>
      </w:r>
      <w:r w:rsidR="00D605BB">
        <w:t>s of the year</w:t>
      </w:r>
      <w:r w:rsidR="00763209" w:rsidRPr="00A40F3B">
        <w:t xml:space="preserve">, approximately </w:t>
      </w:r>
      <w:r w:rsidR="00D605BB">
        <w:t>80.7</w:t>
      </w:r>
      <w:r w:rsidR="00763209" w:rsidRPr="00A40F3B">
        <w:t xml:space="preserve"> percent of billing standards were scored </w:t>
      </w:r>
      <w:r w:rsidR="00763209">
        <w:t>M</w:t>
      </w:r>
      <w:r w:rsidR="00763209" w:rsidRPr="00A40F3B">
        <w:t>et</w:t>
      </w:r>
      <w:r w:rsidR="00D6214B">
        <w:t>. T</w:t>
      </w:r>
      <w:r w:rsidR="00763209" w:rsidRPr="00A40F3B">
        <w:t xml:space="preserve">he lowest compliance </w:t>
      </w:r>
      <w:r w:rsidR="00D6214B">
        <w:t xml:space="preserve">was </w:t>
      </w:r>
      <w:r w:rsidR="00763209" w:rsidRPr="00A40F3B">
        <w:t xml:space="preserve">shown for </w:t>
      </w:r>
      <w:r w:rsidR="00763209">
        <w:t>Personal Supports (</w:t>
      </w:r>
      <w:r w:rsidR="00D605BB">
        <w:t>68.2</w:t>
      </w:r>
      <w:r w:rsidR="00763209">
        <w:t>%), Respite (</w:t>
      </w:r>
      <w:r w:rsidR="00D605BB">
        <w:t>72.0</w:t>
      </w:r>
      <w:r w:rsidR="00763209">
        <w:t xml:space="preserve">%), and </w:t>
      </w:r>
      <w:r w:rsidR="00763209" w:rsidRPr="00A40F3B">
        <w:t>Supported Living Coaching (</w:t>
      </w:r>
      <w:r w:rsidR="00D605BB">
        <w:t>67.6</w:t>
      </w:r>
      <w:r w:rsidR="0067795D">
        <w:t>%</w:t>
      </w:r>
      <w:r w:rsidR="00763209">
        <w:t>).</w:t>
      </w:r>
      <w:r w:rsidR="00D605BB">
        <w:t xml:space="preserve"> The greatest difference compared to last year’ pre-pandemic data was for Supported Employment, almost 12 points higher in the current year.</w:t>
      </w:r>
    </w:p>
    <w:p w14:paraId="42F0FFAB" w14:textId="0FB1963A" w:rsidR="0067795D" w:rsidRDefault="0067795D" w:rsidP="0067795D"/>
    <w:tbl>
      <w:tblPr>
        <w:tblW w:w="8910" w:type="dxa"/>
        <w:jc w:val="center"/>
        <w:tblLook w:val="04A0" w:firstRow="1" w:lastRow="0" w:firstColumn="1" w:lastColumn="0" w:noHBand="0" w:noVBand="1"/>
      </w:tblPr>
      <w:tblGrid>
        <w:gridCol w:w="4410"/>
        <w:gridCol w:w="1170"/>
        <w:gridCol w:w="1080"/>
        <w:gridCol w:w="1087"/>
        <w:gridCol w:w="1163"/>
      </w:tblGrid>
      <w:tr w:rsidR="00D710C0" w:rsidRPr="00D710C0" w14:paraId="28C2156A" w14:textId="77777777" w:rsidTr="00D605BB">
        <w:trPr>
          <w:trHeight w:val="315"/>
          <w:tblHeader/>
          <w:jc w:val="center"/>
        </w:trPr>
        <w:tc>
          <w:tcPr>
            <w:tcW w:w="8910" w:type="dxa"/>
            <w:gridSpan w:val="5"/>
            <w:tcBorders>
              <w:top w:val="single" w:sz="8" w:space="0" w:color="auto"/>
              <w:left w:val="single" w:sz="8" w:space="0" w:color="auto"/>
              <w:bottom w:val="single" w:sz="4" w:space="0" w:color="auto"/>
              <w:right w:val="single" w:sz="8" w:space="0" w:color="000000"/>
            </w:tcBorders>
            <w:shd w:val="clear" w:color="000000" w:fill="215967"/>
            <w:noWrap/>
            <w:vAlign w:val="bottom"/>
            <w:hideMark/>
          </w:tcPr>
          <w:p w14:paraId="4AC954AC" w14:textId="53AC00F2" w:rsidR="00D710C0" w:rsidRPr="00D710C0" w:rsidRDefault="00D710C0" w:rsidP="00D710C0">
            <w:pPr>
              <w:spacing w:line="240" w:lineRule="auto"/>
              <w:jc w:val="center"/>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 xml:space="preserve">Table </w:t>
            </w:r>
            <w:r>
              <w:rPr>
                <w:rFonts w:ascii="Franklin Gothic Medium" w:eastAsia="Times New Roman" w:hAnsi="Franklin Gothic Medium" w:cs="Calibri"/>
                <w:color w:val="FFFFFF"/>
                <w:sz w:val="22"/>
              </w:rPr>
              <w:t>21</w:t>
            </w:r>
            <w:r w:rsidRPr="00D710C0">
              <w:rPr>
                <w:rFonts w:ascii="Franklin Gothic Medium" w:eastAsia="Times New Roman" w:hAnsi="Franklin Gothic Medium" w:cs="Calibri"/>
                <w:color w:val="FFFFFF"/>
                <w:sz w:val="22"/>
              </w:rPr>
              <w:t>.  Billing Discrepancy Standard Scored Met by Service</w:t>
            </w:r>
          </w:p>
        </w:tc>
      </w:tr>
      <w:tr w:rsidR="00D710C0" w:rsidRPr="00D710C0" w14:paraId="5849F107" w14:textId="77777777" w:rsidTr="00D605BB">
        <w:trPr>
          <w:trHeight w:val="315"/>
          <w:tblHeader/>
          <w:jc w:val="center"/>
        </w:trPr>
        <w:tc>
          <w:tcPr>
            <w:tcW w:w="4410" w:type="dxa"/>
            <w:tcBorders>
              <w:top w:val="nil"/>
              <w:left w:val="single" w:sz="8" w:space="0" w:color="auto"/>
              <w:bottom w:val="single" w:sz="4" w:space="0" w:color="auto"/>
              <w:right w:val="nil"/>
            </w:tcBorders>
            <w:shd w:val="clear" w:color="000000" w:fill="215967"/>
            <w:noWrap/>
            <w:vAlign w:val="bottom"/>
            <w:hideMark/>
          </w:tcPr>
          <w:p w14:paraId="38BC4F90" w14:textId="77777777" w:rsidR="00D710C0" w:rsidRPr="00D710C0" w:rsidRDefault="00D710C0" w:rsidP="00D710C0">
            <w:pPr>
              <w:spacing w:line="240" w:lineRule="auto"/>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 </w:t>
            </w:r>
          </w:p>
        </w:tc>
        <w:tc>
          <w:tcPr>
            <w:tcW w:w="2250" w:type="dxa"/>
            <w:gridSpan w:val="2"/>
            <w:tcBorders>
              <w:top w:val="single" w:sz="4" w:space="0" w:color="auto"/>
              <w:left w:val="nil"/>
              <w:right w:val="nil"/>
            </w:tcBorders>
            <w:shd w:val="clear" w:color="000000" w:fill="215967"/>
            <w:noWrap/>
            <w:vAlign w:val="bottom"/>
            <w:hideMark/>
          </w:tcPr>
          <w:p w14:paraId="2B4508CD" w14:textId="77777777" w:rsidR="00D710C0" w:rsidRPr="00D710C0" w:rsidRDefault="00D710C0" w:rsidP="00D710C0">
            <w:pPr>
              <w:spacing w:line="240" w:lineRule="auto"/>
              <w:jc w:val="center"/>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Yr3Q1-3</w:t>
            </w:r>
          </w:p>
        </w:tc>
        <w:tc>
          <w:tcPr>
            <w:tcW w:w="2250" w:type="dxa"/>
            <w:gridSpan w:val="2"/>
            <w:tcBorders>
              <w:top w:val="single" w:sz="4" w:space="0" w:color="auto"/>
              <w:left w:val="nil"/>
              <w:bottom w:val="single" w:sz="4" w:space="0" w:color="auto"/>
              <w:right w:val="single" w:sz="8" w:space="0" w:color="000000"/>
            </w:tcBorders>
            <w:shd w:val="clear" w:color="000000" w:fill="215967"/>
            <w:noWrap/>
            <w:vAlign w:val="bottom"/>
            <w:hideMark/>
          </w:tcPr>
          <w:p w14:paraId="126F70E0" w14:textId="77777777" w:rsidR="00D710C0" w:rsidRPr="00D710C0" w:rsidRDefault="00D710C0" w:rsidP="00D710C0">
            <w:pPr>
              <w:spacing w:line="240" w:lineRule="auto"/>
              <w:jc w:val="center"/>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Y4Q1-2</w:t>
            </w:r>
          </w:p>
        </w:tc>
      </w:tr>
      <w:tr w:rsidR="00D710C0" w:rsidRPr="00D710C0" w14:paraId="4A1CC9A8" w14:textId="77777777" w:rsidTr="00D605BB">
        <w:trPr>
          <w:trHeight w:val="494"/>
          <w:tblHeader/>
          <w:jc w:val="center"/>
        </w:trPr>
        <w:tc>
          <w:tcPr>
            <w:tcW w:w="4410" w:type="dxa"/>
            <w:tcBorders>
              <w:top w:val="nil"/>
              <w:left w:val="single" w:sz="8" w:space="0" w:color="auto"/>
              <w:bottom w:val="single" w:sz="4" w:space="0" w:color="auto"/>
              <w:right w:val="double" w:sz="6" w:space="0" w:color="auto"/>
            </w:tcBorders>
            <w:shd w:val="clear" w:color="000000" w:fill="FFD13F"/>
            <w:noWrap/>
            <w:vAlign w:val="bottom"/>
            <w:hideMark/>
          </w:tcPr>
          <w:p w14:paraId="27B08777"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Service</w:t>
            </w:r>
          </w:p>
        </w:tc>
        <w:tc>
          <w:tcPr>
            <w:tcW w:w="1170" w:type="dxa"/>
            <w:tcBorders>
              <w:top w:val="nil"/>
              <w:left w:val="double" w:sz="6" w:space="0" w:color="auto"/>
              <w:bottom w:val="single" w:sz="4" w:space="0" w:color="auto"/>
              <w:right w:val="nil"/>
            </w:tcBorders>
            <w:shd w:val="clear" w:color="000000" w:fill="FFD13F"/>
            <w:vAlign w:val="bottom"/>
            <w:hideMark/>
          </w:tcPr>
          <w:p w14:paraId="3A49A59D"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Records Reviewed</w:t>
            </w:r>
          </w:p>
        </w:tc>
        <w:tc>
          <w:tcPr>
            <w:tcW w:w="1080" w:type="dxa"/>
            <w:tcBorders>
              <w:top w:val="nil"/>
              <w:left w:val="nil"/>
              <w:bottom w:val="single" w:sz="4" w:space="0" w:color="auto"/>
              <w:right w:val="double" w:sz="6" w:space="0" w:color="auto"/>
            </w:tcBorders>
            <w:shd w:val="clear" w:color="000000" w:fill="FFD13F"/>
            <w:vAlign w:val="bottom"/>
            <w:hideMark/>
          </w:tcPr>
          <w:p w14:paraId="3663598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 Met</w:t>
            </w:r>
          </w:p>
        </w:tc>
        <w:tc>
          <w:tcPr>
            <w:tcW w:w="1087" w:type="dxa"/>
            <w:tcBorders>
              <w:top w:val="nil"/>
              <w:left w:val="double" w:sz="6" w:space="0" w:color="auto"/>
              <w:bottom w:val="single" w:sz="4" w:space="0" w:color="auto"/>
              <w:right w:val="nil"/>
            </w:tcBorders>
            <w:shd w:val="clear" w:color="000000" w:fill="FFD13F"/>
            <w:vAlign w:val="bottom"/>
            <w:hideMark/>
          </w:tcPr>
          <w:p w14:paraId="1C6E02D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Records Reviewed</w:t>
            </w:r>
          </w:p>
        </w:tc>
        <w:tc>
          <w:tcPr>
            <w:tcW w:w="1163" w:type="dxa"/>
            <w:tcBorders>
              <w:top w:val="nil"/>
              <w:left w:val="nil"/>
              <w:bottom w:val="single" w:sz="4" w:space="0" w:color="auto"/>
              <w:right w:val="single" w:sz="8" w:space="0" w:color="auto"/>
            </w:tcBorders>
            <w:shd w:val="clear" w:color="000000" w:fill="FFD13F"/>
            <w:vAlign w:val="bottom"/>
            <w:hideMark/>
          </w:tcPr>
          <w:p w14:paraId="43706699"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 Met</w:t>
            </w:r>
          </w:p>
        </w:tc>
      </w:tr>
      <w:tr w:rsidR="00D710C0" w:rsidRPr="00D710C0" w14:paraId="4B6DC78B" w14:textId="77777777" w:rsidTr="00D710C0">
        <w:trPr>
          <w:trHeight w:val="300"/>
          <w:jc w:val="center"/>
        </w:trPr>
        <w:tc>
          <w:tcPr>
            <w:tcW w:w="4410" w:type="dxa"/>
            <w:tcBorders>
              <w:top w:val="single" w:sz="4" w:space="0" w:color="auto"/>
              <w:left w:val="single" w:sz="4" w:space="0" w:color="auto"/>
              <w:bottom w:val="single" w:sz="4" w:space="0" w:color="auto"/>
              <w:right w:val="double" w:sz="6" w:space="0" w:color="auto"/>
            </w:tcBorders>
            <w:shd w:val="clear" w:color="auto" w:fill="auto"/>
            <w:noWrap/>
            <w:vAlign w:val="bottom"/>
            <w:hideMark/>
          </w:tcPr>
          <w:p w14:paraId="4D711636"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Behavior Analysis</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066DE9D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119</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41B096E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90.8%</w:t>
            </w:r>
          </w:p>
        </w:tc>
        <w:tc>
          <w:tcPr>
            <w:tcW w:w="1087" w:type="dxa"/>
            <w:tcBorders>
              <w:top w:val="single" w:sz="4" w:space="0" w:color="auto"/>
              <w:left w:val="double" w:sz="6" w:space="0" w:color="auto"/>
              <w:bottom w:val="single" w:sz="4" w:space="0" w:color="auto"/>
              <w:right w:val="nil"/>
            </w:tcBorders>
            <w:shd w:val="clear" w:color="auto" w:fill="auto"/>
            <w:noWrap/>
            <w:vAlign w:val="bottom"/>
            <w:hideMark/>
          </w:tcPr>
          <w:p w14:paraId="2E98EAF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123</w:t>
            </w:r>
          </w:p>
        </w:tc>
        <w:tc>
          <w:tcPr>
            <w:tcW w:w="1163" w:type="dxa"/>
            <w:tcBorders>
              <w:top w:val="single" w:sz="4" w:space="0" w:color="auto"/>
              <w:left w:val="nil"/>
              <w:bottom w:val="single" w:sz="4" w:space="0" w:color="auto"/>
              <w:right w:val="single" w:sz="8" w:space="0" w:color="auto"/>
            </w:tcBorders>
            <w:shd w:val="clear" w:color="auto" w:fill="auto"/>
            <w:noWrap/>
            <w:vAlign w:val="bottom"/>
            <w:hideMark/>
          </w:tcPr>
          <w:p w14:paraId="3B79D1A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88.6%</w:t>
            </w:r>
          </w:p>
        </w:tc>
      </w:tr>
      <w:tr w:rsidR="00D710C0" w:rsidRPr="00D710C0" w14:paraId="2E737D5E" w14:textId="77777777" w:rsidTr="00D710C0">
        <w:trPr>
          <w:trHeight w:val="300"/>
          <w:jc w:val="center"/>
        </w:trPr>
        <w:tc>
          <w:tcPr>
            <w:tcW w:w="4410" w:type="dxa"/>
            <w:tcBorders>
              <w:top w:val="single" w:sz="4" w:space="0" w:color="auto"/>
              <w:left w:val="single" w:sz="8" w:space="0" w:color="auto"/>
              <w:bottom w:val="single" w:sz="4" w:space="0" w:color="auto"/>
              <w:right w:val="double" w:sz="6" w:space="0" w:color="auto"/>
            </w:tcBorders>
            <w:shd w:val="clear" w:color="auto" w:fill="auto"/>
            <w:noWrap/>
            <w:vAlign w:val="bottom"/>
            <w:hideMark/>
          </w:tcPr>
          <w:p w14:paraId="4D8CF656"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Behavior Assistant</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33D32F1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25</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47C243C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76.0%</w:t>
            </w:r>
          </w:p>
        </w:tc>
        <w:tc>
          <w:tcPr>
            <w:tcW w:w="1087" w:type="dxa"/>
            <w:tcBorders>
              <w:top w:val="single" w:sz="4" w:space="0" w:color="auto"/>
              <w:left w:val="double" w:sz="6" w:space="0" w:color="auto"/>
              <w:bottom w:val="single" w:sz="4" w:space="0" w:color="auto"/>
              <w:right w:val="nil"/>
            </w:tcBorders>
            <w:shd w:val="clear" w:color="auto" w:fill="auto"/>
            <w:noWrap/>
            <w:vAlign w:val="bottom"/>
            <w:hideMark/>
          </w:tcPr>
          <w:p w14:paraId="02AEC22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21</w:t>
            </w:r>
          </w:p>
        </w:tc>
        <w:tc>
          <w:tcPr>
            <w:tcW w:w="1163" w:type="dxa"/>
            <w:tcBorders>
              <w:top w:val="single" w:sz="4" w:space="0" w:color="auto"/>
              <w:left w:val="nil"/>
              <w:bottom w:val="single" w:sz="4" w:space="0" w:color="auto"/>
              <w:right w:val="single" w:sz="8" w:space="0" w:color="auto"/>
            </w:tcBorders>
            <w:shd w:val="clear" w:color="auto" w:fill="auto"/>
            <w:noWrap/>
            <w:vAlign w:val="bottom"/>
            <w:hideMark/>
          </w:tcPr>
          <w:p w14:paraId="055BD12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81.0%</w:t>
            </w:r>
          </w:p>
        </w:tc>
      </w:tr>
      <w:tr w:rsidR="00D710C0" w:rsidRPr="00D710C0" w14:paraId="2AC757C3"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1F9D5276"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CDC+ Consultant</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717142DB"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70</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211EC6C8"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97.1%</w:t>
            </w:r>
          </w:p>
        </w:tc>
        <w:tc>
          <w:tcPr>
            <w:tcW w:w="1087" w:type="dxa"/>
            <w:tcBorders>
              <w:top w:val="nil"/>
              <w:left w:val="double" w:sz="6" w:space="0" w:color="auto"/>
              <w:bottom w:val="single" w:sz="4" w:space="0" w:color="auto"/>
              <w:right w:val="nil"/>
            </w:tcBorders>
            <w:shd w:val="clear" w:color="auto" w:fill="auto"/>
            <w:noWrap/>
            <w:vAlign w:val="bottom"/>
            <w:hideMark/>
          </w:tcPr>
          <w:p w14:paraId="34BCA23A"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73</w:t>
            </w:r>
          </w:p>
        </w:tc>
        <w:tc>
          <w:tcPr>
            <w:tcW w:w="1163" w:type="dxa"/>
            <w:tcBorders>
              <w:top w:val="nil"/>
              <w:left w:val="nil"/>
              <w:bottom w:val="single" w:sz="4" w:space="0" w:color="auto"/>
              <w:right w:val="single" w:sz="8" w:space="0" w:color="auto"/>
            </w:tcBorders>
            <w:shd w:val="clear" w:color="auto" w:fill="auto"/>
            <w:noWrap/>
            <w:vAlign w:val="bottom"/>
            <w:hideMark/>
          </w:tcPr>
          <w:p w14:paraId="43A84E0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95.9%</w:t>
            </w:r>
          </w:p>
        </w:tc>
      </w:tr>
      <w:tr w:rsidR="00D710C0" w:rsidRPr="00D710C0" w14:paraId="35B755F9"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3C7EA42A"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CDC+ Consultant UA</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616CAE4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49</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2167D861"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89.8%</w:t>
            </w:r>
          </w:p>
        </w:tc>
        <w:tc>
          <w:tcPr>
            <w:tcW w:w="1087" w:type="dxa"/>
            <w:tcBorders>
              <w:top w:val="nil"/>
              <w:left w:val="double" w:sz="6" w:space="0" w:color="auto"/>
              <w:bottom w:val="single" w:sz="4" w:space="0" w:color="auto"/>
              <w:right w:val="nil"/>
            </w:tcBorders>
            <w:shd w:val="clear" w:color="auto" w:fill="auto"/>
            <w:noWrap/>
            <w:vAlign w:val="bottom"/>
            <w:hideMark/>
          </w:tcPr>
          <w:p w14:paraId="27E4C64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32</w:t>
            </w:r>
          </w:p>
        </w:tc>
        <w:tc>
          <w:tcPr>
            <w:tcW w:w="1163" w:type="dxa"/>
            <w:tcBorders>
              <w:top w:val="nil"/>
              <w:left w:val="nil"/>
              <w:bottom w:val="single" w:sz="4" w:space="0" w:color="auto"/>
              <w:right w:val="single" w:sz="8" w:space="0" w:color="auto"/>
            </w:tcBorders>
            <w:shd w:val="clear" w:color="auto" w:fill="auto"/>
            <w:noWrap/>
            <w:vAlign w:val="bottom"/>
            <w:hideMark/>
          </w:tcPr>
          <w:p w14:paraId="0E9643E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84.4%</w:t>
            </w:r>
          </w:p>
        </w:tc>
      </w:tr>
      <w:tr w:rsidR="00D710C0" w:rsidRPr="00D710C0" w14:paraId="3EE3E035"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556A0A9F"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Life Skills Development 1 (Companion)</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60265572"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649</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39A8CE88"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64.1%</w:t>
            </w:r>
          </w:p>
        </w:tc>
        <w:tc>
          <w:tcPr>
            <w:tcW w:w="1087" w:type="dxa"/>
            <w:tcBorders>
              <w:top w:val="nil"/>
              <w:left w:val="double" w:sz="6" w:space="0" w:color="auto"/>
              <w:bottom w:val="single" w:sz="4" w:space="0" w:color="auto"/>
              <w:right w:val="nil"/>
            </w:tcBorders>
            <w:shd w:val="clear" w:color="auto" w:fill="auto"/>
            <w:noWrap/>
            <w:vAlign w:val="bottom"/>
            <w:hideMark/>
          </w:tcPr>
          <w:p w14:paraId="1C08024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528</w:t>
            </w:r>
          </w:p>
        </w:tc>
        <w:tc>
          <w:tcPr>
            <w:tcW w:w="1163" w:type="dxa"/>
            <w:tcBorders>
              <w:top w:val="nil"/>
              <w:left w:val="nil"/>
              <w:bottom w:val="single" w:sz="4" w:space="0" w:color="auto"/>
              <w:right w:val="single" w:sz="8" w:space="0" w:color="auto"/>
            </w:tcBorders>
            <w:shd w:val="clear" w:color="auto" w:fill="auto"/>
            <w:noWrap/>
            <w:vAlign w:val="bottom"/>
            <w:hideMark/>
          </w:tcPr>
          <w:p w14:paraId="7A4B896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71.2%</w:t>
            </w:r>
          </w:p>
        </w:tc>
      </w:tr>
      <w:tr w:rsidR="00D710C0" w:rsidRPr="00D710C0" w14:paraId="3D648076"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471D215A"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Life Skills Development 2 (SEC)</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43955A34"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140</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53B254E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62.9%</w:t>
            </w:r>
          </w:p>
        </w:tc>
        <w:tc>
          <w:tcPr>
            <w:tcW w:w="1087" w:type="dxa"/>
            <w:tcBorders>
              <w:top w:val="nil"/>
              <w:left w:val="double" w:sz="6" w:space="0" w:color="auto"/>
              <w:bottom w:val="single" w:sz="4" w:space="0" w:color="auto"/>
              <w:right w:val="nil"/>
            </w:tcBorders>
            <w:shd w:val="clear" w:color="auto" w:fill="auto"/>
            <w:noWrap/>
            <w:vAlign w:val="bottom"/>
            <w:hideMark/>
          </w:tcPr>
          <w:p w14:paraId="7B7118B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118</w:t>
            </w:r>
          </w:p>
        </w:tc>
        <w:tc>
          <w:tcPr>
            <w:tcW w:w="1163" w:type="dxa"/>
            <w:tcBorders>
              <w:top w:val="nil"/>
              <w:left w:val="nil"/>
              <w:bottom w:val="single" w:sz="4" w:space="0" w:color="auto"/>
              <w:right w:val="single" w:sz="8" w:space="0" w:color="auto"/>
            </w:tcBorders>
            <w:shd w:val="clear" w:color="auto" w:fill="auto"/>
            <w:noWrap/>
            <w:vAlign w:val="bottom"/>
            <w:hideMark/>
          </w:tcPr>
          <w:p w14:paraId="3CCDC75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74.6%</w:t>
            </w:r>
          </w:p>
        </w:tc>
      </w:tr>
      <w:tr w:rsidR="00D710C0" w:rsidRPr="00D710C0" w14:paraId="77744ABA"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53A10961"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Life Skills Development 3 (ADT)</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63F1B84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292</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4B36BD01"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80.5%</w:t>
            </w:r>
          </w:p>
        </w:tc>
        <w:tc>
          <w:tcPr>
            <w:tcW w:w="1087" w:type="dxa"/>
            <w:tcBorders>
              <w:top w:val="nil"/>
              <w:left w:val="double" w:sz="6" w:space="0" w:color="auto"/>
              <w:bottom w:val="single" w:sz="4" w:space="0" w:color="auto"/>
              <w:right w:val="nil"/>
            </w:tcBorders>
            <w:shd w:val="clear" w:color="auto" w:fill="auto"/>
            <w:noWrap/>
            <w:vAlign w:val="bottom"/>
            <w:hideMark/>
          </w:tcPr>
          <w:p w14:paraId="0DFDA0F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261</w:t>
            </w:r>
          </w:p>
        </w:tc>
        <w:tc>
          <w:tcPr>
            <w:tcW w:w="1163" w:type="dxa"/>
            <w:tcBorders>
              <w:top w:val="nil"/>
              <w:left w:val="nil"/>
              <w:bottom w:val="single" w:sz="4" w:space="0" w:color="auto"/>
              <w:right w:val="single" w:sz="8" w:space="0" w:color="auto"/>
            </w:tcBorders>
            <w:shd w:val="clear" w:color="auto" w:fill="auto"/>
            <w:noWrap/>
            <w:vAlign w:val="bottom"/>
            <w:hideMark/>
          </w:tcPr>
          <w:p w14:paraId="5614CFCA"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81.2%</w:t>
            </w:r>
          </w:p>
        </w:tc>
      </w:tr>
      <w:tr w:rsidR="00D710C0" w:rsidRPr="00D710C0" w14:paraId="75C0FF1A"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4363B350"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Personal Supports</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62E2D3B6"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1103</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32E0CA2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65.0%</w:t>
            </w:r>
          </w:p>
        </w:tc>
        <w:tc>
          <w:tcPr>
            <w:tcW w:w="1087" w:type="dxa"/>
            <w:tcBorders>
              <w:top w:val="nil"/>
              <w:left w:val="double" w:sz="6" w:space="0" w:color="auto"/>
              <w:bottom w:val="single" w:sz="4" w:space="0" w:color="auto"/>
              <w:right w:val="nil"/>
            </w:tcBorders>
            <w:shd w:val="clear" w:color="auto" w:fill="auto"/>
            <w:noWrap/>
            <w:vAlign w:val="bottom"/>
            <w:hideMark/>
          </w:tcPr>
          <w:p w14:paraId="74B9111D"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859</w:t>
            </w:r>
          </w:p>
        </w:tc>
        <w:tc>
          <w:tcPr>
            <w:tcW w:w="1163" w:type="dxa"/>
            <w:tcBorders>
              <w:top w:val="nil"/>
              <w:left w:val="nil"/>
              <w:bottom w:val="single" w:sz="4" w:space="0" w:color="auto"/>
              <w:right w:val="single" w:sz="8" w:space="0" w:color="auto"/>
            </w:tcBorders>
            <w:shd w:val="clear" w:color="auto" w:fill="auto"/>
            <w:noWrap/>
            <w:vAlign w:val="bottom"/>
            <w:hideMark/>
          </w:tcPr>
          <w:p w14:paraId="7AD26D88"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68.2%</w:t>
            </w:r>
          </w:p>
        </w:tc>
      </w:tr>
      <w:tr w:rsidR="00D710C0" w:rsidRPr="00D710C0" w14:paraId="223D44E5"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08077CAA"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Residential Habilitation Behavior Focus</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22462EBF"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134</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797C1692"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89.6%</w:t>
            </w:r>
          </w:p>
        </w:tc>
        <w:tc>
          <w:tcPr>
            <w:tcW w:w="1087" w:type="dxa"/>
            <w:tcBorders>
              <w:top w:val="nil"/>
              <w:left w:val="double" w:sz="6" w:space="0" w:color="auto"/>
              <w:bottom w:val="single" w:sz="4" w:space="0" w:color="auto"/>
              <w:right w:val="nil"/>
            </w:tcBorders>
            <w:shd w:val="clear" w:color="auto" w:fill="auto"/>
            <w:noWrap/>
            <w:vAlign w:val="bottom"/>
            <w:hideMark/>
          </w:tcPr>
          <w:p w14:paraId="287AE04B"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106</w:t>
            </w:r>
          </w:p>
        </w:tc>
        <w:tc>
          <w:tcPr>
            <w:tcW w:w="1163" w:type="dxa"/>
            <w:tcBorders>
              <w:top w:val="nil"/>
              <w:left w:val="nil"/>
              <w:bottom w:val="single" w:sz="4" w:space="0" w:color="auto"/>
              <w:right w:val="single" w:sz="8" w:space="0" w:color="auto"/>
            </w:tcBorders>
            <w:shd w:val="clear" w:color="auto" w:fill="auto"/>
            <w:noWrap/>
            <w:vAlign w:val="bottom"/>
            <w:hideMark/>
          </w:tcPr>
          <w:p w14:paraId="0CFB5D7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93.4%</w:t>
            </w:r>
          </w:p>
        </w:tc>
      </w:tr>
      <w:tr w:rsidR="00D710C0" w:rsidRPr="00D710C0" w14:paraId="4E5FB882"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2388D48B"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Residential Habilitation EIB</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534E99AF"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096AA97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100.0%</w:t>
            </w:r>
          </w:p>
        </w:tc>
        <w:tc>
          <w:tcPr>
            <w:tcW w:w="1087" w:type="dxa"/>
            <w:tcBorders>
              <w:top w:val="nil"/>
              <w:left w:val="double" w:sz="6" w:space="0" w:color="auto"/>
              <w:bottom w:val="single" w:sz="4" w:space="0" w:color="auto"/>
              <w:right w:val="nil"/>
            </w:tcBorders>
            <w:shd w:val="clear" w:color="auto" w:fill="auto"/>
            <w:noWrap/>
            <w:vAlign w:val="bottom"/>
            <w:hideMark/>
          </w:tcPr>
          <w:p w14:paraId="5BF3FA5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w:t>
            </w:r>
          </w:p>
        </w:tc>
        <w:tc>
          <w:tcPr>
            <w:tcW w:w="1163" w:type="dxa"/>
            <w:tcBorders>
              <w:top w:val="nil"/>
              <w:left w:val="nil"/>
              <w:bottom w:val="single" w:sz="4" w:space="0" w:color="auto"/>
              <w:right w:val="single" w:sz="8" w:space="0" w:color="auto"/>
            </w:tcBorders>
            <w:shd w:val="clear" w:color="auto" w:fill="auto"/>
            <w:noWrap/>
            <w:vAlign w:val="bottom"/>
            <w:hideMark/>
          </w:tcPr>
          <w:p w14:paraId="39D8D492"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100.0%</w:t>
            </w:r>
          </w:p>
        </w:tc>
      </w:tr>
      <w:tr w:rsidR="00D710C0" w:rsidRPr="00D710C0" w14:paraId="374A6ED5"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49363A67"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Residential Habilitation Intensive Behavioral</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406B5FD4"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29</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72481CC2"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89.7%</w:t>
            </w:r>
          </w:p>
        </w:tc>
        <w:tc>
          <w:tcPr>
            <w:tcW w:w="1087" w:type="dxa"/>
            <w:tcBorders>
              <w:top w:val="nil"/>
              <w:left w:val="double" w:sz="6" w:space="0" w:color="auto"/>
              <w:bottom w:val="single" w:sz="4" w:space="0" w:color="auto"/>
              <w:right w:val="nil"/>
            </w:tcBorders>
            <w:shd w:val="clear" w:color="auto" w:fill="auto"/>
            <w:noWrap/>
            <w:vAlign w:val="bottom"/>
            <w:hideMark/>
          </w:tcPr>
          <w:p w14:paraId="53842906"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24</w:t>
            </w:r>
          </w:p>
        </w:tc>
        <w:tc>
          <w:tcPr>
            <w:tcW w:w="1163" w:type="dxa"/>
            <w:tcBorders>
              <w:top w:val="nil"/>
              <w:left w:val="nil"/>
              <w:bottom w:val="single" w:sz="4" w:space="0" w:color="auto"/>
              <w:right w:val="single" w:sz="8" w:space="0" w:color="auto"/>
            </w:tcBorders>
            <w:shd w:val="clear" w:color="auto" w:fill="auto"/>
            <w:noWrap/>
            <w:vAlign w:val="bottom"/>
            <w:hideMark/>
          </w:tcPr>
          <w:p w14:paraId="1026B069"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91.7%</w:t>
            </w:r>
          </w:p>
        </w:tc>
      </w:tr>
      <w:tr w:rsidR="00D710C0" w:rsidRPr="00D710C0" w14:paraId="7AD6EE20"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3D8AAE2E"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Residential Habilitation Standard</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0C48FB86"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634</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66E5EADD"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91.3%</w:t>
            </w:r>
          </w:p>
        </w:tc>
        <w:tc>
          <w:tcPr>
            <w:tcW w:w="1087" w:type="dxa"/>
            <w:tcBorders>
              <w:top w:val="nil"/>
              <w:left w:val="double" w:sz="6" w:space="0" w:color="auto"/>
              <w:bottom w:val="single" w:sz="4" w:space="0" w:color="auto"/>
              <w:right w:val="nil"/>
            </w:tcBorders>
            <w:shd w:val="clear" w:color="auto" w:fill="auto"/>
            <w:noWrap/>
            <w:vAlign w:val="bottom"/>
            <w:hideMark/>
          </w:tcPr>
          <w:p w14:paraId="1D70206A"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455</w:t>
            </w:r>
          </w:p>
        </w:tc>
        <w:tc>
          <w:tcPr>
            <w:tcW w:w="1163" w:type="dxa"/>
            <w:tcBorders>
              <w:top w:val="nil"/>
              <w:left w:val="nil"/>
              <w:bottom w:val="single" w:sz="4" w:space="0" w:color="auto"/>
              <w:right w:val="single" w:sz="8" w:space="0" w:color="auto"/>
            </w:tcBorders>
            <w:shd w:val="clear" w:color="auto" w:fill="auto"/>
            <w:noWrap/>
            <w:vAlign w:val="bottom"/>
            <w:hideMark/>
          </w:tcPr>
          <w:p w14:paraId="71984D3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93.8%</w:t>
            </w:r>
          </w:p>
        </w:tc>
      </w:tr>
      <w:tr w:rsidR="00D710C0" w:rsidRPr="00D710C0" w14:paraId="69B47C7A"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227A35D7"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Respite</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45704874"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269</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7F9871B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63.9%</w:t>
            </w:r>
          </w:p>
        </w:tc>
        <w:tc>
          <w:tcPr>
            <w:tcW w:w="1087" w:type="dxa"/>
            <w:tcBorders>
              <w:top w:val="nil"/>
              <w:left w:val="double" w:sz="6" w:space="0" w:color="auto"/>
              <w:bottom w:val="single" w:sz="4" w:space="0" w:color="auto"/>
              <w:right w:val="nil"/>
            </w:tcBorders>
            <w:shd w:val="clear" w:color="auto" w:fill="auto"/>
            <w:noWrap/>
            <w:vAlign w:val="bottom"/>
            <w:hideMark/>
          </w:tcPr>
          <w:p w14:paraId="164E6E31"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218</w:t>
            </w:r>
          </w:p>
        </w:tc>
        <w:tc>
          <w:tcPr>
            <w:tcW w:w="1163" w:type="dxa"/>
            <w:tcBorders>
              <w:top w:val="nil"/>
              <w:left w:val="nil"/>
              <w:bottom w:val="single" w:sz="4" w:space="0" w:color="auto"/>
              <w:right w:val="single" w:sz="8" w:space="0" w:color="auto"/>
            </w:tcBorders>
            <w:shd w:val="clear" w:color="auto" w:fill="auto"/>
            <w:noWrap/>
            <w:vAlign w:val="bottom"/>
            <w:hideMark/>
          </w:tcPr>
          <w:p w14:paraId="59E60E0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72.0%</w:t>
            </w:r>
          </w:p>
        </w:tc>
      </w:tr>
      <w:tr w:rsidR="00D710C0" w:rsidRPr="00D710C0" w14:paraId="0F1C063C"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4C184A08"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Special Medical Home Care</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5ADCFC7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6ACDEF64"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100.0%</w:t>
            </w:r>
          </w:p>
        </w:tc>
        <w:tc>
          <w:tcPr>
            <w:tcW w:w="1087" w:type="dxa"/>
            <w:tcBorders>
              <w:top w:val="nil"/>
              <w:left w:val="double" w:sz="6" w:space="0" w:color="auto"/>
              <w:bottom w:val="single" w:sz="4" w:space="0" w:color="auto"/>
              <w:right w:val="nil"/>
            </w:tcBorders>
            <w:shd w:val="clear" w:color="auto" w:fill="auto"/>
            <w:noWrap/>
            <w:vAlign w:val="bottom"/>
            <w:hideMark/>
          </w:tcPr>
          <w:p w14:paraId="7965B5D4"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w:t>
            </w:r>
          </w:p>
        </w:tc>
        <w:tc>
          <w:tcPr>
            <w:tcW w:w="1163" w:type="dxa"/>
            <w:tcBorders>
              <w:top w:val="nil"/>
              <w:left w:val="nil"/>
              <w:bottom w:val="single" w:sz="4" w:space="0" w:color="auto"/>
              <w:right w:val="single" w:sz="8" w:space="0" w:color="auto"/>
            </w:tcBorders>
            <w:shd w:val="clear" w:color="auto" w:fill="auto"/>
            <w:noWrap/>
            <w:vAlign w:val="bottom"/>
            <w:hideMark/>
          </w:tcPr>
          <w:p w14:paraId="4DFD727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100.0%</w:t>
            </w:r>
          </w:p>
        </w:tc>
      </w:tr>
      <w:tr w:rsidR="00D710C0" w:rsidRPr="00D710C0" w14:paraId="2311E475"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4127F394"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Support Coordination</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34B84F0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701</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1DBDA13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92.6%</w:t>
            </w:r>
          </w:p>
        </w:tc>
        <w:tc>
          <w:tcPr>
            <w:tcW w:w="1087" w:type="dxa"/>
            <w:tcBorders>
              <w:top w:val="nil"/>
              <w:left w:val="double" w:sz="6" w:space="0" w:color="auto"/>
              <w:bottom w:val="single" w:sz="4" w:space="0" w:color="auto"/>
              <w:right w:val="nil"/>
            </w:tcBorders>
            <w:shd w:val="clear" w:color="auto" w:fill="auto"/>
            <w:noWrap/>
            <w:vAlign w:val="bottom"/>
            <w:hideMark/>
          </w:tcPr>
          <w:p w14:paraId="0EDE2EE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612</w:t>
            </w:r>
          </w:p>
        </w:tc>
        <w:tc>
          <w:tcPr>
            <w:tcW w:w="1163" w:type="dxa"/>
            <w:tcBorders>
              <w:top w:val="nil"/>
              <w:left w:val="nil"/>
              <w:bottom w:val="single" w:sz="4" w:space="0" w:color="auto"/>
              <w:right w:val="single" w:sz="8" w:space="0" w:color="auto"/>
            </w:tcBorders>
            <w:shd w:val="clear" w:color="auto" w:fill="auto"/>
            <w:noWrap/>
            <w:vAlign w:val="bottom"/>
            <w:hideMark/>
          </w:tcPr>
          <w:p w14:paraId="7CBABDD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91.3%</w:t>
            </w:r>
          </w:p>
        </w:tc>
      </w:tr>
      <w:tr w:rsidR="00D710C0" w:rsidRPr="00D710C0" w14:paraId="03904BA1" w14:textId="77777777" w:rsidTr="00D710C0">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bottom"/>
            <w:hideMark/>
          </w:tcPr>
          <w:p w14:paraId="00762005"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Support Coordination UA</w:t>
            </w:r>
          </w:p>
        </w:tc>
        <w:tc>
          <w:tcPr>
            <w:tcW w:w="1170" w:type="dxa"/>
            <w:tcBorders>
              <w:top w:val="single" w:sz="4" w:space="0" w:color="auto"/>
              <w:left w:val="double" w:sz="6" w:space="0" w:color="auto"/>
              <w:bottom w:val="single" w:sz="4" w:space="0" w:color="auto"/>
              <w:right w:val="nil"/>
            </w:tcBorders>
            <w:shd w:val="clear" w:color="auto" w:fill="auto"/>
            <w:noWrap/>
            <w:vAlign w:val="bottom"/>
            <w:hideMark/>
          </w:tcPr>
          <w:p w14:paraId="4EB7062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607</w:t>
            </w:r>
          </w:p>
        </w:tc>
        <w:tc>
          <w:tcPr>
            <w:tcW w:w="1080" w:type="dxa"/>
            <w:tcBorders>
              <w:top w:val="single" w:sz="4" w:space="0" w:color="auto"/>
              <w:left w:val="nil"/>
              <w:bottom w:val="single" w:sz="4" w:space="0" w:color="auto"/>
              <w:right w:val="double" w:sz="6" w:space="0" w:color="auto"/>
            </w:tcBorders>
            <w:shd w:val="clear" w:color="auto" w:fill="auto"/>
            <w:noWrap/>
            <w:vAlign w:val="bottom"/>
            <w:hideMark/>
          </w:tcPr>
          <w:p w14:paraId="5E74EC8D"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91.4%</w:t>
            </w:r>
          </w:p>
        </w:tc>
        <w:tc>
          <w:tcPr>
            <w:tcW w:w="1087" w:type="dxa"/>
            <w:tcBorders>
              <w:top w:val="nil"/>
              <w:left w:val="double" w:sz="6" w:space="0" w:color="auto"/>
              <w:bottom w:val="single" w:sz="4" w:space="0" w:color="auto"/>
              <w:right w:val="nil"/>
            </w:tcBorders>
            <w:shd w:val="clear" w:color="auto" w:fill="auto"/>
            <w:noWrap/>
            <w:vAlign w:val="bottom"/>
            <w:hideMark/>
          </w:tcPr>
          <w:p w14:paraId="46A3BA5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386</w:t>
            </w:r>
          </w:p>
        </w:tc>
        <w:tc>
          <w:tcPr>
            <w:tcW w:w="1163" w:type="dxa"/>
            <w:tcBorders>
              <w:top w:val="nil"/>
              <w:left w:val="nil"/>
              <w:bottom w:val="single" w:sz="4" w:space="0" w:color="auto"/>
              <w:right w:val="single" w:sz="8" w:space="0" w:color="auto"/>
            </w:tcBorders>
            <w:shd w:val="clear" w:color="auto" w:fill="auto"/>
            <w:noWrap/>
            <w:vAlign w:val="bottom"/>
            <w:hideMark/>
          </w:tcPr>
          <w:p w14:paraId="12312CC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93.8%</w:t>
            </w:r>
          </w:p>
        </w:tc>
      </w:tr>
      <w:tr w:rsidR="00D710C0" w:rsidRPr="00D710C0" w14:paraId="4200C476" w14:textId="77777777" w:rsidTr="00D710C0">
        <w:trPr>
          <w:trHeight w:val="315"/>
          <w:jc w:val="center"/>
        </w:trPr>
        <w:tc>
          <w:tcPr>
            <w:tcW w:w="4410" w:type="dxa"/>
            <w:tcBorders>
              <w:top w:val="nil"/>
              <w:left w:val="single" w:sz="8" w:space="0" w:color="auto"/>
              <w:bottom w:val="double" w:sz="6" w:space="0" w:color="auto"/>
              <w:right w:val="double" w:sz="6" w:space="0" w:color="auto"/>
            </w:tcBorders>
            <w:shd w:val="clear" w:color="auto" w:fill="auto"/>
            <w:noWrap/>
            <w:vAlign w:val="bottom"/>
            <w:hideMark/>
          </w:tcPr>
          <w:p w14:paraId="51B217D5"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Supported Living Coaching</w:t>
            </w:r>
          </w:p>
        </w:tc>
        <w:tc>
          <w:tcPr>
            <w:tcW w:w="1170" w:type="dxa"/>
            <w:tcBorders>
              <w:top w:val="single" w:sz="4" w:space="0" w:color="auto"/>
              <w:left w:val="double" w:sz="6" w:space="0" w:color="auto"/>
              <w:bottom w:val="double" w:sz="6" w:space="0" w:color="auto"/>
              <w:right w:val="nil"/>
            </w:tcBorders>
            <w:shd w:val="clear" w:color="auto" w:fill="auto"/>
            <w:noWrap/>
            <w:vAlign w:val="bottom"/>
            <w:hideMark/>
          </w:tcPr>
          <w:p w14:paraId="384936FF"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307</w:t>
            </w:r>
          </w:p>
        </w:tc>
        <w:tc>
          <w:tcPr>
            <w:tcW w:w="1080" w:type="dxa"/>
            <w:tcBorders>
              <w:top w:val="single" w:sz="4" w:space="0" w:color="auto"/>
              <w:left w:val="nil"/>
              <w:bottom w:val="double" w:sz="6" w:space="0" w:color="auto"/>
              <w:right w:val="double" w:sz="6" w:space="0" w:color="auto"/>
            </w:tcBorders>
            <w:shd w:val="clear" w:color="auto" w:fill="auto"/>
            <w:noWrap/>
            <w:vAlign w:val="bottom"/>
            <w:hideMark/>
          </w:tcPr>
          <w:p w14:paraId="6BCFAEB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58.0%</w:t>
            </w:r>
          </w:p>
        </w:tc>
        <w:tc>
          <w:tcPr>
            <w:tcW w:w="1087" w:type="dxa"/>
            <w:tcBorders>
              <w:top w:val="nil"/>
              <w:left w:val="double" w:sz="6" w:space="0" w:color="auto"/>
              <w:bottom w:val="double" w:sz="6" w:space="0" w:color="auto"/>
              <w:right w:val="nil"/>
            </w:tcBorders>
            <w:shd w:val="clear" w:color="auto" w:fill="auto"/>
            <w:noWrap/>
            <w:vAlign w:val="bottom"/>
            <w:hideMark/>
          </w:tcPr>
          <w:p w14:paraId="196DEF9B"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244</w:t>
            </w:r>
          </w:p>
        </w:tc>
        <w:tc>
          <w:tcPr>
            <w:tcW w:w="1163" w:type="dxa"/>
            <w:tcBorders>
              <w:top w:val="nil"/>
              <w:left w:val="nil"/>
              <w:bottom w:val="double" w:sz="6" w:space="0" w:color="auto"/>
              <w:right w:val="single" w:sz="8" w:space="0" w:color="auto"/>
            </w:tcBorders>
            <w:shd w:val="clear" w:color="auto" w:fill="auto"/>
            <w:noWrap/>
            <w:vAlign w:val="bottom"/>
            <w:hideMark/>
          </w:tcPr>
          <w:p w14:paraId="298DDA69"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67.6%</w:t>
            </w:r>
          </w:p>
        </w:tc>
      </w:tr>
      <w:tr w:rsidR="00D710C0" w:rsidRPr="00D710C0" w14:paraId="5D800898" w14:textId="77777777" w:rsidTr="00D710C0">
        <w:trPr>
          <w:trHeight w:val="330"/>
          <w:jc w:val="center"/>
        </w:trPr>
        <w:tc>
          <w:tcPr>
            <w:tcW w:w="4410" w:type="dxa"/>
            <w:tcBorders>
              <w:top w:val="nil"/>
              <w:left w:val="single" w:sz="8" w:space="0" w:color="auto"/>
              <w:bottom w:val="single" w:sz="8" w:space="0" w:color="auto"/>
              <w:right w:val="nil"/>
            </w:tcBorders>
            <w:shd w:val="clear" w:color="auto" w:fill="auto"/>
            <w:noWrap/>
            <w:vAlign w:val="bottom"/>
            <w:hideMark/>
          </w:tcPr>
          <w:p w14:paraId="327DC64C"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Total</w:t>
            </w:r>
          </w:p>
        </w:tc>
        <w:tc>
          <w:tcPr>
            <w:tcW w:w="1170" w:type="dxa"/>
            <w:tcBorders>
              <w:top w:val="nil"/>
              <w:left w:val="nil"/>
              <w:bottom w:val="single" w:sz="8" w:space="0" w:color="auto"/>
              <w:right w:val="nil"/>
            </w:tcBorders>
            <w:shd w:val="clear" w:color="auto" w:fill="auto"/>
            <w:noWrap/>
            <w:vAlign w:val="bottom"/>
            <w:hideMark/>
          </w:tcPr>
          <w:p w14:paraId="1E2D2CE0"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5130</w:t>
            </w:r>
          </w:p>
        </w:tc>
        <w:tc>
          <w:tcPr>
            <w:tcW w:w="1080" w:type="dxa"/>
            <w:tcBorders>
              <w:top w:val="nil"/>
              <w:left w:val="nil"/>
              <w:bottom w:val="single" w:sz="8" w:space="0" w:color="auto"/>
              <w:right w:val="nil"/>
            </w:tcBorders>
            <w:shd w:val="clear" w:color="auto" w:fill="auto"/>
            <w:noWrap/>
            <w:vAlign w:val="bottom"/>
            <w:hideMark/>
          </w:tcPr>
          <w:p w14:paraId="461F49FE"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77.5%</w:t>
            </w:r>
          </w:p>
        </w:tc>
        <w:tc>
          <w:tcPr>
            <w:tcW w:w="1087" w:type="dxa"/>
            <w:tcBorders>
              <w:top w:val="nil"/>
              <w:left w:val="nil"/>
              <w:bottom w:val="single" w:sz="8" w:space="0" w:color="auto"/>
              <w:right w:val="nil"/>
            </w:tcBorders>
            <w:shd w:val="clear" w:color="auto" w:fill="auto"/>
            <w:noWrap/>
            <w:vAlign w:val="bottom"/>
            <w:hideMark/>
          </w:tcPr>
          <w:p w14:paraId="39666D17"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4063</w:t>
            </w:r>
          </w:p>
        </w:tc>
        <w:tc>
          <w:tcPr>
            <w:tcW w:w="1163" w:type="dxa"/>
            <w:tcBorders>
              <w:top w:val="nil"/>
              <w:left w:val="nil"/>
              <w:bottom w:val="single" w:sz="8" w:space="0" w:color="auto"/>
              <w:right w:val="single" w:sz="8" w:space="0" w:color="auto"/>
            </w:tcBorders>
            <w:shd w:val="clear" w:color="auto" w:fill="auto"/>
            <w:noWrap/>
            <w:vAlign w:val="bottom"/>
            <w:hideMark/>
          </w:tcPr>
          <w:p w14:paraId="2973E0B3"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80.7%</w:t>
            </w:r>
          </w:p>
        </w:tc>
      </w:tr>
    </w:tbl>
    <w:p w14:paraId="2ADCEB64" w14:textId="77777777" w:rsidR="00D710C0" w:rsidRDefault="00D710C0" w:rsidP="00D710C0">
      <w:pPr>
        <w:spacing w:line="240" w:lineRule="auto"/>
      </w:pPr>
    </w:p>
    <w:p w14:paraId="47479B0C" w14:textId="61315186" w:rsidR="00F34C75" w:rsidRDefault="00F34C75" w:rsidP="00F34C75">
      <w:pPr>
        <w:pStyle w:val="Heading3"/>
        <w:tabs>
          <w:tab w:val="left" w:pos="734"/>
        </w:tabs>
      </w:pPr>
      <w:bookmarkStart w:id="58" w:name="_Toc64285544"/>
      <w:r>
        <w:t>PDR Summary Results</w:t>
      </w:r>
      <w:bookmarkEnd w:id="58"/>
    </w:p>
    <w:p w14:paraId="25E110F0" w14:textId="2535917A" w:rsidR="00F34C75" w:rsidRDefault="00F34C75" w:rsidP="00F34C75">
      <w:pPr>
        <w:pStyle w:val="Heading4"/>
      </w:pPr>
      <w:r w:rsidRPr="003B1881">
        <w:t xml:space="preserve">PDR Scores by </w:t>
      </w:r>
      <w:r>
        <w:t>Review Component</w:t>
      </w:r>
    </w:p>
    <w:p w14:paraId="46538587" w14:textId="60F39C30" w:rsidR="00F34C75" w:rsidRDefault="00F34C75" w:rsidP="00F34C75">
      <w:r>
        <w:t xml:space="preserve">A summary of PDR </w:t>
      </w:r>
      <w:r w:rsidR="00CF434C">
        <w:t>re</w:t>
      </w:r>
      <w:r>
        <w:t xml:space="preserve">sults by </w:t>
      </w:r>
      <w:r w:rsidR="00AB675D">
        <w:t>r</w:t>
      </w:r>
      <w:r>
        <w:t xml:space="preserve">egion is presented for Service Providers in Table </w:t>
      </w:r>
      <w:r w:rsidR="00A966F1">
        <w:t>2</w:t>
      </w:r>
      <w:r w:rsidR="00D605BB">
        <w:t>2</w:t>
      </w:r>
      <w:r>
        <w:t xml:space="preserve"> </w:t>
      </w:r>
      <w:r w:rsidR="00815EB4">
        <w:t xml:space="preserve">and for </w:t>
      </w:r>
      <w:r>
        <w:t xml:space="preserve">WSCs in Table </w:t>
      </w:r>
      <w:r w:rsidR="00A966F1">
        <w:t>2</w:t>
      </w:r>
      <w:r w:rsidR="00D605BB">
        <w:t>3</w:t>
      </w:r>
      <w:r>
        <w:t xml:space="preserve">. </w:t>
      </w:r>
      <w:r w:rsidR="00CF434C" w:rsidRPr="006D224D">
        <w:t>With a few exceptions</w:t>
      </w:r>
      <w:r w:rsidR="00CF434C" w:rsidRPr="00802A36">
        <w:t xml:space="preserve">, </w:t>
      </w:r>
      <w:r w:rsidRPr="00802A36">
        <w:t xml:space="preserve">scores are </w:t>
      </w:r>
      <w:r w:rsidR="00802A36" w:rsidRPr="00802A36">
        <w:t>91</w:t>
      </w:r>
      <w:r w:rsidRPr="00802A36">
        <w:t xml:space="preserve"> percent and above.</w:t>
      </w:r>
      <w:r w:rsidR="00B746C8" w:rsidRPr="006D224D">
        <w:t xml:space="preserve"> </w:t>
      </w:r>
      <w:r w:rsidR="006D224D" w:rsidRPr="006D224D">
        <w:t>On</w:t>
      </w:r>
      <w:r w:rsidR="006D224D">
        <w:t xml:space="preserve"> average, supports identified through the MLI were the highest scores </w:t>
      </w:r>
      <w:r w:rsidR="00A66BFC">
        <w:t>for</w:t>
      </w:r>
      <w:r w:rsidR="006D224D">
        <w:t xml:space="preserve"> all the </w:t>
      </w:r>
      <w:r w:rsidR="00815EB4">
        <w:t xml:space="preserve">service provider </w:t>
      </w:r>
      <w:r w:rsidR="006D224D">
        <w:t>PDR compo</w:t>
      </w:r>
      <w:r w:rsidR="00815EB4">
        <w:t xml:space="preserve">nents. As in previous years, WSC PDR scores </w:t>
      </w:r>
      <w:r w:rsidR="00D605BB">
        <w:t>we</w:t>
      </w:r>
      <w:r w:rsidR="00815EB4">
        <w:t xml:space="preserve">re all relatively high. </w:t>
      </w:r>
    </w:p>
    <w:p w14:paraId="28809A58" w14:textId="77777777" w:rsidR="007B1193" w:rsidRDefault="007B1193" w:rsidP="00F34C75">
      <w:pPr>
        <w:jc w:val="center"/>
      </w:pPr>
    </w:p>
    <w:tbl>
      <w:tblPr>
        <w:tblStyle w:val="PlainTable1"/>
        <w:tblW w:w="9350" w:type="dxa"/>
        <w:jc w:val="center"/>
        <w:tblLayout w:type="fixed"/>
        <w:tblLook w:val="04A0" w:firstRow="1" w:lastRow="0" w:firstColumn="1" w:lastColumn="0" w:noHBand="0" w:noVBand="1"/>
      </w:tblPr>
      <w:tblGrid>
        <w:gridCol w:w="1345"/>
        <w:gridCol w:w="720"/>
        <w:gridCol w:w="1416"/>
        <w:gridCol w:w="19"/>
        <w:gridCol w:w="1148"/>
        <w:gridCol w:w="1139"/>
        <w:gridCol w:w="1226"/>
        <w:gridCol w:w="1139"/>
        <w:gridCol w:w="1198"/>
      </w:tblGrid>
      <w:tr w:rsidR="00605590" w:rsidRPr="00383622" w14:paraId="7C2FD610" w14:textId="77777777" w:rsidTr="00CF434C">
        <w:trPr>
          <w:cnfStyle w:val="100000000000" w:firstRow="1" w:lastRow="0" w:firstColumn="0" w:lastColumn="0" w:oddVBand="0" w:evenVBand="0" w:oddHBand="0" w:evenHBand="0" w:firstRowFirstColumn="0" w:firstRowLastColumn="0" w:lastRowFirstColumn="0" w:lastRowLastColumn="0"/>
          <w:trHeight w:val="446"/>
          <w:tblHeader/>
          <w:jc w:val="center"/>
        </w:trPr>
        <w:tc>
          <w:tcPr>
            <w:cnfStyle w:val="001000000000" w:firstRow="0" w:lastRow="0" w:firstColumn="1" w:lastColumn="0" w:oddVBand="0" w:evenVBand="0" w:oddHBand="0" w:evenHBand="0" w:firstRowFirstColumn="0" w:firstRowLastColumn="0" w:lastRowFirstColumn="0" w:lastRowLastColumn="0"/>
            <w:tcW w:w="1345" w:type="dxa"/>
            <w:vMerge w:val="restart"/>
            <w:shd w:val="clear" w:color="auto" w:fill="1F4E79" w:themeFill="accent1" w:themeFillShade="80"/>
            <w:vAlign w:val="center"/>
          </w:tcPr>
          <w:p w14:paraId="302F4F47" w14:textId="118281B1" w:rsidR="00605590" w:rsidRPr="0012603D" w:rsidRDefault="00605590" w:rsidP="00605590">
            <w:pPr>
              <w:jc w:val="center"/>
              <w:rPr>
                <w:rFonts w:ascii="Franklin Gothic Medium" w:hAnsi="Franklin Gothic Medium"/>
                <w:b w:val="0"/>
                <w:color w:val="FFFFFF" w:themeColor="background1"/>
                <w:sz w:val="22"/>
              </w:rPr>
            </w:pPr>
            <w:r w:rsidRPr="000C772F">
              <w:rPr>
                <w:rFonts w:ascii="Franklin Gothic Medium" w:hAnsi="Franklin Gothic Medium"/>
                <w:b w:val="0"/>
                <w:color w:val="FFFFFF" w:themeColor="background1"/>
                <w:sz w:val="20"/>
              </w:rPr>
              <w:lastRenderedPageBreak/>
              <w:t>Region</w:t>
            </w:r>
          </w:p>
        </w:tc>
        <w:tc>
          <w:tcPr>
            <w:tcW w:w="8005" w:type="dxa"/>
            <w:gridSpan w:val="8"/>
            <w:tcBorders>
              <w:bottom w:val="nil"/>
            </w:tcBorders>
            <w:shd w:val="clear" w:color="auto" w:fill="1F4E79" w:themeFill="accent1" w:themeFillShade="80"/>
            <w:noWrap/>
            <w:vAlign w:val="center"/>
            <w:hideMark/>
          </w:tcPr>
          <w:p w14:paraId="7BA7587E" w14:textId="79332099" w:rsidR="00605590"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2"/>
              </w:rPr>
            </w:pPr>
            <w:r w:rsidRPr="0012603D">
              <w:rPr>
                <w:rFonts w:ascii="Franklin Gothic Medium" w:hAnsi="Franklin Gothic Medium"/>
                <w:b w:val="0"/>
                <w:color w:val="FFFFFF" w:themeColor="background1"/>
                <w:sz w:val="22"/>
              </w:rPr>
              <w:t>Table 2</w:t>
            </w:r>
            <w:r w:rsidR="00C90446">
              <w:rPr>
                <w:rFonts w:ascii="Franklin Gothic Medium" w:hAnsi="Franklin Gothic Medium"/>
                <w:b w:val="0"/>
                <w:color w:val="FFFFFF" w:themeColor="background1"/>
                <w:sz w:val="22"/>
              </w:rPr>
              <w:t>1</w:t>
            </w:r>
            <w:r w:rsidRPr="0012603D">
              <w:rPr>
                <w:rFonts w:ascii="Franklin Gothic Medium" w:hAnsi="Franklin Gothic Medium"/>
                <w:b w:val="0"/>
                <w:color w:val="FFFFFF" w:themeColor="background1"/>
                <w:sz w:val="22"/>
              </w:rPr>
              <w:t xml:space="preserve">. PDR Component Scores for Service Providers by </w:t>
            </w:r>
            <w:r>
              <w:rPr>
                <w:rFonts w:ascii="Franklin Gothic Medium" w:hAnsi="Franklin Gothic Medium"/>
                <w:b w:val="0"/>
                <w:color w:val="FFFFFF" w:themeColor="background1"/>
                <w:sz w:val="22"/>
              </w:rPr>
              <w:t xml:space="preserve">APD </w:t>
            </w:r>
            <w:r w:rsidRPr="0012603D">
              <w:rPr>
                <w:rFonts w:ascii="Franklin Gothic Medium" w:hAnsi="Franklin Gothic Medium"/>
                <w:b w:val="0"/>
                <w:color w:val="FFFFFF" w:themeColor="background1"/>
                <w:sz w:val="22"/>
              </w:rPr>
              <w:t>Region</w:t>
            </w:r>
          </w:p>
          <w:p w14:paraId="5DFADE52" w14:textId="2EC801DC" w:rsidR="00605590" w:rsidRPr="0012603D" w:rsidRDefault="009A56A5"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2"/>
              </w:rPr>
            </w:pPr>
            <w:r>
              <w:rPr>
                <w:rFonts w:ascii="Franklin Gothic Medium" w:hAnsi="Franklin Gothic Medium"/>
                <w:b w:val="0"/>
                <w:color w:val="FFFFFF" w:themeColor="background1"/>
                <w:sz w:val="22"/>
              </w:rPr>
              <w:t xml:space="preserve">July – </w:t>
            </w:r>
            <w:r w:rsidR="00802A36">
              <w:rPr>
                <w:rFonts w:ascii="Franklin Gothic Medium" w:hAnsi="Franklin Gothic Medium"/>
                <w:b w:val="0"/>
                <w:color w:val="FFFFFF" w:themeColor="background1"/>
                <w:sz w:val="22"/>
              </w:rPr>
              <w:t>December</w:t>
            </w:r>
            <w:r w:rsidR="00AB675D">
              <w:rPr>
                <w:rFonts w:ascii="Franklin Gothic Medium" w:hAnsi="Franklin Gothic Medium"/>
                <w:b w:val="0"/>
                <w:color w:val="FFFFFF" w:themeColor="background1"/>
                <w:sz w:val="22"/>
              </w:rPr>
              <w:t xml:space="preserve"> 2020</w:t>
            </w:r>
          </w:p>
        </w:tc>
      </w:tr>
      <w:tr w:rsidR="00605590" w:rsidRPr="000C772F" w14:paraId="19341490" w14:textId="77777777" w:rsidTr="00CF434C">
        <w:trPr>
          <w:cnfStyle w:val="100000000000" w:firstRow="1" w:lastRow="0" w:firstColumn="0" w:lastColumn="0" w:oddVBand="0" w:evenVBand="0" w:oddHBand="0" w:evenHBand="0" w:firstRowFirstColumn="0" w:firstRowLastColumn="0" w:lastRowFirstColumn="0" w:lastRowLastColumn="0"/>
          <w:trHeight w:val="593"/>
          <w:tblHeader/>
          <w:jc w:val="center"/>
        </w:trPr>
        <w:tc>
          <w:tcPr>
            <w:cnfStyle w:val="001000000000" w:firstRow="0" w:lastRow="0" w:firstColumn="1" w:lastColumn="0" w:oddVBand="0" w:evenVBand="0" w:oddHBand="0" w:evenHBand="0" w:firstRowFirstColumn="0" w:firstRowLastColumn="0" w:lastRowFirstColumn="0" w:lastRowLastColumn="0"/>
            <w:tcW w:w="1345" w:type="dxa"/>
            <w:vMerge/>
            <w:shd w:val="clear" w:color="auto" w:fill="1F4E79" w:themeFill="accent1" w:themeFillShade="80"/>
            <w:noWrap/>
            <w:vAlign w:val="center"/>
            <w:hideMark/>
          </w:tcPr>
          <w:p w14:paraId="523421B1" w14:textId="62091549" w:rsidR="00605590" w:rsidRPr="000C772F" w:rsidRDefault="00605590" w:rsidP="00605590">
            <w:pPr>
              <w:jc w:val="center"/>
              <w:rPr>
                <w:rFonts w:ascii="Franklin Gothic Medium" w:hAnsi="Franklin Gothic Medium"/>
                <w:b w:val="0"/>
                <w:color w:val="FFFFFF" w:themeColor="background1"/>
                <w:sz w:val="20"/>
              </w:rPr>
            </w:pPr>
          </w:p>
        </w:tc>
        <w:tc>
          <w:tcPr>
            <w:tcW w:w="720" w:type="dxa"/>
            <w:vMerge w:val="restart"/>
            <w:tcBorders>
              <w:top w:val="nil"/>
              <w:right w:val="nil"/>
            </w:tcBorders>
            <w:shd w:val="clear" w:color="auto" w:fill="1F4E79" w:themeFill="accent1" w:themeFillShade="80"/>
            <w:vAlign w:val="center"/>
          </w:tcPr>
          <w:p w14:paraId="21045BED" w14:textId="2AC560AF"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Pr>
                <w:rFonts w:ascii="Franklin Gothic Medium" w:hAnsi="Franklin Gothic Medium"/>
                <w:b w:val="0"/>
                <w:color w:val="FFFFFF" w:themeColor="background1"/>
                <w:sz w:val="20"/>
              </w:rPr>
              <w:t># of PDRs</w:t>
            </w:r>
          </w:p>
        </w:tc>
        <w:tc>
          <w:tcPr>
            <w:tcW w:w="1416" w:type="dxa"/>
            <w:vMerge w:val="restart"/>
            <w:tcBorders>
              <w:top w:val="nil"/>
              <w:left w:val="nil"/>
              <w:right w:val="nil"/>
            </w:tcBorders>
            <w:shd w:val="clear" w:color="auto" w:fill="1F4E79" w:themeFill="accent1" w:themeFillShade="80"/>
            <w:vAlign w:val="center"/>
            <w:hideMark/>
          </w:tcPr>
          <w:p w14:paraId="34FD6323" w14:textId="16E56F32" w:rsidR="00605590" w:rsidRPr="000C772F" w:rsidRDefault="00605590"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Policy &amp; Procedure (</w:t>
            </w:r>
            <w:r w:rsidR="00802A36">
              <w:rPr>
                <w:rFonts w:ascii="Franklin Gothic Medium" w:hAnsi="Franklin Gothic Medium"/>
                <w:b w:val="0"/>
                <w:color w:val="FFFFFF" w:themeColor="background1"/>
                <w:sz w:val="20"/>
              </w:rPr>
              <w:t>817</w:t>
            </w:r>
            <w:r w:rsidRPr="000C772F">
              <w:rPr>
                <w:rFonts w:ascii="Franklin Gothic Medium" w:hAnsi="Franklin Gothic Medium"/>
                <w:b w:val="0"/>
                <w:color w:val="FFFFFF" w:themeColor="background1"/>
                <w:sz w:val="20"/>
              </w:rPr>
              <w:t>)</w:t>
            </w:r>
          </w:p>
        </w:tc>
        <w:tc>
          <w:tcPr>
            <w:tcW w:w="1167" w:type="dxa"/>
            <w:gridSpan w:val="2"/>
            <w:vMerge w:val="restart"/>
            <w:tcBorders>
              <w:top w:val="nil"/>
              <w:left w:val="nil"/>
              <w:right w:val="nil"/>
            </w:tcBorders>
            <w:shd w:val="clear" w:color="auto" w:fill="1F4E79" w:themeFill="accent1" w:themeFillShade="80"/>
            <w:vAlign w:val="center"/>
            <w:hideMark/>
          </w:tcPr>
          <w:p w14:paraId="77D0F567" w14:textId="171F7B77" w:rsidR="00605590" w:rsidRPr="000C772F" w:rsidRDefault="00605590"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Q&amp;T              (</w:t>
            </w:r>
            <w:r w:rsidR="00802A36">
              <w:rPr>
                <w:rFonts w:ascii="Franklin Gothic Medium" w:hAnsi="Franklin Gothic Medium"/>
                <w:b w:val="0"/>
                <w:color w:val="FFFFFF" w:themeColor="background1"/>
                <w:sz w:val="20"/>
              </w:rPr>
              <w:t>2,166</w:t>
            </w:r>
            <w:r w:rsidRPr="000C772F">
              <w:rPr>
                <w:rFonts w:ascii="Franklin Gothic Medium" w:hAnsi="Franklin Gothic Medium"/>
                <w:b w:val="0"/>
                <w:color w:val="FFFFFF" w:themeColor="background1"/>
                <w:sz w:val="20"/>
              </w:rPr>
              <w:t>)</w:t>
            </w:r>
          </w:p>
        </w:tc>
        <w:tc>
          <w:tcPr>
            <w:tcW w:w="1139" w:type="dxa"/>
            <w:vMerge w:val="restart"/>
            <w:tcBorders>
              <w:top w:val="nil"/>
              <w:left w:val="nil"/>
              <w:right w:val="nil"/>
            </w:tcBorders>
            <w:shd w:val="clear" w:color="auto" w:fill="1F4E79" w:themeFill="accent1" w:themeFillShade="80"/>
            <w:vAlign w:val="center"/>
            <w:hideMark/>
          </w:tcPr>
          <w:p w14:paraId="26635965" w14:textId="77777777"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SSRR</w:t>
            </w:r>
          </w:p>
          <w:p w14:paraId="4C693D99" w14:textId="708DAF07" w:rsidR="00605590" w:rsidRPr="000C772F" w:rsidRDefault="00605590"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w:t>
            </w:r>
            <w:r w:rsidR="00802A36">
              <w:rPr>
                <w:rFonts w:ascii="Franklin Gothic Medium" w:hAnsi="Franklin Gothic Medium"/>
                <w:b w:val="0"/>
                <w:color w:val="FFFFFF" w:themeColor="background1"/>
                <w:sz w:val="20"/>
              </w:rPr>
              <w:t>2,966</w:t>
            </w:r>
            <w:r w:rsidRPr="000C772F">
              <w:rPr>
                <w:rFonts w:ascii="Franklin Gothic Medium" w:hAnsi="Franklin Gothic Medium"/>
                <w:b w:val="0"/>
                <w:color w:val="FFFFFF" w:themeColor="background1"/>
                <w:sz w:val="20"/>
              </w:rPr>
              <w:t>)</w:t>
            </w:r>
          </w:p>
        </w:tc>
        <w:tc>
          <w:tcPr>
            <w:tcW w:w="2365" w:type="dxa"/>
            <w:gridSpan w:val="2"/>
            <w:tcBorders>
              <w:top w:val="nil"/>
              <w:left w:val="nil"/>
              <w:right w:val="nil"/>
            </w:tcBorders>
            <w:shd w:val="clear" w:color="auto" w:fill="1F4E79" w:themeFill="accent1" w:themeFillShade="80"/>
            <w:noWrap/>
            <w:vAlign w:val="center"/>
            <w:hideMark/>
          </w:tcPr>
          <w:p w14:paraId="7C6D027A" w14:textId="77777777"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MLI</w:t>
            </w:r>
          </w:p>
          <w:p w14:paraId="7D04F1BC" w14:textId="3235255A" w:rsidR="00605590" w:rsidRPr="000C772F" w:rsidRDefault="00605590"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w:t>
            </w:r>
            <w:r w:rsidR="00802A36">
              <w:rPr>
                <w:rFonts w:ascii="Franklin Gothic Medium" w:hAnsi="Franklin Gothic Medium"/>
                <w:b w:val="0"/>
                <w:color w:val="FFFFFF" w:themeColor="background1"/>
                <w:sz w:val="20"/>
              </w:rPr>
              <w:t>1,204</w:t>
            </w:r>
            <w:r w:rsidRPr="000C772F">
              <w:rPr>
                <w:rFonts w:ascii="Franklin Gothic Medium" w:hAnsi="Franklin Gothic Medium"/>
                <w:b w:val="0"/>
                <w:color w:val="FFFFFF" w:themeColor="background1"/>
                <w:sz w:val="20"/>
              </w:rPr>
              <w:t>)</w:t>
            </w:r>
          </w:p>
        </w:tc>
        <w:tc>
          <w:tcPr>
            <w:tcW w:w="1198" w:type="dxa"/>
            <w:vMerge w:val="restart"/>
            <w:tcBorders>
              <w:top w:val="nil"/>
              <w:left w:val="nil"/>
            </w:tcBorders>
            <w:shd w:val="clear" w:color="auto" w:fill="1F4E79" w:themeFill="accent1" w:themeFillShade="80"/>
            <w:vAlign w:val="center"/>
            <w:hideMark/>
          </w:tcPr>
          <w:p w14:paraId="3400AE86" w14:textId="4886E7FA" w:rsidR="00605590" w:rsidRPr="000C772F" w:rsidRDefault="00605590" w:rsidP="006D2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O</w:t>
            </w:r>
            <w:r w:rsidR="006D224D">
              <w:rPr>
                <w:rFonts w:ascii="Franklin Gothic Medium" w:hAnsi="Franklin Gothic Medium"/>
                <w:b w:val="0"/>
                <w:color w:val="FFFFFF" w:themeColor="background1"/>
                <w:sz w:val="20"/>
              </w:rPr>
              <w:t>BS</w:t>
            </w:r>
          </w:p>
        </w:tc>
      </w:tr>
      <w:tr w:rsidR="00605590" w:rsidRPr="000C772F" w14:paraId="3CDE2B06" w14:textId="77777777" w:rsidTr="00D605BB">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345" w:type="dxa"/>
            <w:vMerge/>
            <w:shd w:val="clear" w:color="auto" w:fill="1F4E79" w:themeFill="accent1" w:themeFillShade="80"/>
            <w:hideMark/>
          </w:tcPr>
          <w:p w14:paraId="7E058F88" w14:textId="77777777" w:rsidR="00605590" w:rsidRPr="000C772F" w:rsidRDefault="00605590" w:rsidP="00F34C75">
            <w:pPr>
              <w:rPr>
                <w:rFonts w:ascii="Franklin Gothic Medium" w:hAnsi="Franklin Gothic Medium"/>
                <w:b w:val="0"/>
                <w:color w:val="FFFFFF" w:themeColor="background1"/>
                <w:sz w:val="20"/>
              </w:rPr>
            </w:pPr>
          </w:p>
        </w:tc>
        <w:tc>
          <w:tcPr>
            <w:tcW w:w="720" w:type="dxa"/>
            <w:vMerge/>
            <w:tcBorders>
              <w:right w:val="nil"/>
            </w:tcBorders>
            <w:shd w:val="clear" w:color="auto" w:fill="1F4E79" w:themeFill="accent1" w:themeFillShade="80"/>
          </w:tcPr>
          <w:p w14:paraId="2D00C05A"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416" w:type="dxa"/>
            <w:vMerge/>
            <w:tcBorders>
              <w:left w:val="nil"/>
              <w:right w:val="nil"/>
            </w:tcBorders>
            <w:shd w:val="clear" w:color="auto" w:fill="1F4E79" w:themeFill="accent1" w:themeFillShade="80"/>
            <w:hideMark/>
          </w:tcPr>
          <w:p w14:paraId="36604F97" w14:textId="3F474A78"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167" w:type="dxa"/>
            <w:gridSpan w:val="2"/>
            <w:vMerge/>
            <w:tcBorders>
              <w:left w:val="nil"/>
              <w:right w:val="nil"/>
            </w:tcBorders>
            <w:shd w:val="clear" w:color="auto" w:fill="1F4E79" w:themeFill="accent1" w:themeFillShade="80"/>
            <w:hideMark/>
          </w:tcPr>
          <w:p w14:paraId="27DA1F03"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139" w:type="dxa"/>
            <w:vMerge/>
            <w:tcBorders>
              <w:left w:val="nil"/>
              <w:right w:val="nil"/>
            </w:tcBorders>
            <w:shd w:val="clear" w:color="auto" w:fill="1F4E79" w:themeFill="accent1" w:themeFillShade="80"/>
            <w:hideMark/>
          </w:tcPr>
          <w:p w14:paraId="75E470AE"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226" w:type="dxa"/>
            <w:tcBorders>
              <w:left w:val="nil"/>
              <w:right w:val="nil"/>
            </w:tcBorders>
            <w:shd w:val="clear" w:color="auto" w:fill="1F4E79" w:themeFill="accent1" w:themeFillShade="80"/>
            <w:noWrap/>
            <w:vAlign w:val="center"/>
            <w:hideMark/>
          </w:tcPr>
          <w:p w14:paraId="57C3C50F" w14:textId="77777777" w:rsidR="00605590" w:rsidRPr="000C772F" w:rsidRDefault="00605590" w:rsidP="00F34C75">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r w:rsidRPr="000C772F">
              <w:rPr>
                <w:rFonts w:ascii="Franklin Gothic Medium" w:hAnsi="Franklin Gothic Medium"/>
                <w:color w:val="FFFFFF" w:themeColor="background1"/>
                <w:sz w:val="20"/>
              </w:rPr>
              <w:t>Outcomes</w:t>
            </w:r>
          </w:p>
        </w:tc>
        <w:tc>
          <w:tcPr>
            <w:tcW w:w="1139" w:type="dxa"/>
            <w:tcBorders>
              <w:left w:val="nil"/>
              <w:right w:val="nil"/>
            </w:tcBorders>
            <w:shd w:val="clear" w:color="auto" w:fill="1F4E79" w:themeFill="accent1" w:themeFillShade="80"/>
            <w:noWrap/>
            <w:vAlign w:val="center"/>
            <w:hideMark/>
          </w:tcPr>
          <w:p w14:paraId="0C6BC86A" w14:textId="77777777" w:rsidR="00605590" w:rsidRPr="000C772F" w:rsidRDefault="00605590" w:rsidP="00F34C75">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r w:rsidRPr="000C772F">
              <w:rPr>
                <w:rFonts w:ascii="Franklin Gothic Medium" w:hAnsi="Franklin Gothic Medium"/>
                <w:color w:val="FFFFFF" w:themeColor="background1"/>
                <w:sz w:val="20"/>
              </w:rPr>
              <w:t>Supports</w:t>
            </w:r>
          </w:p>
        </w:tc>
        <w:tc>
          <w:tcPr>
            <w:tcW w:w="1198" w:type="dxa"/>
            <w:vMerge/>
            <w:tcBorders>
              <w:left w:val="nil"/>
            </w:tcBorders>
            <w:shd w:val="clear" w:color="auto" w:fill="1F4E79" w:themeFill="accent1" w:themeFillShade="80"/>
            <w:hideMark/>
          </w:tcPr>
          <w:p w14:paraId="1DF43691" w14:textId="77777777" w:rsidR="00605590" w:rsidRPr="000C772F" w:rsidRDefault="00605590" w:rsidP="00F34C75">
            <w:pP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r>
      <w:tr w:rsidR="00802A36" w:rsidRPr="00383622" w14:paraId="38050588" w14:textId="77777777" w:rsidTr="00802A36">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225508F"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Northwest</w:t>
            </w:r>
          </w:p>
        </w:tc>
        <w:tc>
          <w:tcPr>
            <w:tcW w:w="720" w:type="dxa"/>
            <w:tcBorders>
              <w:right w:val="nil"/>
            </w:tcBorders>
            <w:shd w:val="clear" w:color="auto" w:fill="F2F2F2" w:themeFill="background1" w:themeFillShade="F2"/>
            <w:vAlign w:val="bottom"/>
          </w:tcPr>
          <w:p w14:paraId="7C5DBF03" w14:textId="78AE30FA"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41</w:t>
            </w:r>
          </w:p>
        </w:tc>
        <w:tc>
          <w:tcPr>
            <w:tcW w:w="1435" w:type="dxa"/>
            <w:gridSpan w:val="2"/>
            <w:tcBorders>
              <w:left w:val="nil"/>
              <w:right w:val="nil"/>
            </w:tcBorders>
            <w:shd w:val="clear" w:color="auto" w:fill="F2F2F2" w:themeFill="background1" w:themeFillShade="F2"/>
            <w:noWrap/>
            <w:vAlign w:val="bottom"/>
            <w:hideMark/>
          </w:tcPr>
          <w:p w14:paraId="5C904D72" w14:textId="512C0896"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97.4%</w:t>
            </w:r>
          </w:p>
        </w:tc>
        <w:tc>
          <w:tcPr>
            <w:tcW w:w="1148" w:type="dxa"/>
            <w:tcBorders>
              <w:left w:val="nil"/>
              <w:right w:val="nil"/>
            </w:tcBorders>
            <w:shd w:val="clear" w:color="auto" w:fill="F2F2F2" w:themeFill="background1" w:themeFillShade="F2"/>
            <w:noWrap/>
            <w:vAlign w:val="bottom"/>
            <w:hideMark/>
          </w:tcPr>
          <w:p w14:paraId="26F803E7" w14:textId="11399B25"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90.8%</w:t>
            </w:r>
          </w:p>
        </w:tc>
        <w:tc>
          <w:tcPr>
            <w:tcW w:w="1139" w:type="dxa"/>
            <w:tcBorders>
              <w:left w:val="nil"/>
              <w:right w:val="nil"/>
            </w:tcBorders>
            <w:shd w:val="clear" w:color="auto" w:fill="F2F2F2" w:themeFill="background1" w:themeFillShade="F2"/>
            <w:noWrap/>
            <w:vAlign w:val="bottom"/>
            <w:hideMark/>
          </w:tcPr>
          <w:p w14:paraId="13BA8791" w14:textId="33D82B1F"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89.5%</w:t>
            </w:r>
          </w:p>
        </w:tc>
        <w:tc>
          <w:tcPr>
            <w:tcW w:w="1226" w:type="dxa"/>
            <w:tcBorders>
              <w:left w:val="nil"/>
              <w:right w:val="nil"/>
            </w:tcBorders>
            <w:shd w:val="clear" w:color="auto" w:fill="F2F2F2" w:themeFill="background1" w:themeFillShade="F2"/>
            <w:noWrap/>
            <w:vAlign w:val="bottom"/>
            <w:hideMark/>
          </w:tcPr>
          <w:p w14:paraId="75EF8690" w14:textId="4F869450"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95.4%</w:t>
            </w:r>
          </w:p>
        </w:tc>
        <w:tc>
          <w:tcPr>
            <w:tcW w:w="1139" w:type="dxa"/>
            <w:tcBorders>
              <w:left w:val="nil"/>
              <w:right w:val="nil"/>
            </w:tcBorders>
            <w:shd w:val="clear" w:color="auto" w:fill="F2F2F2" w:themeFill="background1" w:themeFillShade="F2"/>
            <w:noWrap/>
            <w:vAlign w:val="bottom"/>
            <w:hideMark/>
          </w:tcPr>
          <w:p w14:paraId="010A27B2" w14:textId="5521E1A8"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99.4%</w:t>
            </w:r>
          </w:p>
        </w:tc>
        <w:tc>
          <w:tcPr>
            <w:tcW w:w="1198" w:type="dxa"/>
            <w:tcBorders>
              <w:left w:val="nil"/>
            </w:tcBorders>
            <w:shd w:val="clear" w:color="auto" w:fill="F2F2F2" w:themeFill="background1" w:themeFillShade="F2"/>
            <w:noWrap/>
          </w:tcPr>
          <w:p w14:paraId="7DA181FF" w14:textId="065A9FDC" w:rsidR="00802A36" w:rsidRPr="004E7AE3"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491DB1B0" w14:textId="77777777" w:rsidTr="00802A36">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33B1F505"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Northeast</w:t>
            </w:r>
          </w:p>
        </w:tc>
        <w:tc>
          <w:tcPr>
            <w:tcW w:w="720" w:type="dxa"/>
            <w:tcBorders>
              <w:right w:val="nil"/>
            </w:tcBorders>
            <w:shd w:val="clear" w:color="auto" w:fill="auto"/>
            <w:vAlign w:val="bottom"/>
          </w:tcPr>
          <w:p w14:paraId="49DBD64E" w14:textId="259F5327"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118</w:t>
            </w:r>
          </w:p>
        </w:tc>
        <w:tc>
          <w:tcPr>
            <w:tcW w:w="1435" w:type="dxa"/>
            <w:gridSpan w:val="2"/>
            <w:tcBorders>
              <w:left w:val="nil"/>
              <w:right w:val="nil"/>
            </w:tcBorders>
            <w:shd w:val="clear" w:color="auto" w:fill="auto"/>
            <w:noWrap/>
            <w:vAlign w:val="bottom"/>
            <w:hideMark/>
          </w:tcPr>
          <w:p w14:paraId="4D1186A6" w14:textId="6AE0FE89"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96.3%</w:t>
            </w:r>
          </w:p>
        </w:tc>
        <w:tc>
          <w:tcPr>
            <w:tcW w:w="1148" w:type="dxa"/>
            <w:tcBorders>
              <w:left w:val="nil"/>
              <w:right w:val="nil"/>
            </w:tcBorders>
            <w:shd w:val="clear" w:color="auto" w:fill="auto"/>
            <w:noWrap/>
            <w:vAlign w:val="bottom"/>
            <w:hideMark/>
          </w:tcPr>
          <w:p w14:paraId="3467733C" w14:textId="595ABA48"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94.3%</w:t>
            </w:r>
          </w:p>
        </w:tc>
        <w:tc>
          <w:tcPr>
            <w:tcW w:w="1139" w:type="dxa"/>
            <w:tcBorders>
              <w:left w:val="nil"/>
              <w:right w:val="nil"/>
            </w:tcBorders>
            <w:shd w:val="clear" w:color="auto" w:fill="auto"/>
            <w:noWrap/>
            <w:vAlign w:val="bottom"/>
            <w:hideMark/>
          </w:tcPr>
          <w:p w14:paraId="7FBC91F8" w14:textId="69A7C9A9"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92.9%</w:t>
            </w:r>
          </w:p>
        </w:tc>
        <w:tc>
          <w:tcPr>
            <w:tcW w:w="1226" w:type="dxa"/>
            <w:tcBorders>
              <w:left w:val="nil"/>
              <w:right w:val="nil"/>
            </w:tcBorders>
            <w:shd w:val="clear" w:color="auto" w:fill="auto"/>
            <w:noWrap/>
            <w:vAlign w:val="bottom"/>
            <w:hideMark/>
          </w:tcPr>
          <w:p w14:paraId="0038DABF" w14:textId="5D1228A1"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96.9%</w:t>
            </w:r>
          </w:p>
        </w:tc>
        <w:tc>
          <w:tcPr>
            <w:tcW w:w="1139" w:type="dxa"/>
            <w:tcBorders>
              <w:left w:val="nil"/>
              <w:right w:val="nil"/>
            </w:tcBorders>
            <w:shd w:val="clear" w:color="auto" w:fill="auto"/>
            <w:noWrap/>
            <w:vAlign w:val="bottom"/>
            <w:hideMark/>
          </w:tcPr>
          <w:p w14:paraId="202C8A69" w14:textId="5759AB05"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99.5%</w:t>
            </w:r>
          </w:p>
        </w:tc>
        <w:tc>
          <w:tcPr>
            <w:tcW w:w="1198" w:type="dxa"/>
            <w:tcBorders>
              <w:left w:val="nil"/>
            </w:tcBorders>
            <w:shd w:val="clear" w:color="auto" w:fill="auto"/>
            <w:noWrap/>
          </w:tcPr>
          <w:p w14:paraId="67C69A63" w14:textId="1729EEAA" w:rsidR="00802A36" w:rsidRPr="004E7AE3"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49BFA41E" w14:textId="77777777" w:rsidTr="00802A36">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13369218"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Central</w:t>
            </w:r>
          </w:p>
        </w:tc>
        <w:tc>
          <w:tcPr>
            <w:tcW w:w="720" w:type="dxa"/>
            <w:tcBorders>
              <w:right w:val="nil"/>
            </w:tcBorders>
            <w:shd w:val="clear" w:color="auto" w:fill="F2F2F2" w:themeFill="background1" w:themeFillShade="F2"/>
            <w:vAlign w:val="bottom"/>
          </w:tcPr>
          <w:p w14:paraId="0B85DE5C" w14:textId="49421158"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170</w:t>
            </w:r>
          </w:p>
        </w:tc>
        <w:tc>
          <w:tcPr>
            <w:tcW w:w="1435" w:type="dxa"/>
            <w:gridSpan w:val="2"/>
            <w:tcBorders>
              <w:left w:val="nil"/>
              <w:right w:val="nil"/>
            </w:tcBorders>
            <w:shd w:val="clear" w:color="auto" w:fill="F2F2F2" w:themeFill="background1" w:themeFillShade="F2"/>
            <w:noWrap/>
            <w:vAlign w:val="bottom"/>
            <w:hideMark/>
          </w:tcPr>
          <w:p w14:paraId="2F8F5E70" w14:textId="7835DF99"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94.1%</w:t>
            </w:r>
          </w:p>
        </w:tc>
        <w:tc>
          <w:tcPr>
            <w:tcW w:w="1148" w:type="dxa"/>
            <w:tcBorders>
              <w:left w:val="nil"/>
              <w:right w:val="nil"/>
            </w:tcBorders>
            <w:shd w:val="clear" w:color="auto" w:fill="F2F2F2" w:themeFill="background1" w:themeFillShade="F2"/>
            <w:noWrap/>
            <w:vAlign w:val="bottom"/>
            <w:hideMark/>
          </w:tcPr>
          <w:p w14:paraId="2A26BF9D" w14:textId="61A8655B"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92.9%</w:t>
            </w:r>
          </w:p>
        </w:tc>
        <w:tc>
          <w:tcPr>
            <w:tcW w:w="1139" w:type="dxa"/>
            <w:tcBorders>
              <w:left w:val="nil"/>
              <w:right w:val="nil"/>
            </w:tcBorders>
            <w:shd w:val="clear" w:color="auto" w:fill="F2F2F2" w:themeFill="background1" w:themeFillShade="F2"/>
            <w:noWrap/>
            <w:vAlign w:val="bottom"/>
            <w:hideMark/>
          </w:tcPr>
          <w:p w14:paraId="2B91A41B" w14:textId="701CBE70"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92.9%</w:t>
            </w:r>
          </w:p>
        </w:tc>
        <w:tc>
          <w:tcPr>
            <w:tcW w:w="1226" w:type="dxa"/>
            <w:tcBorders>
              <w:left w:val="nil"/>
              <w:right w:val="nil"/>
            </w:tcBorders>
            <w:shd w:val="clear" w:color="auto" w:fill="F2F2F2" w:themeFill="background1" w:themeFillShade="F2"/>
            <w:noWrap/>
            <w:vAlign w:val="bottom"/>
            <w:hideMark/>
          </w:tcPr>
          <w:p w14:paraId="0D5170E2" w14:textId="48E9111E"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91.9%</w:t>
            </w:r>
          </w:p>
        </w:tc>
        <w:tc>
          <w:tcPr>
            <w:tcW w:w="1139" w:type="dxa"/>
            <w:tcBorders>
              <w:left w:val="nil"/>
              <w:right w:val="nil"/>
            </w:tcBorders>
            <w:shd w:val="clear" w:color="auto" w:fill="F2F2F2" w:themeFill="background1" w:themeFillShade="F2"/>
            <w:noWrap/>
            <w:vAlign w:val="bottom"/>
            <w:hideMark/>
          </w:tcPr>
          <w:p w14:paraId="0864561D" w14:textId="503F448A"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98.3%</w:t>
            </w:r>
          </w:p>
        </w:tc>
        <w:tc>
          <w:tcPr>
            <w:tcW w:w="1198" w:type="dxa"/>
            <w:tcBorders>
              <w:left w:val="nil"/>
            </w:tcBorders>
            <w:shd w:val="clear" w:color="auto" w:fill="F2F2F2" w:themeFill="background1" w:themeFillShade="F2"/>
            <w:noWrap/>
          </w:tcPr>
          <w:p w14:paraId="0C483901" w14:textId="255C5809" w:rsidR="00802A36" w:rsidRPr="004E7AE3"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28D6F039" w14:textId="77777777" w:rsidTr="00802A36">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5807FB0C"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Suncoast</w:t>
            </w:r>
          </w:p>
        </w:tc>
        <w:tc>
          <w:tcPr>
            <w:tcW w:w="720" w:type="dxa"/>
            <w:tcBorders>
              <w:right w:val="nil"/>
            </w:tcBorders>
            <w:shd w:val="clear" w:color="auto" w:fill="auto"/>
            <w:vAlign w:val="bottom"/>
          </w:tcPr>
          <w:p w14:paraId="66AA728B" w14:textId="4DF2D762"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234</w:t>
            </w:r>
          </w:p>
        </w:tc>
        <w:tc>
          <w:tcPr>
            <w:tcW w:w="1435" w:type="dxa"/>
            <w:gridSpan w:val="2"/>
            <w:tcBorders>
              <w:left w:val="nil"/>
              <w:right w:val="nil"/>
            </w:tcBorders>
            <w:shd w:val="clear" w:color="auto" w:fill="auto"/>
            <w:noWrap/>
            <w:vAlign w:val="bottom"/>
            <w:hideMark/>
          </w:tcPr>
          <w:p w14:paraId="4536E7A1" w14:textId="544F8C76"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89.1%</w:t>
            </w:r>
          </w:p>
        </w:tc>
        <w:tc>
          <w:tcPr>
            <w:tcW w:w="1148" w:type="dxa"/>
            <w:tcBorders>
              <w:left w:val="nil"/>
              <w:right w:val="nil"/>
            </w:tcBorders>
            <w:shd w:val="clear" w:color="auto" w:fill="auto"/>
            <w:noWrap/>
            <w:vAlign w:val="bottom"/>
            <w:hideMark/>
          </w:tcPr>
          <w:p w14:paraId="6660F762" w14:textId="3DB699F3"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88.1%</w:t>
            </w:r>
          </w:p>
        </w:tc>
        <w:tc>
          <w:tcPr>
            <w:tcW w:w="1139" w:type="dxa"/>
            <w:tcBorders>
              <w:left w:val="nil"/>
              <w:right w:val="nil"/>
            </w:tcBorders>
            <w:shd w:val="clear" w:color="auto" w:fill="auto"/>
            <w:noWrap/>
            <w:vAlign w:val="bottom"/>
            <w:hideMark/>
          </w:tcPr>
          <w:p w14:paraId="30FF5A05" w14:textId="5EDE914C"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87.9%</w:t>
            </w:r>
          </w:p>
        </w:tc>
        <w:tc>
          <w:tcPr>
            <w:tcW w:w="1226" w:type="dxa"/>
            <w:tcBorders>
              <w:left w:val="nil"/>
              <w:right w:val="nil"/>
            </w:tcBorders>
            <w:shd w:val="clear" w:color="auto" w:fill="auto"/>
            <w:noWrap/>
            <w:vAlign w:val="bottom"/>
            <w:hideMark/>
          </w:tcPr>
          <w:p w14:paraId="4F2D4F7A" w14:textId="01F7C203"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90.4%</w:t>
            </w:r>
          </w:p>
        </w:tc>
        <w:tc>
          <w:tcPr>
            <w:tcW w:w="1139" w:type="dxa"/>
            <w:tcBorders>
              <w:left w:val="nil"/>
              <w:right w:val="nil"/>
            </w:tcBorders>
            <w:shd w:val="clear" w:color="auto" w:fill="auto"/>
            <w:noWrap/>
            <w:vAlign w:val="bottom"/>
            <w:hideMark/>
          </w:tcPr>
          <w:p w14:paraId="184ED71C" w14:textId="6610912F"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98.6%</w:t>
            </w:r>
          </w:p>
        </w:tc>
        <w:tc>
          <w:tcPr>
            <w:tcW w:w="1198" w:type="dxa"/>
            <w:tcBorders>
              <w:left w:val="nil"/>
            </w:tcBorders>
            <w:shd w:val="clear" w:color="auto" w:fill="auto"/>
            <w:noWrap/>
          </w:tcPr>
          <w:p w14:paraId="239F1435" w14:textId="626E49CD" w:rsidR="00802A36" w:rsidRPr="004E7AE3"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0750261D" w14:textId="77777777" w:rsidTr="00802A36">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58CA92AC"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Southeast</w:t>
            </w:r>
          </w:p>
        </w:tc>
        <w:tc>
          <w:tcPr>
            <w:tcW w:w="720" w:type="dxa"/>
            <w:tcBorders>
              <w:right w:val="nil"/>
            </w:tcBorders>
            <w:shd w:val="clear" w:color="auto" w:fill="F2F2F2" w:themeFill="background1" w:themeFillShade="F2"/>
            <w:vAlign w:val="bottom"/>
          </w:tcPr>
          <w:p w14:paraId="76E8043F" w14:textId="72B473DF"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125</w:t>
            </w:r>
          </w:p>
        </w:tc>
        <w:tc>
          <w:tcPr>
            <w:tcW w:w="1435" w:type="dxa"/>
            <w:gridSpan w:val="2"/>
            <w:tcBorders>
              <w:left w:val="nil"/>
              <w:right w:val="nil"/>
            </w:tcBorders>
            <w:shd w:val="clear" w:color="auto" w:fill="F2F2F2" w:themeFill="background1" w:themeFillShade="F2"/>
            <w:noWrap/>
            <w:vAlign w:val="bottom"/>
            <w:hideMark/>
          </w:tcPr>
          <w:p w14:paraId="6E69B3C3" w14:textId="5CE47513"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90.3%</w:t>
            </w:r>
          </w:p>
        </w:tc>
        <w:tc>
          <w:tcPr>
            <w:tcW w:w="1148" w:type="dxa"/>
            <w:tcBorders>
              <w:left w:val="nil"/>
              <w:right w:val="nil"/>
            </w:tcBorders>
            <w:shd w:val="clear" w:color="auto" w:fill="F2F2F2" w:themeFill="background1" w:themeFillShade="F2"/>
            <w:noWrap/>
            <w:vAlign w:val="bottom"/>
            <w:hideMark/>
          </w:tcPr>
          <w:p w14:paraId="68223387" w14:textId="3708DE12"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93.8%</w:t>
            </w:r>
          </w:p>
        </w:tc>
        <w:tc>
          <w:tcPr>
            <w:tcW w:w="1139" w:type="dxa"/>
            <w:tcBorders>
              <w:left w:val="nil"/>
              <w:right w:val="nil"/>
            </w:tcBorders>
            <w:shd w:val="clear" w:color="auto" w:fill="F2F2F2" w:themeFill="background1" w:themeFillShade="F2"/>
            <w:noWrap/>
            <w:vAlign w:val="bottom"/>
            <w:hideMark/>
          </w:tcPr>
          <w:p w14:paraId="031FAD45" w14:textId="0D6FF9C8"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95.1%</w:t>
            </w:r>
          </w:p>
        </w:tc>
        <w:tc>
          <w:tcPr>
            <w:tcW w:w="1226" w:type="dxa"/>
            <w:tcBorders>
              <w:left w:val="nil"/>
              <w:right w:val="nil"/>
            </w:tcBorders>
            <w:shd w:val="clear" w:color="auto" w:fill="F2F2F2" w:themeFill="background1" w:themeFillShade="F2"/>
            <w:noWrap/>
            <w:vAlign w:val="bottom"/>
            <w:hideMark/>
          </w:tcPr>
          <w:p w14:paraId="7146E0C4" w14:textId="1385CC6D"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85.8%</w:t>
            </w:r>
          </w:p>
        </w:tc>
        <w:tc>
          <w:tcPr>
            <w:tcW w:w="1139" w:type="dxa"/>
            <w:tcBorders>
              <w:left w:val="nil"/>
              <w:right w:val="nil"/>
            </w:tcBorders>
            <w:shd w:val="clear" w:color="auto" w:fill="F2F2F2" w:themeFill="background1" w:themeFillShade="F2"/>
            <w:noWrap/>
            <w:vAlign w:val="bottom"/>
            <w:hideMark/>
          </w:tcPr>
          <w:p w14:paraId="4729C1F5" w14:textId="74EE518B"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99.4%</w:t>
            </w:r>
          </w:p>
        </w:tc>
        <w:tc>
          <w:tcPr>
            <w:tcW w:w="1198" w:type="dxa"/>
            <w:tcBorders>
              <w:left w:val="nil"/>
            </w:tcBorders>
            <w:shd w:val="clear" w:color="auto" w:fill="F2F2F2" w:themeFill="background1" w:themeFillShade="F2"/>
            <w:noWrap/>
          </w:tcPr>
          <w:p w14:paraId="28029D10" w14:textId="7F25A7F0" w:rsidR="00802A36" w:rsidRPr="004E7AE3"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67333B71" w14:textId="77777777" w:rsidTr="00802A36">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28D2DBF6"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Southern</w:t>
            </w:r>
          </w:p>
        </w:tc>
        <w:tc>
          <w:tcPr>
            <w:tcW w:w="720" w:type="dxa"/>
            <w:tcBorders>
              <w:right w:val="nil"/>
            </w:tcBorders>
            <w:shd w:val="clear" w:color="auto" w:fill="auto"/>
            <w:vAlign w:val="bottom"/>
          </w:tcPr>
          <w:p w14:paraId="68E8E2DD" w14:textId="72B44D62"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131</w:t>
            </w:r>
          </w:p>
        </w:tc>
        <w:tc>
          <w:tcPr>
            <w:tcW w:w="1435" w:type="dxa"/>
            <w:gridSpan w:val="2"/>
            <w:tcBorders>
              <w:left w:val="nil"/>
              <w:right w:val="nil"/>
            </w:tcBorders>
            <w:shd w:val="clear" w:color="auto" w:fill="auto"/>
            <w:noWrap/>
            <w:vAlign w:val="bottom"/>
            <w:hideMark/>
          </w:tcPr>
          <w:p w14:paraId="3C4D3366" w14:textId="28F5B29A"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93.0%</w:t>
            </w:r>
          </w:p>
        </w:tc>
        <w:tc>
          <w:tcPr>
            <w:tcW w:w="1148" w:type="dxa"/>
            <w:tcBorders>
              <w:left w:val="nil"/>
              <w:right w:val="nil"/>
            </w:tcBorders>
            <w:shd w:val="clear" w:color="auto" w:fill="auto"/>
            <w:noWrap/>
            <w:vAlign w:val="bottom"/>
            <w:hideMark/>
          </w:tcPr>
          <w:p w14:paraId="78B9B162" w14:textId="210114F3"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93.0%</w:t>
            </w:r>
          </w:p>
        </w:tc>
        <w:tc>
          <w:tcPr>
            <w:tcW w:w="1139" w:type="dxa"/>
            <w:tcBorders>
              <w:left w:val="nil"/>
              <w:right w:val="nil"/>
            </w:tcBorders>
            <w:shd w:val="clear" w:color="auto" w:fill="auto"/>
            <w:noWrap/>
            <w:vAlign w:val="bottom"/>
            <w:hideMark/>
          </w:tcPr>
          <w:p w14:paraId="06D6FAEF" w14:textId="5032ABFE"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94.4%</w:t>
            </w:r>
          </w:p>
        </w:tc>
        <w:tc>
          <w:tcPr>
            <w:tcW w:w="1226" w:type="dxa"/>
            <w:tcBorders>
              <w:left w:val="nil"/>
              <w:right w:val="nil"/>
            </w:tcBorders>
            <w:shd w:val="clear" w:color="auto" w:fill="auto"/>
            <w:noWrap/>
            <w:vAlign w:val="bottom"/>
            <w:hideMark/>
          </w:tcPr>
          <w:p w14:paraId="00655FE5" w14:textId="14EB6C72"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92.0%</w:t>
            </w:r>
          </w:p>
        </w:tc>
        <w:tc>
          <w:tcPr>
            <w:tcW w:w="1139" w:type="dxa"/>
            <w:tcBorders>
              <w:left w:val="nil"/>
              <w:right w:val="nil"/>
            </w:tcBorders>
            <w:shd w:val="clear" w:color="auto" w:fill="auto"/>
            <w:noWrap/>
            <w:vAlign w:val="bottom"/>
            <w:hideMark/>
          </w:tcPr>
          <w:p w14:paraId="4C1C8917" w14:textId="2B97E491" w:rsidR="00802A36" w:rsidRPr="00802A36"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802A36">
              <w:rPr>
                <w:rFonts w:asciiTheme="minorHAnsi" w:hAnsiTheme="minorHAnsi" w:cstheme="minorHAnsi"/>
                <w:sz w:val="20"/>
                <w:szCs w:val="20"/>
              </w:rPr>
              <w:t>99.3%</w:t>
            </w:r>
          </w:p>
        </w:tc>
        <w:tc>
          <w:tcPr>
            <w:tcW w:w="1198" w:type="dxa"/>
            <w:tcBorders>
              <w:left w:val="nil"/>
            </w:tcBorders>
            <w:shd w:val="clear" w:color="auto" w:fill="auto"/>
            <w:noWrap/>
          </w:tcPr>
          <w:p w14:paraId="7DC41A55" w14:textId="675DAD7F" w:rsidR="00802A36" w:rsidRPr="004E7AE3" w:rsidRDefault="00802A36" w:rsidP="00802A3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NA</w:t>
            </w:r>
          </w:p>
        </w:tc>
      </w:tr>
      <w:tr w:rsidR="00802A36" w:rsidRPr="00383622" w14:paraId="2227F504" w14:textId="77777777" w:rsidTr="00802A36">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37C54F7" w14:textId="77777777" w:rsidR="00802A36" w:rsidRPr="0012603D" w:rsidRDefault="00802A36" w:rsidP="00802A36">
            <w:pPr>
              <w:jc w:val="center"/>
              <w:rPr>
                <w:rFonts w:asciiTheme="minorHAnsi" w:hAnsiTheme="minorHAnsi" w:cstheme="minorHAnsi"/>
                <w:sz w:val="22"/>
              </w:rPr>
            </w:pPr>
            <w:r w:rsidRPr="0012603D">
              <w:rPr>
                <w:rFonts w:asciiTheme="minorHAnsi" w:hAnsiTheme="minorHAnsi" w:cstheme="minorHAnsi"/>
                <w:sz w:val="22"/>
              </w:rPr>
              <w:t>State</w:t>
            </w:r>
          </w:p>
        </w:tc>
        <w:tc>
          <w:tcPr>
            <w:tcW w:w="720" w:type="dxa"/>
            <w:tcBorders>
              <w:right w:val="nil"/>
            </w:tcBorders>
            <w:shd w:val="clear" w:color="auto" w:fill="F2F2F2" w:themeFill="background1" w:themeFillShade="F2"/>
            <w:vAlign w:val="bottom"/>
          </w:tcPr>
          <w:p w14:paraId="3C0E275B" w14:textId="2CBAF9E5"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819</w:t>
            </w:r>
          </w:p>
        </w:tc>
        <w:tc>
          <w:tcPr>
            <w:tcW w:w="1435" w:type="dxa"/>
            <w:gridSpan w:val="2"/>
            <w:tcBorders>
              <w:left w:val="nil"/>
              <w:right w:val="nil"/>
            </w:tcBorders>
            <w:shd w:val="clear" w:color="auto" w:fill="F2F2F2" w:themeFill="background1" w:themeFillShade="F2"/>
            <w:noWrap/>
            <w:vAlign w:val="bottom"/>
            <w:hideMark/>
          </w:tcPr>
          <w:p w14:paraId="43D44552" w14:textId="263A7CE5"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92.3%</w:t>
            </w:r>
          </w:p>
        </w:tc>
        <w:tc>
          <w:tcPr>
            <w:tcW w:w="1148" w:type="dxa"/>
            <w:tcBorders>
              <w:left w:val="nil"/>
              <w:right w:val="nil"/>
            </w:tcBorders>
            <w:shd w:val="clear" w:color="auto" w:fill="F2F2F2" w:themeFill="background1" w:themeFillShade="F2"/>
            <w:noWrap/>
            <w:vAlign w:val="bottom"/>
            <w:hideMark/>
          </w:tcPr>
          <w:p w14:paraId="41744078" w14:textId="69B22659"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91.7%</w:t>
            </w:r>
          </w:p>
        </w:tc>
        <w:tc>
          <w:tcPr>
            <w:tcW w:w="1139" w:type="dxa"/>
            <w:tcBorders>
              <w:left w:val="nil"/>
              <w:right w:val="nil"/>
            </w:tcBorders>
            <w:shd w:val="clear" w:color="auto" w:fill="F2F2F2" w:themeFill="background1" w:themeFillShade="F2"/>
            <w:noWrap/>
            <w:vAlign w:val="bottom"/>
            <w:hideMark/>
          </w:tcPr>
          <w:p w14:paraId="23DA01BB" w14:textId="0369EBA5"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91.7%</w:t>
            </w:r>
          </w:p>
        </w:tc>
        <w:tc>
          <w:tcPr>
            <w:tcW w:w="1226" w:type="dxa"/>
            <w:tcBorders>
              <w:left w:val="nil"/>
              <w:right w:val="nil"/>
            </w:tcBorders>
            <w:shd w:val="clear" w:color="auto" w:fill="F2F2F2" w:themeFill="background1" w:themeFillShade="F2"/>
            <w:noWrap/>
            <w:vAlign w:val="bottom"/>
            <w:hideMark/>
          </w:tcPr>
          <w:p w14:paraId="7D811701" w14:textId="32AE74B2"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91.2%</w:t>
            </w:r>
          </w:p>
        </w:tc>
        <w:tc>
          <w:tcPr>
            <w:tcW w:w="1139" w:type="dxa"/>
            <w:tcBorders>
              <w:left w:val="nil"/>
              <w:right w:val="nil"/>
            </w:tcBorders>
            <w:shd w:val="clear" w:color="auto" w:fill="F2F2F2" w:themeFill="background1" w:themeFillShade="F2"/>
            <w:noWrap/>
            <w:vAlign w:val="bottom"/>
            <w:hideMark/>
          </w:tcPr>
          <w:p w14:paraId="5C5C8AC8" w14:textId="0FFF7B7E" w:rsidR="00802A36" w:rsidRPr="00802A36"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802A36">
              <w:rPr>
                <w:rFonts w:asciiTheme="minorHAnsi" w:hAnsiTheme="minorHAnsi" w:cstheme="minorHAnsi"/>
                <w:b/>
                <w:sz w:val="20"/>
                <w:szCs w:val="20"/>
              </w:rPr>
              <w:t>98.9%</w:t>
            </w:r>
          </w:p>
        </w:tc>
        <w:tc>
          <w:tcPr>
            <w:tcW w:w="1198" w:type="dxa"/>
            <w:tcBorders>
              <w:left w:val="nil"/>
            </w:tcBorders>
            <w:shd w:val="clear" w:color="auto" w:fill="F2F2F2" w:themeFill="background1" w:themeFillShade="F2"/>
            <w:noWrap/>
          </w:tcPr>
          <w:p w14:paraId="6544F997" w14:textId="62EC7A84" w:rsidR="00802A36" w:rsidRPr="004E7AE3" w:rsidRDefault="00802A36" w:rsidP="00802A3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Pr>
                <w:rFonts w:asciiTheme="minorHAnsi" w:hAnsiTheme="minorHAnsi" w:cstheme="minorHAnsi"/>
                <w:b/>
                <w:sz w:val="20"/>
                <w:szCs w:val="20"/>
              </w:rPr>
              <w:t>NA</w:t>
            </w:r>
          </w:p>
        </w:tc>
      </w:tr>
    </w:tbl>
    <w:p w14:paraId="54C0D3E2" w14:textId="77777777" w:rsidR="007B1193" w:rsidRDefault="007B1193" w:rsidP="00F34C75">
      <w:pPr>
        <w:tabs>
          <w:tab w:val="left" w:pos="3135"/>
        </w:tabs>
      </w:pPr>
    </w:p>
    <w:tbl>
      <w:tblPr>
        <w:tblStyle w:val="PlainTable1"/>
        <w:tblW w:w="8010" w:type="dxa"/>
        <w:jc w:val="center"/>
        <w:tblLayout w:type="fixed"/>
        <w:tblLook w:val="04A0" w:firstRow="1" w:lastRow="0" w:firstColumn="1" w:lastColumn="0" w:noHBand="0" w:noVBand="1"/>
      </w:tblPr>
      <w:tblGrid>
        <w:gridCol w:w="1345"/>
        <w:gridCol w:w="990"/>
        <w:gridCol w:w="1170"/>
        <w:gridCol w:w="1530"/>
        <w:gridCol w:w="1487"/>
        <w:gridCol w:w="1488"/>
      </w:tblGrid>
      <w:tr w:rsidR="00CF434C" w:rsidRPr="00711DC0" w14:paraId="01B42328" w14:textId="323BA4F1" w:rsidTr="00D604FA">
        <w:trPr>
          <w:cnfStyle w:val="100000000000" w:firstRow="1" w:lastRow="0" w:firstColumn="0" w:lastColumn="0" w:oddVBand="0" w:evenVBand="0" w:oddHBand="0" w:evenHBand="0" w:firstRowFirstColumn="0" w:firstRowLastColumn="0" w:lastRowFirstColumn="0" w:lastRowLastColumn="0"/>
          <w:trHeight w:val="480"/>
          <w:tblHeader/>
          <w:jc w:val="center"/>
        </w:trPr>
        <w:tc>
          <w:tcPr>
            <w:cnfStyle w:val="001000000000" w:firstRow="0" w:lastRow="0" w:firstColumn="1" w:lastColumn="0" w:oddVBand="0" w:evenVBand="0" w:oddHBand="0" w:evenHBand="0" w:firstRowFirstColumn="0" w:firstRowLastColumn="0" w:lastRowFirstColumn="0" w:lastRowLastColumn="0"/>
            <w:tcW w:w="8010" w:type="dxa"/>
            <w:gridSpan w:val="6"/>
            <w:shd w:val="clear" w:color="auto" w:fill="1F4E79" w:themeFill="accent1" w:themeFillShade="80"/>
            <w:noWrap/>
            <w:hideMark/>
          </w:tcPr>
          <w:p w14:paraId="74EE5EF6" w14:textId="20E6BCBF" w:rsidR="00CF434C" w:rsidRPr="00C3185C" w:rsidRDefault="00F34C75" w:rsidP="00F34C75">
            <w:pPr>
              <w:spacing w:line="240" w:lineRule="auto"/>
              <w:jc w:val="center"/>
              <w:rPr>
                <w:rFonts w:ascii="Franklin Gothic Medium" w:eastAsia="Times New Roman" w:hAnsi="Franklin Gothic Medium" w:cs="Calibri"/>
                <w:b w:val="0"/>
                <w:color w:val="FFFFFF"/>
                <w:sz w:val="22"/>
              </w:rPr>
            </w:pPr>
            <w:r>
              <w:tab/>
            </w:r>
            <w:r w:rsidR="00CF434C" w:rsidRPr="00C3185C">
              <w:rPr>
                <w:rFonts w:ascii="Franklin Gothic Medium" w:eastAsia="Times New Roman" w:hAnsi="Franklin Gothic Medium" w:cs="Calibri"/>
                <w:b w:val="0"/>
                <w:color w:val="FFFFFF"/>
                <w:sz w:val="22"/>
              </w:rPr>
              <w:t>Table 2</w:t>
            </w:r>
            <w:r w:rsidR="009A56A5">
              <w:rPr>
                <w:rFonts w:ascii="Franklin Gothic Medium" w:eastAsia="Times New Roman" w:hAnsi="Franklin Gothic Medium" w:cs="Calibri"/>
                <w:b w:val="0"/>
                <w:color w:val="FFFFFF"/>
                <w:sz w:val="22"/>
              </w:rPr>
              <w:t>2</w:t>
            </w:r>
            <w:r w:rsidR="00CF434C" w:rsidRPr="00C3185C">
              <w:rPr>
                <w:rFonts w:ascii="Franklin Gothic Medium" w:eastAsia="Times New Roman" w:hAnsi="Franklin Gothic Medium" w:cs="Calibri"/>
                <w:b w:val="0"/>
                <w:color w:val="FFFFFF"/>
                <w:sz w:val="22"/>
              </w:rPr>
              <w:t xml:space="preserve">.  PDR Component Scores for WSCs by </w:t>
            </w:r>
            <w:r w:rsidR="00CF434C">
              <w:rPr>
                <w:rFonts w:ascii="Franklin Gothic Medium" w:eastAsia="Times New Roman" w:hAnsi="Franklin Gothic Medium" w:cs="Calibri"/>
                <w:b w:val="0"/>
                <w:color w:val="FFFFFF"/>
                <w:sz w:val="22"/>
              </w:rPr>
              <w:t xml:space="preserve">APD </w:t>
            </w:r>
            <w:r w:rsidR="00CF434C" w:rsidRPr="00C3185C">
              <w:rPr>
                <w:rFonts w:ascii="Franklin Gothic Medium" w:eastAsia="Times New Roman" w:hAnsi="Franklin Gothic Medium" w:cs="Calibri"/>
                <w:b w:val="0"/>
                <w:color w:val="FFFFFF"/>
                <w:sz w:val="22"/>
              </w:rPr>
              <w:t>Region</w:t>
            </w:r>
          </w:p>
          <w:p w14:paraId="35337F2D" w14:textId="4B6F0EA1" w:rsidR="00CF434C" w:rsidRPr="00C3185C" w:rsidRDefault="00815EB4" w:rsidP="00802A36">
            <w:pPr>
              <w:spacing w:line="240" w:lineRule="auto"/>
              <w:jc w:val="center"/>
              <w:rPr>
                <w:rFonts w:ascii="Franklin Gothic Medium" w:eastAsia="Times New Roman" w:hAnsi="Franklin Gothic Medium" w:cs="Calibri"/>
                <w:b w:val="0"/>
                <w:color w:val="FFFFFF"/>
                <w:sz w:val="22"/>
              </w:rPr>
            </w:pPr>
            <w:r>
              <w:rPr>
                <w:rFonts w:ascii="Franklin Gothic Medium" w:eastAsia="Times New Roman" w:hAnsi="Franklin Gothic Medium" w:cs="Calibri"/>
                <w:b w:val="0"/>
                <w:color w:val="FFFFFF"/>
                <w:sz w:val="22"/>
              </w:rPr>
              <w:t xml:space="preserve">July – </w:t>
            </w:r>
            <w:r w:rsidR="00802A36">
              <w:rPr>
                <w:rFonts w:ascii="Franklin Gothic Medium" w:eastAsia="Times New Roman" w:hAnsi="Franklin Gothic Medium" w:cs="Calibri"/>
                <w:b w:val="0"/>
                <w:color w:val="FFFFFF"/>
                <w:sz w:val="22"/>
              </w:rPr>
              <w:t>December</w:t>
            </w:r>
            <w:r>
              <w:rPr>
                <w:rFonts w:ascii="Franklin Gothic Medium" w:eastAsia="Times New Roman" w:hAnsi="Franklin Gothic Medium" w:cs="Calibri"/>
                <w:b w:val="0"/>
                <w:color w:val="FFFFFF"/>
                <w:sz w:val="22"/>
              </w:rPr>
              <w:t xml:space="preserve"> </w:t>
            </w:r>
            <w:r w:rsidR="00CF434C">
              <w:rPr>
                <w:rFonts w:ascii="Franklin Gothic Medium" w:eastAsia="Times New Roman" w:hAnsi="Franklin Gothic Medium" w:cs="Calibri"/>
                <w:b w:val="0"/>
                <w:color w:val="FFFFFF"/>
                <w:sz w:val="22"/>
              </w:rPr>
              <w:t>2020</w:t>
            </w:r>
          </w:p>
        </w:tc>
      </w:tr>
      <w:tr w:rsidR="00CF434C" w:rsidRPr="00711DC0" w14:paraId="3BEB7B5B" w14:textId="13A2C215" w:rsidTr="00D604FA">
        <w:trPr>
          <w:cnfStyle w:val="100000000000" w:firstRow="1" w:lastRow="0" w:firstColumn="0" w:lastColumn="0" w:oddVBand="0" w:evenVBand="0" w:oddHBand="0" w:evenHBand="0" w:firstRowFirstColumn="0" w:firstRowLastColumn="0" w:lastRowFirstColumn="0" w:lastRowLastColumn="0"/>
          <w:trHeight w:val="646"/>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1F4E79" w:themeFill="accent1" w:themeFillShade="80"/>
            <w:noWrap/>
            <w:vAlign w:val="center"/>
            <w:hideMark/>
          </w:tcPr>
          <w:p w14:paraId="76B55B98" w14:textId="77777777" w:rsidR="00CF434C" w:rsidRPr="000C772F" w:rsidRDefault="00CF434C" w:rsidP="00F34C75">
            <w:pPr>
              <w:spacing w:line="240" w:lineRule="auto"/>
              <w:jc w:val="center"/>
              <w:rPr>
                <w:rFonts w:ascii="Franklin Gothic Medium" w:eastAsia="Times New Roman" w:hAnsi="Franklin Gothic Medium" w:cs="Calibri"/>
                <w:b w:val="0"/>
                <w:color w:val="FFFFFF"/>
                <w:sz w:val="20"/>
                <w:szCs w:val="20"/>
              </w:rPr>
            </w:pPr>
          </w:p>
          <w:p w14:paraId="2687BA8D" w14:textId="77777777" w:rsidR="00CF434C" w:rsidRPr="000C772F" w:rsidRDefault="00CF434C" w:rsidP="00F34C75">
            <w:pPr>
              <w:spacing w:line="240" w:lineRule="auto"/>
              <w:jc w:val="center"/>
              <w:rPr>
                <w:rFonts w:ascii="Franklin Gothic Medium" w:eastAsia="Times New Roman" w:hAnsi="Franklin Gothic Medium" w:cs="Calibri"/>
                <w:b w:val="0"/>
                <w:color w:val="FFFFFF"/>
                <w:sz w:val="20"/>
                <w:szCs w:val="20"/>
              </w:rPr>
            </w:pPr>
            <w:r w:rsidRPr="000C772F">
              <w:rPr>
                <w:rFonts w:ascii="Franklin Gothic Medium" w:eastAsia="Times New Roman" w:hAnsi="Franklin Gothic Medium" w:cs="Calibri"/>
                <w:b w:val="0"/>
                <w:color w:val="FFFFFF"/>
                <w:sz w:val="20"/>
                <w:szCs w:val="20"/>
              </w:rPr>
              <w:t>Region</w:t>
            </w:r>
          </w:p>
        </w:tc>
        <w:tc>
          <w:tcPr>
            <w:tcW w:w="990" w:type="dxa"/>
            <w:shd w:val="clear" w:color="auto" w:fill="1F4E79" w:themeFill="accent1" w:themeFillShade="80"/>
            <w:vAlign w:val="center"/>
            <w:hideMark/>
          </w:tcPr>
          <w:p w14:paraId="400C8605" w14:textId="77777777"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 of PDRs</w:t>
            </w:r>
          </w:p>
        </w:tc>
        <w:tc>
          <w:tcPr>
            <w:tcW w:w="1170" w:type="dxa"/>
            <w:shd w:val="clear" w:color="auto" w:fill="1F4E79" w:themeFill="accent1" w:themeFillShade="80"/>
            <w:vAlign w:val="center"/>
            <w:hideMark/>
          </w:tcPr>
          <w:p w14:paraId="3B7E3CA4" w14:textId="66F21C83" w:rsidR="00CF434C" w:rsidRPr="00CF434C" w:rsidRDefault="00CF434C"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 xml:space="preserve">Policy &amp; Procedure                   </w:t>
            </w:r>
            <w:r w:rsidR="00944C07">
              <w:rPr>
                <w:rFonts w:ascii="Franklin Gothic Medium" w:eastAsia="Times New Roman" w:hAnsi="Franklin Gothic Medium" w:cs="Calibri"/>
                <w:b w:val="0"/>
                <w:color w:val="FFFFFF"/>
                <w:sz w:val="20"/>
              </w:rPr>
              <w:t>(</w:t>
            </w:r>
            <w:r w:rsidR="00802A36">
              <w:rPr>
                <w:rFonts w:ascii="Franklin Gothic Medium" w:eastAsia="Times New Roman" w:hAnsi="Franklin Gothic Medium" w:cs="Calibri"/>
                <w:b w:val="0"/>
                <w:color w:val="FFFFFF"/>
                <w:sz w:val="20"/>
              </w:rPr>
              <w:t>250</w:t>
            </w:r>
            <w:r w:rsidRPr="00CF434C">
              <w:rPr>
                <w:rFonts w:ascii="Franklin Gothic Medium" w:eastAsia="Times New Roman" w:hAnsi="Franklin Gothic Medium" w:cs="Calibri"/>
                <w:b w:val="0"/>
                <w:color w:val="FFFFFF"/>
                <w:sz w:val="20"/>
              </w:rPr>
              <w:t>)</w:t>
            </w:r>
          </w:p>
        </w:tc>
        <w:tc>
          <w:tcPr>
            <w:tcW w:w="1530" w:type="dxa"/>
            <w:shd w:val="clear" w:color="auto" w:fill="1F4E79" w:themeFill="accent1" w:themeFillShade="80"/>
            <w:vAlign w:val="center"/>
          </w:tcPr>
          <w:p w14:paraId="74E93CB6" w14:textId="558A6926" w:rsidR="00CF434C" w:rsidRPr="00CF434C" w:rsidRDefault="00CF434C"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hAnsi="Franklin Gothic Medium" w:cs="Calibri"/>
                <w:b w:val="0"/>
                <w:bCs w:val="0"/>
                <w:color w:val="FFFFFF"/>
                <w:sz w:val="20"/>
              </w:rPr>
              <w:t>Qualifications &amp; Training              (</w:t>
            </w:r>
            <w:r w:rsidR="00802A36">
              <w:rPr>
                <w:rFonts w:ascii="Franklin Gothic Medium" w:hAnsi="Franklin Gothic Medium" w:cs="Calibri"/>
                <w:b w:val="0"/>
                <w:bCs w:val="0"/>
                <w:color w:val="FFFFFF"/>
                <w:sz w:val="20"/>
              </w:rPr>
              <w:t>351</w:t>
            </w:r>
            <w:r w:rsidRPr="00CF434C">
              <w:rPr>
                <w:rFonts w:ascii="Franklin Gothic Medium" w:hAnsi="Franklin Gothic Medium" w:cs="Calibri"/>
                <w:b w:val="0"/>
                <w:bCs w:val="0"/>
                <w:color w:val="FFFFFF"/>
                <w:sz w:val="20"/>
              </w:rPr>
              <w:t>)</w:t>
            </w:r>
          </w:p>
        </w:tc>
        <w:tc>
          <w:tcPr>
            <w:tcW w:w="1487" w:type="dxa"/>
            <w:shd w:val="clear" w:color="auto" w:fill="1F4E79" w:themeFill="accent1" w:themeFillShade="80"/>
            <w:vAlign w:val="center"/>
            <w:hideMark/>
          </w:tcPr>
          <w:p w14:paraId="32CB09DB" w14:textId="290C5F8F"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WSC RR</w:t>
            </w:r>
          </w:p>
          <w:p w14:paraId="5ABAC372" w14:textId="75F8637A"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Announced</w:t>
            </w:r>
          </w:p>
          <w:p w14:paraId="3245D43A" w14:textId="59E9ADCB" w:rsidR="00CF434C" w:rsidRPr="00CF434C" w:rsidRDefault="00CF434C"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t>
            </w:r>
            <w:r w:rsidR="00802A36">
              <w:rPr>
                <w:rFonts w:ascii="Franklin Gothic Medium" w:eastAsia="Times New Roman" w:hAnsi="Franklin Gothic Medium" w:cs="Calibri"/>
                <w:b w:val="0"/>
                <w:color w:val="FFFFFF"/>
                <w:sz w:val="20"/>
              </w:rPr>
              <w:t>612</w:t>
            </w:r>
            <w:r w:rsidRPr="00CF434C">
              <w:rPr>
                <w:rFonts w:ascii="Franklin Gothic Medium" w:eastAsia="Times New Roman" w:hAnsi="Franklin Gothic Medium" w:cs="Calibri"/>
                <w:b w:val="0"/>
                <w:color w:val="FFFFFF"/>
                <w:sz w:val="20"/>
              </w:rPr>
              <w:t>)</w:t>
            </w:r>
          </w:p>
        </w:tc>
        <w:tc>
          <w:tcPr>
            <w:tcW w:w="1488" w:type="dxa"/>
            <w:shd w:val="clear" w:color="auto" w:fill="1F4E79" w:themeFill="accent1" w:themeFillShade="80"/>
          </w:tcPr>
          <w:p w14:paraId="79FC0E6E" w14:textId="77777777"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WSC RR Unannounced</w:t>
            </w:r>
          </w:p>
          <w:p w14:paraId="65FC6636" w14:textId="2CBBC570" w:rsidR="00CF434C" w:rsidRPr="00CF434C" w:rsidRDefault="00CF434C"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t>
            </w:r>
            <w:r w:rsidR="00802A36">
              <w:rPr>
                <w:rFonts w:ascii="Franklin Gothic Medium" w:eastAsia="Times New Roman" w:hAnsi="Franklin Gothic Medium" w:cs="Calibri"/>
                <w:b w:val="0"/>
                <w:color w:val="FFFFFF"/>
                <w:sz w:val="20"/>
              </w:rPr>
              <w:t>386</w:t>
            </w:r>
            <w:r w:rsidRPr="00CF434C">
              <w:rPr>
                <w:rFonts w:ascii="Franklin Gothic Medium" w:eastAsia="Times New Roman" w:hAnsi="Franklin Gothic Medium" w:cs="Calibri"/>
                <w:b w:val="0"/>
                <w:color w:val="FFFFFF"/>
                <w:sz w:val="20"/>
              </w:rPr>
              <w:t>)</w:t>
            </w:r>
          </w:p>
        </w:tc>
      </w:tr>
      <w:tr w:rsidR="00802A36" w:rsidRPr="00711DC0" w14:paraId="58D664AF" w14:textId="1EEA0381"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noWrap/>
            <w:vAlign w:val="bottom"/>
            <w:hideMark/>
          </w:tcPr>
          <w:p w14:paraId="53E81412"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Northwest</w:t>
            </w:r>
          </w:p>
        </w:tc>
        <w:tc>
          <w:tcPr>
            <w:tcW w:w="990" w:type="dxa"/>
            <w:noWrap/>
            <w:vAlign w:val="bottom"/>
            <w:hideMark/>
          </w:tcPr>
          <w:p w14:paraId="0956D15B" w14:textId="14C0D70C"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14</w:t>
            </w:r>
          </w:p>
        </w:tc>
        <w:tc>
          <w:tcPr>
            <w:tcW w:w="1170" w:type="dxa"/>
            <w:noWrap/>
            <w:vAlign w:val="bottom"/>
            <w:hideMark/>
          </w:tcPr>
          <w:p w14:paraId="62AA493A" w14:textId="3D151018"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97.6%</w:t>
            </w:r>
          </w:p>
        </w:tc>
        <w:tc>
          <w:tcPr>
            <w:tcW w:w="1530" w:type="dxa"/>
            <w:noWrap/>
            <w:vAlign w:val="bottom"/>
          </w:tcPr>
          <w:p w14:paraId="39C8269D" w14:textId="3D09F48B"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99.0%</w:t>
            </w:r>
          </w:p>
        </w:tc>
        <w:tc>
          <w:tcPr>
            <w:tcW w:w="1487" w:type="dxa"/>
            <w:noWrap/>
            <w:vAlign w:val="bottom"/>
            <w:hideMark/>
          </w:tcPr>
          <w:p w14:paraId="4E7E2821" w14:textId="2018FDE9"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98.4%</w:t>
            </w:r>
          </w:p>
        </w:tc>
        <w:tc>
          <w:tcPr>
            <w:tcW w:w="1488" w:type="dxa"/>
            <w:vAlign w:val="bottom"/>
          </w:tcPr>
          <w:p w14:paraId="12953632" w14:textId="7B0D8A52"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99.4%</w:t>
            </w:r>
          </w:p>
        </w:tc>
      </w:tr>
      <w:tr w:rsidR="00802A36" w:rsidRPr="00711DC0" w14:paraId="1587A48A" w14:textId="014CD6D6"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3E18097"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Northeast</w:t>
            </w:r>
          </w:p>
        </w:tc>
        <w:tc>
          <w:tcPr>
            <w:tcW w:w="990" w:type="dxa"/>
            <w:shd w:val="clear" w:color="auto" w:fill="F2F2F2" w:themeFill="background1" w:themeFillShade="F2"/>
            <w:noWrap/>
            <w:vAlign w:val="bottom"/>
            <w:hideMark/>
          </w:tcPr>
          <w:p w14:paraId="6D0EF3B9" w14:textId="29ED4FBA"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39</w:t>
            </w:r>
          </w:p>
        </w:tc>
        <w:tc>
          <w:tcPr>
            <w:tcW w:w="1170" w:type="dxa"/>
            <w:shd w:val="clear" w:color="auto" w:fill="F2F2F2" w:themeFill="background1" w:themeFillShade="F2"/>
            <w:noWrap/>
            <w:vAlign w:val="bottom"/>
            <w:hideMark/>
          </w:tcPr>
          <w:p w14:paraId="71A8FC5C" w14:textId="526CE49D"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97.4%</w:t>
            </w:r>
          </w:p>
        </w:tc>
        <w:tc>
          <w:tcPr>
            <w:tcW w:w="1530" w:type="dxa"/>
            <w:shd w:val="clear" w:color="auto" w:fill="F2F2F2" w:themeFill="background1" w:themeFillShade="F2"/>
            <w:noWrap/>
            <w:vAlign w:val="bottom"/>
          </w:tcPr>
          <w:p w14:paraId="7AE654DF" w14:textId="45A05BA0"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95.5%</w:t>
            </w:r>
          </w:p>
        </w:tc>
        <w:tc>
          <w:tcPr>
            <w:tcW w:w="1487" w:type="dxa"/>
            <w:shd w:val="clear" w:color="auto" w:fill="F2F2F2" w:themeFill="background1" w:themeFillShade="F2"/>
            <w:noWrap/>
            <w:vAlign w:val="bottom"/>
            <w:hideMark/>
          </w:tcPr>
          <w:p w14:paraId="7152EE2A" w14:textId="4590CE78"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94.4%</w:t>
            </w:r>
          </w:p>
        </w:tc>
        <w:tc>
          <w:tcPr>
            <w:tcW w:w="1488" w:type="dxa"/>
            <w:shd w:val="clear" w:color="auto" w:fill="F2F2F2" w:themeFill="background1" w:themeFillShade="F2"/>
            <w:vAlign w:val="bottom"/>
          </w:tcPr>
          <w:p w14:paraId="7BDA8BD5" w14:textId="43AD9C5D"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96.2%</w:t>
            </w:r>
          </w:p>
        </w:tc>
      </w:tr>
      <w:tr w:rsidR="00802A36" w:rsidRPr="00711DC0" w14:paraId="50AF540E" w14:textId="0A335E26"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noWrap/>
            <w:vAlign w:val="bottom"/>
            <w:hideMark/>
          </w:tcPr>
          <w:p w14:paraId="0FC00F89"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Central</w:t>
            </w:r>
          </w:p>
        </w:tc>
        <w:tc>
          <w:tcPr>
            <w:tcW w:w="990" w:type="dxa"/>
            <w:noWrap/>
            <w:vAlign w:val="bottom"/>
            <w:hideMark/>
          </w:tcPr>
          <w:p w14:paraId="5620C699" w14:textId="0FC53AB4"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50</w:t>
            </w:r>
          </w:p>
        </w:tc>
        <w:tc>
          <w:tcPr>
            <w:tcW w:w="1170" w:type="dxa"/>
            <w:noWrap/>
            <w:vAlign w:val="bottom"/>
            <w:hideMark/>
          </w:tcPr>
          <w:p w14:paraId="426FAE87" w14:textId="162A7F08"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96.8%</w:t>
            </w:r>
          </w:p>
        </w:tc>
        <w:tc>
          <w:tcPr>
            <w:tcW w:w="1530" w:type="dxa"/>
            <w:noWrap/>
            <w:vAlign w:val="bottom"/>
          </w:tcPr>
          <w:p w14:paraId="51874DCE" w14:textId="61097A44"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95.8%</w:t>
            </w:r>
          </w:p>
        </w:tc>
        <w:tc>
          <w:tcPr>
            <w:tcW w:w="1487" w:type="dxa"/>
            <w:noWrap/>
            <w:vAlign w:val="bottom"/>
            <w:hideMark/>
          </w:tcPr>
          <w:p w14:paraId="4EC0ACBB" w14:textId="22482041"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93.7%</w:t>
            </w:r>
          </w:p>
        </w:tc>
        <w:tc>
          <w:tcPr>
            <w:tcW w:w="1488" w:type="dxa"/>
            <w:vAlign w:val="bottom"/>
          </w:tcPr>
          <w:p w14:paraId="6FAF88E1" w14:textId="5485CB43"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96.7%</w:t>
            </w:r>
          </w:p>
        </w:tc>
      </w:tr>
      <w:tr w:rsidR="00802A36" w:rsidRPr="00711DC0" w14:paraId="7EA14614" w14:textId="3C231EF8"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713879EB"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Suncoast</w:t>
            </w:r>
          </w:p>
        </w:tc>
        <w:tc>
          <w:tcPr>
            <w:tcW w:w="990" w:type="dxa"/>
            <w:shd w:val="clear" w:color="auto" w:fill="F2F2F2" w:themeFill="background1" w:themeFillShade="F2"/>
            <w:noWrap/>
            <w:vAlign w:val="bottom"/>
            <w:hideMark/>
          </w:tcPr>
          <w:p w14:paraId="1EAA2E99" w14:textId="2335F502"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46</w:t>
            </w:r>
          </w:p>
        </w:tc>
        <w:tc>
          <w:tcPr>
            <w:tcW w:w="1170" w:type="dxa"/>
            <w:shd w:val="clear" w:color="auto" w:fill="F2F2F2" w:themeFill="background1" w:themeFillShade="F2"/>
            <w:noWrap/>
            <w:vAlign w:val="bottom"/>
            <w:hideMark/>
          </w:tcPr>
          <w:p w14:paraId="01CA71BD" w14:textId="094FB08D"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93.3%</w:t>
            </w:r>
          </w:p>
        </w:tc>
        <w:tc>
          <w:tcPr>
            <w:tcW w:w="1530" w:type="dxa"/>
            <w:shd w:val="clear" w:color="auto" w:fill="F2F2F2" w:themeFill="background1" w:themeFillShade="F2"/>
            <w:noWrap/>
            <w:vAlign w:val="bottom"/>
          </w:tcPr>
          <w:p w14:paraId="4E79FE15" w14:textId="13905165"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94.2%</w:t>
            </w:r>
          </w:p>
        </w:tc>
        <w:tc>
          <w:tcPr>
            <w:tcW w:w="1487" w:type="dxa"/>
            <w:shd w:val="clear" w:color="auto" w:fill="F2F2F2" w:themeFill="background1" w:themeFillShade="F2"/>
            <w:noWrap/>
            <w:vAlign w:val="bottom"/>
            <w:hideMark/>
          </w:tcPr>
          <w:p w14:paraId="39153BBB" w14:textId="74BA0441"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93.6%</w:t>
            </w:r>
          </w:p>
        </w:tc>
        <w:tc>
          <w:tcPr>
            <w:tcW w:w="1488" w:type="dxa"/>
            <w:shd w:val="clear" w:color="auto" w:fill="F2F2F2" w:themeFill="background1" w:themeFillShade="F2"/>
            <w:vAlign w:val="bottom"/>
          </w:tcPr>
          <w:p w14:paraId="2A67D40E" w14:textId="4880FC0E"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94.6%</w:t>
            </w:r>
          </w:p>
        </w:tc>
      </w:tr>
      <w:tr w:rsidR="00802A36" w:rsidRPr="00711DC0" w14:paraId="164D3668" w14:textId="6C3EED42"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0C0A629B"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Southeast</w:t>
            </w:r>
          </w:p>
        </w:tc>
        <w:tc>
          <w:tcPr>
            <w:tcW w:w="990" w:type="dxa"/>
            <w:shd w:val="clear" w:color="auto" w:fill="auto"/>
            <w:noWrap/>
            <w:vAlign w:val="bottom"/>
            <w:hideMark/>
          </w:tcPr>
          <w:p w14:paraId="0575992C" w14:textId="24F4A394"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74</w:t>
            </w:r>
          </w:p>
        </w:tc>
        <w:tc>
          <w:tcPr>
            <w:tcW w:w="1170" w:type="dxa"/>
            <w:shd w:val="clear" w:color="auto" w:fill="auto"/>
            <w:noWrap/>
            <w:vAlign w:val="bottom"/>
            <w:hideMark/>
          </w:tcPr>
          <w:p w14:paraId="0B81DDB1" w14:textId="701A5C51"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92.5%</w:t>
            </w:r>
          </w:p>
        </w:tc>
        <w:tc>
          <w:tcPr>
            <w:tcW w:w="1530" w:type="dxa"/>
            <w:shd w:val="clear" w:color="auto" w:fill="auto"/>
            <w:noWrap/>
            <w:vAlign w:val="bottom"/>
          </w:tcPr>
          <w:p w14:paraId="10228554" w14:textId="6F0A8387"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93.9%</w:t>
            </w:r>
          </w:p>
        </w:tc>
        <w:tc>
          <w:tcPr>
            <w:tcW w:w="1487" w:type="dxa"/>
            <w:shd w:val="clear" w:color="auto" w:fill="auto"/>
            <w:noWrap/>
            <w:vAlign w:val="bottom"/>
            <w:hideMark/>
          </w:tcPr>
          <w:p w14:paraId="17619992" w14:textId="50B154BB"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95.9%</w:t>
            </w:r>
          </w:p>
        </w:tc>
        <w:tc>
          <w:tcPr>
            <w:tcW w:w="1488" w:type="dxa"/>
            <w:shd w:val="clear" w:color="auto" w:fill="auto"/>
            <w:vAlign w:val="bottom"/>
          </w:tcPr>
          <w:p w14:paraId="4520E474" w14:textId="7AC16718"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97.5%</w:t>
            </w:r>
          </w:p>
        </w:tc>
      </w:tr>
      <w:tr w:rsidR="00802A36" w:rsidRPr="00711DC0" w14:paraId="7E9C70B3" w14:textId="19E90A23"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2B2CE862" w14:textId="77777777" w:rsidR="00802A36" w:rsidRPr="00D604FA" w:rsidRDefault="00802A36" w:rsidP="00802A36">
            <w:pPr>
              <w:spacing w:line="240" w:lineRule="auto"/>
              <w:jc w:val="center"/>
              <w:rPr>
                <w:rFonts w:asciiTheme="minorHAnsi" w:eastAsia="Times New Roman" w:hAnsiTheme="minorHAnsi" w:cstheme="minorHAnsi"/>
                <w:b w:val="0"/>
                <w:bCs w:val="0"/>
                <w:color w:val="000000"/>
                <w:sz w:val="20"/>
                <w:szCs w:val="20"/>
              </w:rPr>
            </w:pPr>
            <w:r w:rsidRPr="00D604FA">
              <w:rPr>
                <w:rFonts w:asciiTheme="minorHAnsi" w:eastAsia="Times New Roman" w:hAnsiTheme="minorHAnsi" w:cstheme="minorHAnsi"/>
                <w:b w:val="0"/>
                <w:bCs w:val="0"/>
                <w:color w:val="000000"/>
                <w:sz w:val="20"/>
                <w:szCs w:val="20"/>
              </w:rPr>
              <w:t>Southern</w:t>
            </w:r>
          </w:p>
        </w:tc>
        <w:tc>
          <w:tcPr>
            <w:tcW w:w="990" w:type="dxa"/>
            <w:shd w:val="clear" w:color="auto" w:fill="F2F2F2" w:themeFill="background1" w:themeFillShade="F2"/>
            <w:noWrap/>
            <w:vAlign w:val="bottom"/>
            <w:hideMark/>
          </w:tcPr>
          <w:p w14:paraId="74DBBEB5" w14:textId="65C02416"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D604FA">
              <w:rPr>
                <w:rFonts w:asciiTheme="minorHAnsi" w:hAnsiTheme="minorHAnsi" w:cstheme="minorHAnsi"/>
                <w:b w:val="0"/>
                <w:sz w:val="20"/>
              </w:rPr>
              <w:t>27</w:t>
            </w:r>
          </w:p>
        </w:tc>
        <w:tc>
          <w:tcPr>
            <w:tcW w:w="1170" w:type="dxa"/>
            <w:shd w:val="clear" w:color="auto" w:fill="F2F2F2" w:themeFill="background1" w:themeFillShade="F2"/>
            <w:noWrap/>
            <w:vAlign w:val="bottom"/>
            <w:hideMark/>
          </w:tcPr>
          <w:p w14:paraId="2D300E0E" w14:textId="4D11257E"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97.1%</w:t>
            </w:r>
          </w:p>
        </w:tc>
        <w:tc>
          <w:tcPr>
            <w:tcW w:w="1530" w:type="dxa"/>
            <w:shd w:val="clear" w:color="auto" w:fill="F2F2F2" w:themeFill="background1" w:themeFillShade="F2"/>
            <w:noWrap/>
            <w:vAlign w:val="bottom"/>
          </w:tcPr>
          <w:p w14:paraId="279802EF" w14:textId="145B4734"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95.7%</w:t>
            </w:r>
          </w:p>
        </w:tc>
        <w:tc>
          <w:tcPr>
            <w:tcW w:w="1487" w:type="dxa"/>
            <w:shd w:val="clear" w:color="auto" w:fill="F2F2F2" w:themeFill="background1" w:themeFillShade="F2"/>
            <w:noWrap/>
            <w:vAlign w:val="bottom"/>
            <w:hideMark/>
          </w:tcPr>
          <w:p w14:paraId="0DB5481E" w14:textId="66EF119F"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98.2%</w:t>
            </w:r>
          </w:p>
        </w:tc>
        <w:tc>
          <w:tcPr>
            <w:tcW w:w="1488" w:type="dxa"/>
            <w:shd w:val="clear" w:color="auto" w:fill="F2F2F2" w:themeFill="background1" w:themeFillShade="F2"/>
            <w:vAlign w:val="bottom"/>
          </w:tcPr>
          <w:p w14:paraId="1C36ABF2" w14:textId="6A1B2F78"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D604FA">
              <w:rPr>
                <w:rFonts w:asciiTheme="minorHAnsi" w:hAnsiTheme="minorHAnsi" w:cstheme="minorHAnsi"/>
                <w:b w:val="0"/>
                <w:sz w:val="20"/>
              </w:rPr>
              <w:t>98.8%</w:t>
            </w:r>
          </w:p>
        </w:tc>
      </w:tr>
      <w:tr w:rsidR="00802A36" w:rsidRPr="00711DC0" w14:paraId="4C8D89A6" w14:textId="786F2479" w:rsidTr="00D604FA">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529C8002" w14:textId="77777777" w:rsidR="00802A36" w:rsidRPr="00D604FA" w:rsidRDefault="00802A36" w:rsidP="00802A36">
            <w:pPr>
              <w:spacing w:line="240" w:lineRule="auto"/>
              <w:jc w:val="center"/>
              <w:rPr>
                <w:rFonts w:asciiTheme="minorHAnsi" w:eastAsia="Times New Roman" w:hAnsiTheme="minorHAnsi" w:cstheme="minorHAnsi"/>
                <w:bCs w:val="0"/>
                <w:color w:val="000000"/>
                <w:sz w:val="20"/>
                <w:szCs w:val="20"/>
              </w:rPr>
            </w:pPr>
            <w:r w:rsidRPr="00D604FA">
              <w:rPr>
                <w:rFonts w:asciiTheme="minorHAnsi" w:eastAsia="Times New Roman" w:hAnsiTheme="minorHAnsi" w:cstheme="minorHAnsi"/>
                <w:bCs w:val="0"/>
                <w:color w:val="000000"/>
                <w:sz w:val="20"/>
                <w:szCs w:val="20"/>
              </w:rPr>
              <w:t>State</w:t>
            </w:r>
          </w:p>
        </w:tc>
        <w:tc>
          <w:tcPr>
            <w:tcW w:w="990" w:type="dxa"/>
            <w:shd w:val="clear" w:color="auto" w:fill="auto"/>
            <w:noWrap/>
            <w:vAlign w:val="bottom"/>
            <w:hideMark/>
          </w:tcPr>
          <w:p w14:paraId="58E7A5AA" w14:textId="7020B03D" w:rsidR="00802A36" w:rsidRPr="00D604FA" w:rsidRDefault="00802A36" w:rsidP="00802A3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rPr>
            </w:pPr>
            <w:r w:rsidRPr="00D604FA">
              <w:rPr>
                <w:rFonts w:asciiTheme="minorHAnsi" w:hAnsiTheme="minorHAnsi" w:cstheme="minorHAnsi"/>
                <w:sz w:val="20"/>
              </w:rPr>
              <w:t>250</w:t>
            </w:r>
          </w:p>
        </w:tc>
        <w:tc>
          <w:tcPr>
            <w:tcW w:w="1170" w:type="dxa"/>
            <w:shd w:val="clear" w:color="auto" w:fill="auto"/>
            <w:noWrap/>
            <w:vAlign w:val="bottom"/>
            <w:hideMark/>
          </w:tcPr>
          <w:p w14:paraId="49CB5BE6" w14:textId="736A9B3A"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604FA">
              <w:rPr>
                <w:rFonts w:asciiTheme="minorHAnsi" w:hAnsiTheme="minorHAnsi" w:cstheme="minorHAnsi"/>
                <w:sz w:val="20"/>
              </w:rPr>
              <w:t>95.1%</w:t>
            </w:r>
          </w:p>
        </w:tc>
        <w:tc>
          <w:tcPr>
            <w:tcW w:w="1530" w:type="dxa"/>
            <w:shd w:val="clear" w:color="auto" w:fill="auto"/>
            <w:noWrap/>
            <w:vAlign w:val="bottom"/>
          </w:tcPr>
          <w:p w14:paraId="19916B09" w14:textId="581F2CBD"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604FA">
              <w:rPr>
                <w:rFonts w:asciiTheme="minorHAnsi" w:hAnsiTheme="minorHAnsi" w:cstheme="minorHAnsi"/>
                <w:sz w:val="20"/>
              </w:rPr>
              <w:t>95.0%</w:t>
            </w:r>
          </w:p>
        </w:tc>
        <w:tc>
          <w:tcPr>
            <w:tcW w:w="1487" w:type="dxa"/>
            <w:shd w:val="clear" w:color="auto" w:fill="auto"/>
            <w:noWrap/>
            <w:vAlign w:val="bottom"/>
            <w:hideMark/>
          </w:tcPr>
          <w:p w14:paraId="7AC401FF" w14:textId="7C416D40"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604FA">
              <w:rPr>
                <w:rFonts w:asciiTheme="minorHAnsi" w:hAnsiTheme="minorHAnsi" w:cstheme="minorHAnsi"/>
                <w:sz w:val="20"/>
              </w:rPr>
              <w:t>95.2%</w:t>
            </w:r>
          </w:p>
        </w:tc>
        <w:tc>
          <w:tcPr>
            <w:tcW w:w="1488" w:type="dxa"/>
            <w:shd w:val="clear" w:color="auto" w:fill="auto"/>
            <w:vAlign w:val="bottom"/>
          </w:tcPr>
          <w:p w14:paraId="5AD733AF" w14:textId="7B1934F5" w:rsidR="00802A36" w:rsidRPr="00D604FA" w:rsidRDefault="00802A36" w:rsidP="00802A3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604FA">
              <w:rPr>
                <w:rFonts w:asciiTheme="minorHAnsi" w:hAnsiTheme="minorHAnsi" w:cstheme="minorHAnsi"/>
                <w:sz w:val="20"/>
              </w:rPr>
              <w:t>96.9%</w:t>
            </w:r>
          </w:p>
        </w:tc>
      </w:tr>
    </w:tbl>
    <w:p w14:paraId="6CE68270" w14:textId="599722F5" w:rsidR="00F34C75" w:rsidRDefault="00F34C75" w:rsidP="00F34C75"/>
    <w:p w14:paraId="16825BC5" w14:textId="77777777" w:rsidR="00337F7C" w:rsidRDefault="00337F7C" w:rsidP="00337F7C">
      <w:pPr>
        <w:pStyle w:val="Heading4"/>
      </w:pPr>
      <w:r>
        <w:t>PDR Score Range by Region</w:t>
      </w:r>
    </w:p>
    <w:p w14:paraId="220743B3" w14:textId="5CA78B89" w:rsidR="00337F7C" w:rsidRDefault="00337F7C" w:rsidP="00337F7C">
      <w:r>
        <w:t xml:space="preserve">While the average scores across all the review components </w:t>
      </w:r>
      <w:r w:rsidR="008D10AB">
        <w:t>we</w:t>
      </w:r>
      <w:r>
        <w:t>re relatively high</w:t>
      </w:r>
      <w:r w:rsidR="009A56A5">
        <w:t>, and</w:t>
      </w:r>
      <w:r>
        <w:t xml:space="preserve"> </w:t>
      </w:r>
      <w:r w:rsidR="009A56A5">
        <w:t>the highest PDR score in each region is 100 percent, t</w:t>
      </w:r>
      <w:r>
        <w:t>he minimum PDR score in each region varies</w:t>
      </w:r>
      <w:r w:rsidR="009A56A5">
        <w:t xml:space="preserve"> substantially for both service providers and WSCs</w:t>
      </w:r>
      <w:r w:rsidR="008D10AB">
        <w:t xml:space="preserve">, as shown in Table 23. The lowest service provider score was </w:t>
      </w:r>
      <w:r w:rsidR="00AE18F2">
        <w:t>9.8 percent</w:t>
      </w:r>
      <w:r w:rsidR="008D10AB">
        <w:t xml:space="preserve"> (Suncoast) and the lowest WSC score was </w:t>
      </w:r>
      <w:r w:rsidR="00AE18F2">
        <w:t>only 11.3</w:t>
      </w:r>
      <w:r w:rsidR="008D10AB">
        <w:t xml:space="preserve"> percent (</w:t>
      </w:r>
      <w:r w:rsidR="00AE18F2">
        <w:t>Northeast</w:t>
      </w:r>
      <w:r w:rsidR="008D10AB">
        <w:t xml:space="preserve">). </w:t>
      </w:r>
    </w:p>
    <w:p w14:paraId="25FE090E" w14:textId="77777777" w:rsidR="00337F7C" w:rsidRDefault="00337F7C" w:rsidP="00337F7C"/>
    <w:tbl>
      <w:tblPr>
        <w:tblW w:w="4439" w:type="dxa"/>
        <w:jc w:val="center"/>
        <w:tblLook w:val="04A0" w:firstRow="1" w:lastRow="0" w:firstColumn="1" w:lastColumn="0" w:noHBand="0" w:noVBand="1"/>
      </w:tblPr>
      <w:tblGrid>
        <w:gridCol w:w="1497"/>
        <w:gridCol w:w="1371"/>
        <w:gridCol w:w="1571"/>
      </w:tblGrid>
      <w:tr w:rsidR="00337F7C" w:rsidRPr="003208EB" w14:paraId="68FD3EDA" w14:textId="77777777" w:rsidTr="009A53AE">
        <w:trPr>
          <w:trHeight w:val="330"/>
          <w:tblHeader/>
          <w:jc w:val="center"/>
        </w:trPr>
        <w:tc>
          <w:tcPr>
            <w:tcW w:w="4439" w:type="dxa"/>
            <w:gridSpan w:val="3"/>
            <w:tcBorders>
              <w:top w:val="single" w:sz="12" w:space="0" w:color="auto"/>
              <w:left w:val="single" w:sz="12" w:space="0" w:color="auto"/>
              <w:bottom w:val="single" w:sz="4" w:space="0" w:color="auto"/>
              <w:right w:val="single" w:sz="12" w:space="0" w:color="auto"/>
            </w:tcBorders>
            <w:shd w:val="clear" w:color="000000" w:fill="632523"/>
            <w:noWrap/>
            <w:vAlign w:val="bottom"/>
            <w:hideMark/>
          </w:tcPr>
          <w:p w14:paraId="0BBCE72C" w14:textId="05FF93D5" w:rsidR="00337F7C" w:rsidRPr="003208EB" w:rsidRDefault="00337F7C" w:rsidP="008D10AB">
            <w:pPr>
              <w:spacing w:line="240" w:lineRule="auto"/>
              <w:jc w:val="center"/>
              <w:rPr>
                <w:rFonts w:ascii="Franklin Gothic Medium" w:eastAsia="Times New Roman" w:hAnsi="Franklin Gothic Medium" w:cs="Calibri"/>
                <w:color w:val="FFFFFF"/>
                <w:sz w:val="22"/>
              </w:rPr>
            </w:pPr>
            <w:r w:rsidRPr="003208EB">
              <w:rPr>
                <w:rFonts w:ascii="Franklin Gothic Medium" w:eastAsia="Times New Roman" w:hAnsi="Franklin Gothic Medium" w:cs="Calibri"/>
                <w:color w:val="FFFFFF"/>
                <w:sz w:val="22"/>
              </w:rPr>
              <w:t xml:space="preserve">Table </w:t>
            </w:r>
            <w:r w:rsidR="008D10AB">
              <w:rPr>
                <w:rFonts w:ascii="Franklin Gothic Medium" w:eastAsia="Times New Roman" w:hAnsi="Franklin Gothic Medium" w:cs="Calibri"/>
                <w:color w:val="FFFFFF"/>
                <w:sz w:val="22"/>
              </w:rPr>
              <w:t>23</w:t>
            </w:r>
            <w:r w:rsidRPr="003208EB">
              <w:rPr>
                <w:rFonts w:ascii="Franklin Gothic Medium" w:eastAsia="Times New Roman" w:hAnsi="Franklin Gothic Medium" w:cs="Calibri"/>
                <w:color w:val="FFFFFF"/>
                <w:sz w:val="22"/>
              </w:rPr>
              <w:t xml:space="preserve">.  </w:t>
            </w:r>
            <w:r>
              <w:rPr>
                <w:rFonts w:ascii="Franklin Gothic Medium" w:eastAsia="Times New Roman" w:hAnsi="Franklin Gothic Medium" w:cs="Calibri"/>
                <w:color w:val="FFFFFF"/>
                <w:sz w:val="22"/>
              </w:rPr>
              <w:t>Lowest PDR Score by Region</w:t>
            </w:r>
          </w:p>
        </w:tc>
      </w:tr>
      <w:tr w:rsidR="00337F7C" w:rsidRPr="003208EB" w14:paraId="64B1C146" w14:textId="77777777" w:rsidTr="009A53AE">
        <w:trPr>
          <w:trHeight w:val="315"/>
          <w:tblHeader/>
          <w:jc w:val="center"/>
        </w:trPr>
        <w:tc>
          <w:tcPr>
            <w:tcW w:w="4439" w:type="dxa"/>
            <w:gridSpan w:val="3"/>
            <w:tcBorders>
              <w:top w:val="single" w:sz="4" w:space="0" w:color="auto"/>
              <w:left w:val="single" w:sz="12" w:space="0" w:color="auto"/>
              <w:bottom w:val="single" w:sz="4" w:space="0" w:color="auto"/>
              <w:right w:val="single" w:sz="12" w:space="0" w:color="auto"/>
            </w:tcBorders>
            <w:shd w:val="clear" w:color="000000" w:fill="632523"/>
            <w:noWrap/>
            <w:vAlign w:val="bottom"/>
            <w:hideMark/>
          </w:tcPr>
          <w:p w14:paraId="5661100E" w14:textId="7E56F10E" w:rsidR="00337F7C" w:rsidRPr="003208EB" w:rsidRDefault="00337F7C" w:rsidP="00AE18F2">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 xml:space="preserve">July  -  </w:t>
            </w:r>
            <w:r w:rsidR="00AE18F2">
              <w:rPr>
                <w:rFonts w:ascii="Franklin Gothic Medium" w:eastAsia="Times New Roman" w:hAnsi="Franklin Gothic Medium" w:cs="Calibri"/>
                <w:color w:val="FFFFFF"/>
                <w:sz w:val="22"/>
              </w:rPr>
              <w:t>December</w:t>
            </w:r>
            <w:r>
              <w:rPr>
                <w:rFonts w:ascii="Franklin Gothic Medium" w:eastAsia="Times New Roman" w:hAnsi="Franklin Gothic Medium" w:cs="Calibri"/>
                <w:color w:val="FFFFFF"/>
                <w:sz w:val="22"/>
              </w:rPr>
              <w:t xml:space="preserve"> 2020</w:t>
            </w:r>
          </w:p>
        </w:tc>
      </w:tr>
      <w:tr w:rsidR="00337F7C" w:rsidRPr="003208EB" w14:paraId="552F4B11" w14:textId="77777777" w:rsidTr="009A53AE">
        <w:trPr>
          <w:trHeight w:val="300"/>
          <w:tblHeader/>
          <w:jc w:val="center"/>
        </w:trPr>
        <w:tc>
          <w:tcPr>
            <w:tcW w:w="1497" w:type="dxa"/>
            <w:tcBorders>
              <w:top w:val="nil"/>
              <w:left w:val="single" w:sz="12" w:space="0" w:color="auto"/>
              <w:bottom w:val="single" w:sz="4" w:space="0" w:color="auto"/>
              <w:right w:val="nil"/>
            </w:tcBorders>
            <w:shd w:val="clear" w:color="000000" w:fill="DAEEF3"/>
            <w:noWrap/>
            <w:vAlign w:val="bottom"/>
            <w:hideMark/>
          </w:tcPr>
          <w:p w14:paraId="1250929E" w14:textId="77777777" w:rsidR="00337F7C" w:rsidRPr="0071568F" w:rsidRDefault="00337F7C" w:rsidP="009A53AE">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Region</w:t>
            </w:r>
          </w:p>
        </w:tc>
        <w:tc>
          <w:tcPr>
            <w:tcW w:w="1371" w:type="dxa"/>
            <w:tcBorders>
              <w:top w:val="single" w:sz="4" w:space="0" w:color="auto"/>
              <w:left w:val="nil"/>
              <w:bottom w:val="single" w:sz="4" w:space="0" w:color="auto"/>
              <w:right w:val="nil"/>
            </w:tcBorders>
            <w:shd w:val="clear" w:color="000000" w:fill="DAEEF3"/>
            <w:noWrap/>
            <w:vAlign w:val="bottom"/>
            <w:hideMark/>
          </w:tcPr>
          <w:p w14:paraId="3815785D" w14:textId="77777777" w:rsidR="00337F7C" w:rsidRPr="0071568F" w:rsidRDefault="00337F7C" w:rsidP="009A53AE">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Service Providers</w:t>
            </w:r>
          </w:p>
        </w:tc>
        <w:tc>
          <w:tcPr>
            <w:tcW w:w="1571" w:type="dxa"/>
            <w:tcBorders>
              <w:top w:val="single" w:sz="4" w:space="0" w:color="auto"/>
              <w:left w:val="nil"/>
              <w:bottom w:val="single" w:sz="4" w:space="0" w:color="auto"/>
              <w:right w:val="single" w:sz="12" w:space="0" w:color="auto"/>
            </w:tcBorders>
            <w:shd w:val="clear" w:color="000000" w:fill="DAEEF3"/>
            <w:noWrap/>
            <w:vAlign w:val="bottom"/>
            <w:hideMark/>
          </w:tcPr>
          <w:p w14:paraId="2AB74DC5" w14:textId="77777777" w:rsidR="00337F7C" w:rsidRPr="0071568F" w:rsidRDefault="00337F7C" w:rsidP="009A53AE">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WSCs</w:t>
            </w:r>
          </w:p>
        </w:tc>
      </w:tr>
      <w:tr w:rsidR="00AE18F2" w:rsidRPr="003208EB" w14:paraId="1DB79413" w14:textId="77777777" w:rsidTr="00AE18F2">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125FB67A"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Northwest</w:t>
            </w:r>
          </w:p>
        </w:tc>
        <w:tc>
          <w:tcPr>
            <w:tcW w:w="1371" w:type="dxa"/>
            <w:tcBorders>
              <w:top w:val="nil"/>
              <w:left w:val="nil"/>
              <w:bottom w:val="single" w:sz="4" w:space="0" w:color="auto"/>
              <w:right w:val="nil"/>
            </w:tcBorders>
            <w:shd w:val="clear" w:color="auto" w:fill="auto"/>
            <w:noWrap/>
            <w:vAlign w:val="bottom"/>
            <w:hideMark/>
          </w:tcPr>
          <w:p w14:paraId="7CE81DFD" w14:textId="68578294"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32.0%</w:t>
            </w:r>
          </w:p>
        </w:tc>
        <w:tc>
          <w:tcPr>
            <w:tcW w:w="1571" w:type="dxa"/>
            <w:tcBorders>
              <w:top w:val="nil"/>
              <w:left w:val="nil"/>
              <w:bottom w:val="single" w:sz="4" w:space="0" w:color="auto"/>
              <w:right w:val="single" w:sz="12" w:space="0" w:color="auto"/>
            </w:tcBorders>
            <w:shd w:val="clear" w:color="auto" w:fill="auto"/>
            <w:noWrap/>
            <w:vAlign w:val="bottom"/>
            <w:hideMark/>
          </w:tcPr>
          <w:p w14:paraId="6FD37189" w14:textId="371A1ADB"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82.2%</w:t>
            </w:r>
          </w:p>
        </w:tc>
      </w:tr>
      <w:tr w:rsidR="00AE18F2" w:rsidRPr="003208EB" w14:paraId="678754C1" w14:textId="77777777" w:rsidTr="00AE18F2">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26B867C2"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Northeast</w:t>
            </w:r>
          </w:p>
        </w:tc>
        <w:tc>
          <w:tcPr>
            <w:tcW w:w="1371" w:type="dxa"/>
            <w:tcBorders>
              <w:top w:val="nil"/>
              <w:left w:val="nil"/>
              <w:bottom w:val="single" w:sz="4" w:space="0" w:color="auto"/>
              <w:right w:val="nil"/>
            </w:tcBorders>
            <w:shd w:val="clear" w:color="auto" w:fill="auto"/>
            <w:noWrap/>
            <w:vAlign w:val="bottom"/>
            <w:hideMark/>
          </w:tcPr>
          <w:p w14:paraId="0B714290" w14:textId="35310873"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34.1%</w:t>
            </w:r>
          </w:p>
        </w:tc>
        <w:tc>
          <w:tcPr>
            <w:tcW w:w="1571" w:type="dxa"/>
            <w:tcBorders>
              <w:top w:val="nil"/>
              <w:left w:val="nil"/>
              <w:bottom w:val="single" w:sz="4" w:space="0" w:color="auto"/>
              <w:right w:val="single" w:sz="12" w:space="0" w:color="auto"/>
            </w:tcBorders>
            <w:shd w:val="clear" w:color="auto" w:fill="auto"/>
            <w:noWrap/>
            <w:vAlign w:val="bottom"/>
            <w:hideMark/>
          </w:tcPr>
          <w:p w14:paraId="131353ED" w14:textId="303D19D5"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11.3%</w:t>
            </w:r>
          </w:p>
        </w:tc>
      </w:tr>
      <w:tr w:rsidR="00AE18F2" w:rsidRPr="003208EB" w14:paraId="1C777460" w14:textId="77777777" w:rsidTr="00AE18F2">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4DCB7004"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Central</w:t>
            </w:r>
          </w:p>
        </w:tc>
        <w:tc>
          <w:tcPr>
            <w:tcW w:w="1371" w:type="dxa"/>
            <w:tcBorders>
              <w:top w:val="nil"/>
              <w:left w:val="nil"/>
              <w:bottom w:val="single" w:sz="4" w:space="0" w:color="auto"/>
              <w:right w:val="nil"/>
            </w:tcBorders>
            <w:shd w:val="clear" w:color="auto" w:fill="auto"/>
            <w:noWrap/>
            <w:vAlign w:val="bottom"/>
            <w:hideMark/>
          </w:tcPr>
          <w:p w14:paraId="1095259E" w14:textId="570DFF31"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32.3%</w:t>
            </w:r>
          </w:p>
        </w:tc>
        <w:tc>
          <w:tcPr>
            <w:tcW w:w="1571" w:type="dxa"/>
            <w:tcBorders>
              <w:top w:val="nil"/>
              <w:left w:val="nil"/>
              <w:bottom w:val="single" w:sz="4" w:space="0" w:color="auto"/>
              <w:right w:val="single" w:sz="12" w:space="0" w:color="auto"/>
            </w:tcBorders>
            <w:shd w:val="clear" w:color="auto" w:fill="auto"/>
            <w:noWrap/>
            <w:vAlign w:val="bottom"/>
            <w:hideMark/>
          </w:tcPr>
          <w:p w14:paraId="44D0E1E9" w14:textId="42046804"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27.9%</w:t>
            </w:r>
          </w:p>
        </w:tc>
      </w:tr>
      <w:tr w:rsidR="00AE18F2" w:rsidRPr="003208EB" w14:paraId="788AAF5B" w14:textId="77777777" w:rsidTr="00AE18F2">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2DB83A5A"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Suncoast</w:t>
            </w:r>
          </w:p>
        </w:tc>
        <w:tc>
          <w:tcPr>
            <w:tcW w:w="1371" w:type="dxa"/>
            <w:tcBorders>
              <w:top w:val="nil"/>
              <w:left w:val="nil"/>
              <w:bottom w:val="single" w:sz="4" w:space="0" w:color="auto"/>
              <w:right w:val="nil"/>
            </w:tcBorders>
            <w:shd w:val="clear" w:color="auto" w:fill="auto"/>
            <w:noWrap/>
            <w:vAlign w:val="bottom"/>
            <w:hideMark/>
          </w:tcPr>
          <w:p w14:paraId="0FA3605F" w14:textId="65095AD2"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9.8%</w:t>
            </w:r>
          </w:p>
        </w:tc>
        <w:tc>
          <w:tcPr>
            <w:tcW w:w="1571" w:type="dxa"/>
            <w:tcBorders>
              <w:top w:val="nil"/>
              <w:left w:val="nil"/>
              <w:bottom w:val="single" w:sz="4" w:space="0" w:color="auto"/>
              <w:right w:val="single" w:sz="12" w:space="0" w:color="auto"/>
            </w:tcBorders>
            <w:shd w:val="clear" w:color="auto" w:fill="auto"/>
            <w:noWrap/>
            <w:vAlign w:val="bottom"/>
            <w:hideMark/>
          </w:tcPr>
          <w:p w14:paraId="09B4CF8B" w14:textId="1C393EB2"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45.2%</w:t>
            </w:r>
          </w:p>
        </w:tc>
      </w:tr>
      <w:tr w:rsidR="00AE18F2" w:rsidRPr="003208EB" w14:paraId="7958069F" w14:textId="77777777" w:rsidTr="00AE18F2">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7B76282C"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lastRenderedPageBreak/>
              <w:t>Southeast</w:t>
            </w:r>
          </w:p>
        </w:tc>
        <w:tc>
          <w:tcPr>
            <w:tcW w:w="1371" w:type="dxa"/>
            <w:tcBorders>
              <w:top w:val="nil"/>
              <w:left w:val="nil"/>
              <w:bottom w:val="single" w:sz="4" w:space="0" w:color="auto"/>
              <w:right w:val="nil"/>
            </w:tcBorders>
            <w:shd w:val="clear" w:color="auto" w:fill="auto"/>
            <w:noWrap/>
            <w:vAlign w:val="bottom"/>
            <w:hideMark/>
          </w:tcPr>
          <w:p w14:paraId="7EF01265" w14:textId="7290FB98"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17.3%</w:t>
            </w:r>
          </w:p>
        </w:tc>
        <w:tc>
          <w:tcPr>
            <w:tcW w:w="1571" w:type="dxa"/>
            <w:tcBorders>
              <w:top w:val="nil"/>
              <w:left w:val="nil"/>
              <w:bottom w:val="single" w:sz="4" w:space="0" w:color="auto"/>
              <w:right w:val="single" w:sz="12" w:space="0" w:color="auto"/>
            </w:tcBorders>
            <w:shd w:val="clear" w:color="auto" w:fill="auto"/>
            <w:noWrap/>
            <w:vAlign w:val="bottom"/>
            <w:hideMark/>
          </w:tcPr>
          <w:p w14:paraId="5AFEBAFB" w14:textId="01FB1ADA"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60.9%</w:t>
            </w:r>
          </w:p>
        </w:tc>
      </w:tr>
      <w:tr w:rsidR="00AE18F2" w:rsidRPr="003208EB" w14:paraId="5906FE92" w14:textId="77777777" w:rsidTr="00AE18F2">
        <w:trPr>
          <w:trHeight w:val="288"/>
          <w:jc w:val="center"/>
        </w:trPr>
        <w:tc>
          <w:tcPr>
            <w:tcW w:w="1497" w:type="dxa"/>
            <w:tcBorders>
              <w:top w:val="nil"/>
              <w:left w:val="single" w:sz="12" w:space="0" w:color="auto"/>
              <w:bottom w:val="single" w:sz="12" w:space="0" w:color="auto"/>
              <w:right w:val="nil"/>
            </w:tcBorders>
            <w:shd w:val="clear" w:color="auto" w:fill="auto"/>
            <w:noWrap/>
            <w:vAlign w:val="bottom"/>
            <w:hideMark/>
          </w:tcPr>
          <w:p w14:paraId="410300FD" w14:textId="77777777" w:rsidR="00AE18F2" w:rsidRPr="0071568F" w:rsidRDefault="00AE18F2" w:rsidP="00AE18F2">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Southern</w:t>
            </w:r>
          </w:p>
        </w:tc>
        <w:tc>
          <w:tcPr>
            <w:tcW w:w="1371" w:type="dxa"/>
            <w:tcBorders>
              <w:top w:val="single" w:sz="4" w:space="0" w:color="auto"/>
              <w:left w:val="nil"/>
              <w:bottom w:val="single" w:sz="12" w:space="0" w:color="auto"/>
              <w:right w:val="nil"/>
            </w:tcBorders>
            <w:shd w:val="clear" w:color="auto" w:fill="auto"/>
            <w:noWrap/>
            <w:vAlign w:val="bottom"/>
            <w:hideMark/>
          </w:tcPr>
          <w:p w14:paraId="2B49D43C" w14:textId="06F01466"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29.2%</w:t>
            </w:r>
          </w:p>
        </w:tc>
        <w:tc>
          <w:tcPr>
            <w:tcW w:w="1571" w:type="dxa"/>
            <w:tcBorders>
              <w:top w:val="single" w:sz="4" w:space="0" w:color="auto"/>
              <w:left w:val="nil"/>
              <w:bottom w:val="single" w:sz="12" w:space="0" w:color="auto"/>
              <w:right w:val="single" w:sz="12" w:space="0" w:color="auto"/>
            </w:tcBorders>
            <w:shd w:val="clear" w:color="auto" w:fill="auto"/>
            <w:noWrap/>
            <w:vAlign w:val="bottom"/>
            <w:hideMark/>
          </w:tcPr>
          <w:p w14:paraId="4A5FD1F8" w14:textId="0DFD5C01" w:rsidR="00AE18F2" w:rsidRPr="00AE18F2" w:rsidRDefault="00AE18F2" w:rsidP="00AE18F2">
            <w:pPr>
              <w:spacing w:line="240" w:lineRule="auto"/>
              <w:jc w:val="center"/>
              <w:rPr>
                <w:rFonts w:asciiTheme="minorHAnsi" w:eastAsia="Times New Roman" w:hAnsiTheme="minorHAnsi" w:cstheme="minorHAnsi"/>
                <w:color w:val="000000"/>
                <w:sz w:val="20"/>
                <w:szCs w:val="20"/>
              </w:rPr>
            </w:pPr>
            <w:r w:rsidRPr="00AE18F2">
              <w:rPr>
                <w:rFonts w:asciiTheme="minorHAnsi" w:hAnsiTheme="minorHAnsi" w:cstheme="minorHAnsi"/>
                <w:sz w:val="20"/>
              </w:rPr>
              <w:t>78.5%</w:t>
            </w:r>
          </w:p>
        </w:tc>
      </w:tr>
    </w:tbl>
    <w:p w14:paraId="76353310" w14:textId="1F3CC8E4" w:rsidR="00337F7C" w:rsidRDefault="00337F7C" w:rsidP="00F34C75"/>
    <w:p w14:paraId="79F38793" w14:textId="77777777" w:rsidR="00337F7C" w:rsidRDefault="00337F7C" w:rsidP="00F34C75"/>
    <w:p w14:paraId="6226FA6C" w14:textId="77777777" w:rsidR="00F34C75" w:rsidRPr="009D684F" w:rsidRDefault="00F34C75" w:rsidP="00F34C75">
      <w:pPr>
        <w:pStyle w:val="Heading4"/>
      </w:pPr>
      <w:r>
        <w:t>P</w:t>
      </w:r>
      <w:r w:rsidRPr="009D684F">
        <w:t>DR by Provider Size</w:t>
      </w:r>
    </w:p>
    <w:p w14:paraId="0C61E544" w14:textId="1B368453" w:rsidR="00F34C75" w:rsidRDefault="00F34C75" w:rsidP="00F34C75">
      <w:r>
        <w:t>Florida’s providers of HCBS services, through the iBudget Waiver, vary greatly in the number of employees they have and the number of p</w:t>
      </w:r>
      <w:r w:rsidR="00E4239B">
        <w:t xml:space="preserve">eople served. As per APDs definition, WSCs provide services as a solo provider or as part of an agency.  </w:t>
      </w:r>
      <w:r w:rsidR="00147142">
        <w:t>For this report, service p</w:t>
      </w:r>
      <w:r>
        <w:t>roviders have been categorized by size, with the number of people served, as follows:</w:t>
      </w:r>
    </w:p>
    <w:p w14:paraId="22A527FD" w14:textId="77777777" w:rsidR="00F34C75" w:rsidRDefault="00F34C75" w:rsidP="00F34C75"/>
    <w:p w14:paraId="34FBD6EC" w14:textId="77777777" w:rsidR="00F34C75" w:rsidRDefault="00F34C75" w:rsidP="00F34C75">
      <w:pPr>
        <w:pStyle w:val="ListBullet"/>
        <w:numPr>
          <w:ilvl w:val="0"/>
          <w:numId w:val="14"/>
        </w:numPr>
      </w:pPr>
      <w:r>
        <w:t>Small – 1 to 29</w:t>
      </w:r>
    </w:p>
    <w:p w14:paraId="3C70F68C" w14:textId="77777777" w:rsidR="00F34C75" w:rsidRDefault="00F34C75" w:rsidP="00F34C75">
      <w:pPr>
        <w:pStyle w:val="ListBullet"/>
        <w:numPr>
          <w:ilvl w:val="0"/>
          <w:numId w:val="14"/>
        </w:numPr>
      </w:pPr>
      <w:r>
        <w:t>Medium – 30 to 99</w:t>
      </w:r>
    </w:p>
    <w:p w14:paraId="54AF3864" w14:textId="77777777" w:rsidR="00F34C75" w:rsidRDefault="00F34C75" w:rsidP="00F34C75">
      <w:pPr>
        <w:pStyle w:val="ListBullet"/>
        <w:numPr>
          <w:ilvl w:val="0"/>
          <w:numId w:val="14"/>
        </w:numPr>
      </w:pPr>
      <w:r>
        <w:t>Large – 100+</w:t>
      </w:r>
    </w:p>
    <w:p w14:paraId="611344DE" w14:textId="77777777" w:rsidR="00F34C75" w:rsidRDefault="00F34C75" w:rsidP="00F34C75">
      <w:pPr>
        <w:pStyle w:val="ListBullet"/>
        <w:numPr>
          <w:ilvl w:val="0"/>
          <w:numId w:val="0"/>
        </w:numPr>
        <w:tabs>
          <w:tab w:val="left" w:pos="1140"/>
        </w:tabs>
      </w:pPr>
    </w:p>
    <w:p w14:paraId="3B45F21C" w14:textId="2041C33E" w:rsidR="00F34C75" w:rsidRDefault="00F34C75" w:rsidP="00F34C75">
      <w:pPr>
        <w:pStyle w:val="ListBullet"/>
        <w:numPr>
          <w:ilvl w:val="0"/>
          <w:numId w:val="0"/>
        </w:numPr>
        <w:tabs>
          <w:tab w:val="left" w:pos="1140"/>
        </w:tabs>
      </w:pPr>
      <w:r w:rsidRPr="00C521F8">
        <w:t xml:space="preserve">Information in </w:t>
      </w:r>
      <w:r>
        <w:t>Table 2</w:t>
      </w:r>
      <w:r w:rsidR="00147142">
        <w:t>4</w:t>
      </w:r>
      <w:r w:rsidRPr="00C521F8">
        <w:t xml:space="preserve"> </w:t>
      </w:r>
      <w:r>
        <w:t>provides</w:t>
      </w:r>
      <w:r w:rsidRPr="00C521F8">
        <w:t xml:space="preserve"> a summary of </w:t>
      </w:r>
      <w:r>
        <w:t>PDR results by provider size</w:t>
      </w:r>
      <w:r w:rsidR="00E4239B">
        <w:t xml:space="preserve"> for service providers and by agency vs solo for WSCs</w:t>
      </w:r>
      <w:r>
        <w:t xml:space="preserve">, including for </w:t>
      </w:r>
      <w:r w:rsidRPr="004325E6">
        <w:t xml:space="preserve">Compliance and </w:t>
      </w:r>
      <w:r>
        <w:t>Person Centered Practices</w:t>
      </w:r>
      <w:r w:rsidRPr="004325E6">
        <w:t>.</w:t>
      </w:r>
      <w:r>
        <w:t xml:space="preserve"> </w:t>
      </w:r>
      <w:r w:rsidRPr="001B1249">
        <w:t xml:space="preserve">Compliance standards address required documents </w:t>
      </w:r>
      <w:r>
        <w:t>–</w:t>
      </w:r>
      <w:r w:rsidR="00944C07">
        <w:t xml:space="preserve"> Are they complete? D</w:t>
      </w:r>
      <w:r w:rsidRPr="001B1249">
        <w:t xml:space="preserve">o they have all the necessary components? </w:t>
      </w:r>
      <w:r>
        <w:t>Person Centered Practices</w:t>
      </w:r>
      <w:r w:rsidRPr="001B1249">
        <w:t xml:space="preserve"> standards address best practices and the extent to which individuals have key outcomes in their lives, such as informed choice, desired levels of community integration and person centered service delivery.</w:t>
      </w:r>
      <w:r>
        <w:t xml:space="preserve"> Alerts and the number of billing standards scored not met are presented as a rate per 10 reviews for each size category.</w:t>
      </w:r>
    </w:p>
    <w:p w14:paraId="0565E083" w14:textId="77777777" w:rsidR="00F34C75" w:rsidRDefault="00F34C75" w:rsidP="00F34C75">
      <w:pPr>
        <w:pStyle w:val="ListBullet"/>
        <w:numPr>
          <w:ilvl w:val="0"/>
          <w:numId w:val="0"/>
        </w:numPr>
        <w:tabs>
          <w:tab w:val="left" w:pos="1140"/>
        </w:tabs>
      </w:pPr>
    </w:p>
    <w:p w14:paraId="3062A7E1" w14:textId="55943205" w:rsidR="00F34C75" w:rsidRDefault="00F34C75" w:rsidP="00F34C75">
      <w:r w:rsidRPr="00F1083D">
        <w:t xml:space="preserve">On average, </w:t>
      </w:r>
      <w:r w:rsidR="00F1083D" w:rsidRPr="00F1083D">
        <w:t>average</w:t>
      </w:r>
      <w:r w:rsidRPr="00F1083D">
        <w:t xml:space="preserve"> scores for </w:t>
      </w:r>
      <w:r w:rsidR="008A0821" w:rsidRPr="00F1083D">
        <w:t xml:space="preserve">small service </w:t>
      </w:r>
      <w:r w:rsidR="009D7267" w:rsidRPr="00F1083D">
        <w:t xml:space="preserve">providers </w:t>
      </w:r>
      <w:r w:rsidR="008A0821" w:rsidRPr="00F1083D">
        <w:t xml:space="preserve">were </w:t>
      </w:r>
      <w:r w:rsidR="00D00744" w:rsidRPr="00F1083D">
        <w:t xml:space="preserve">somewhat lower </w:t>
      </w:r>
      <w:r w:rsidR="008A0821" w:rsidRPr="00F1083D">
        <w:t>than for medium or large providers</w:t>
      </w:r>
      <w:r w:rsidR="00F1083D" w:rsidRPr="00F1083D">
        <w:t>; however, small providers were also somewhat less likely to have po</w:t>
      </w:r>
      <w:r w:rsidR="00F1083D">
        <w:t xml:space="preserve">tential billing discrepancies. </w:t>
      </w:r>
      <w:r w:rsidR="008A0821" w:rsidRPr="00F1083D">
        <w:t>Service providers showed a greater alert rate and billing discrepancy rate than WSCs</w:t>
      </w:r>
      <w:r w:rsidR="00F1083D">
        <w:t>.</w:t>
      </w:r>
      <w:r w:rsidR="008A0821" w:rsidRPr="00F1083D">
        <w:t xml:space="preserve"> </w:t>
      </w:r>
      <w:r w:rsidR="00F1083D" w:rsidRPr="00F1083D">
        <w:t>Support Coordinators</w:t>
      </w:r>
      <w:r w:rsidR="008A0821" w:rsidRPr="00F1083D">
        <w:t xml:space="preserve"> operating as solo providers scored lower </w:t>
      </w:r>
      <w:r w:rsidR="00A66BFC" w:rsidRPr="00F1083D">
        <w:t xml:space="preserve">than agencies </w:t>
      </w:r>
      <w:r w:rsidR="008A0821" w:rsidRPr="00F1083D">
        <w:t>across all the areas (Overall, Compliance, and Person Centered Scores)</w:t>
      </w:r>
      <w:r w:rsidR="00F1083D" w:rsidRPr="00F1083D">
        <w:t>, had a higher alert rate but a similar billing discrepancy rate.</w:t>
      </w:r>
      <w:r w:rsidR="008A0821">
        <w:t xml:space="preserve"> </w:t>
      </w:r>
    </w:p>
    <w:p w14:paraId="53CF359C" w14:textId="50A02CD2" w:rsidR="00F34C75" w:rsidRDefault="00F34C75" w:rsidP="00F34C75">
      <w:pPr>
        <w:tabs>
          <w:tab w:val="left" w:pos="3448"/>
        </w:tabs>
      </w:pPr>
    </w:p>
    <w:tbl>
      <w:tblPr>
        <w:tblW w:w="9630" w:type="dxa"/>
        <w:jc w:val="center"/>
        <w:tblLayout w:type="fixed"/>
        <w:tblLook w:val="04A0" w:firstRow="1" w:lastRow="0" w:firstColumn="1" w:lastColumn="0" w:noHBand="0" w:noVBand="1"/>
      </w:tblPr>
      <w:tblGrid>
        <w:gridCol w:w="1080"/>
        <w:gridCol w:w="875"/>
        <w:gridCol w:w="115"/>
        <w:gridCol w:w="1041"/>
        <w:gridCol w:w="1334"/>
        <w:gridCol w:w="1156"/>
        <w:gridCol w:w="1067"/>
        <w:gridCol w:w="892"/>
        <w:gridCol w:w="797"/>
        <w:gridCol w:w="1273"/>
      </w:tblGrid>
      <w:tr w:rsidR="00F34C75" w:rsidRPr="00D76DDC" w14:paraId="2A1BE93F" w14:textId="77777777" w:rsidTr="00E4239B">
        <w:trPr>
          <w:trHeight w:val="407"/>
          <w:tblHeader/>
          <w:jc w:val="center"/>
        </w:trPr>
        <w:tc>
          <w:tcPr>
            <w:tcW w:w="9630" w:type="dxa"/>
            <w:gridSpan w:val="10"/>
            <w:tcBorders>
              <w:top w:val="single" w:sz="12" w:space="0" w:color="auto"/>
              <w:left w:val="single" w:sz="12" w:space="0" w:color="auto"/>
              <w:right w:val="single" w:sz="12" w:space="0" w:color="auto"/>
            </w:tcBorders>
            <w:shd w:val="clear" w:color="auto" w:fill="1F4E79" w:themeFill="accent1" w:themeFillShade="80"/>
            <w:vAlign w:val="bottom"/>
          </w:tcPr>
          <w:p w14:paraId="45092BD4" w14:textId="7F6C8AB9" w:rsidR="00847A74" w:rsidRDefault="00F34C75" w:rsidP="00944C07">
            <w:pPr>
              <w:spacing w:line="240" w:lineRule="auto"/>
              <w:jc w:val="center"/>
              <w:rPr>
                <w:rFonts w:ascii="Franklin Gothic Medium" w:eastAsia="Times New Roman" w:hAnsi="Franklin Gothic Medium" w:cs="Calibri"/>
                <w:color w:val="FFFFFF"/>
                <w:sz w:val="22"/>
              </w:rPr>
            </w:pPr>
            <w:r w:rsidRPr="00022EAF">
              <w:rPr>
                <w:rFonts w:ascii="Franklin Gothic Medium" w:eastAsia="Times New Roman" w:hAnsi="Franklin Gothic Medium" w:cs="Calibri"/>
                <w:color w:val="FFFFFF"/>
                <w:sz w:val="22"/>
              </w:rPr>
              <w:t>Table 2</w:t>
            </w:r>
            <w:r w:rsidR="00147142">
              <w:rPr>
                <w:rFonts w:ascii="Franklin Gothic Medium" w:eastAsia="Times New Roman" w:hAnsi="Franklin Gothic Medium" w:cs="Calibri"/>
                <w:color w:val="FFFFFF"/>
                <w:sz w:val="22"/>
              </w:rPr>
              <w:t>4</w:t>
            </w:r>
            <w:r w:rsidRPr="00022EAF">
              <w:rPr>
                <w:rFonts w:ascii="Franklin Gothic Medium" w:eastAsia="Times New Roman" w:hAnsi="Franklin Gothic Medium" w:cs="Calibri"/>
                <w:color w:val="FFFFFF"/>
                <w:sz w:val="22"/>
              </w:rPr>
              <w:t>. Results by Provider Size</w:t>
            </w:r>
            <w:r w:rsidR="00E4239B">
              <w:rPr>
                <w:rFonts w:ascii="Franklin Gothic Medium" w:eastAsia="Times New Roman" w:hAnsi="Franklin Gothic Medium" w:cs="Calibri"/>
                <w:color w:val="FFFFFF"/>
                <w:sz w:val="22"/>
              </w:rPr>
              <w:t xml:space="preserve"> and Agency vs Solo</w:t>
            </w:r>
            <w:r w:rsidRPr="00022EAF">
              <w:rPr>
                <w:rFonts w:ascii="Franklin Gothic Medium" w:eastAsia="Times New Roman" w:hAnsi="Franklin Gothic Medium" w:cs="Calibri"/>
                <w:color w:val="FFFFFF"/>
                <w:sz w:val="22"/>
              </w:rPr>
              <w:t xml:space="preserve"> </w:t>
            </w:r>
          </w:p>
          <w:p w14:paraId="4F487777" w14:textId="1B6B300A" w:rsidR="00F34C75" w:rsidRPr="00022EAF" w:rsidRDefault="00E4239B" w:rsidP="00C51301">
            <w:pPr>
              <w:spacing w:line="240" w:lineRule="auto"/>
              <w:jc w:val="center"/>
              <w:rPr>
                <w:rFonts w:ascii="Franklin Gothic Medium" w:eastAsia="Times New Roman" w:hAnsi="Franklin Gothic Medium" w:cs="Calibri"/>
                <w:b/>
                <w:bCs/>
                <w:color w:val="FFFFFF"/>
                <w:sz w:val="20"/>
              </w:rPr>
            </w:pPr>
            <w:r>
              <w:rPr>
                <w:rFonts w:ascii="Franklin Gothic Medium" w:eastAsia="Times New Roman" w:hAnsi="Franklin Gothic Medium" w:cs="Calibri"/>
                <w:color w:val="FFFFFF"/>
                <w:sz w:val="22"/>
              </w:rPr>
              <w:t xml:space="preserve">July – </w:t>
            </w:r>
            <w:r w:rsidR="00C51301">
              <w:rPr>
                <w:rFonts w:ascii="Franklin Gothic Medium" w:eastAsia="Times New Roman" w:hAnsi="Franklin Gothic Medium" w:cs="Calibri"/>
                <w:color w:val="FFFFFF"/>
                <w:sz w:val="22"/>
              </w:rPr>
              <w:t>December</w:t>
            </w:r>
            <w:r>
              <w:rPr>
                <w:rFonts w:ascii="Franklin Gothic Medium" w:eastAsia="Times New Roman" w:hAnsi="Franklin Gothic Medium" w:cs="Calibri"/>
                <w:color w:val="FFFFFF"/>
                <w:sz w:val="22"/>
              </w:rPr>
              <w:t xml:space="preserve"> </w:t>
            </w:r>
            <w:r w:rsidR="002D7423">
              <w:rPr>
                <w:rFonts w:ascii="Franklin Gothic Medium" w:eastAsia="Times New Roman" w:hAnsi="Franklin Gothic Medium" w:cs="Calibri"/>
                <w:color w:val="FFFFFF"/>
                <w:sz w:val="22"/>
              </w:rPr>
              <w:t>2020</w:t>
            </w:r>
          </w:p>
        </w:tc>
      </w:tr>
      <w:tr w:rsidR="00F34C75" w:rsidRPr="00D76DDC" w14:paraId="67DAD670" w14:textId="77777777" w:rsidTr="00E4239B">
        <w:trPr>
          <w:trHeight w:val="209"/>
          <w:tblHeader/>
          <w:jc w:val="center"/>
        </w:trPr>
        <w:tc>
          <w:tcPr>
            <w:tcW w:w="1080" w:type="dxa"/>
            <w:tcBorders>
              <w:left w:val="single" w:sz="12" w:space="0" w:color="auto"/>
              <w:right w:val="nil"/>
            </w:tcBorders>
            <w:shd w:val="clear" w:color="auto" w:fill="1F4E79" w:themeFill="accent1" w:themeFillShade="80"/>
            <w:noWrap/>
            <w:vAlign w:val="center"/>
            <w:hideMark/>
          </w:tcPr>
          <w:p w14:paraId="0BCFE7A3"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990" w:type="dxa"/>
            <w:gridSpan w:val="2"/>
            <w:tcBorders>
              <w:left w:val="nil"/>
              <w:right w:val="nil"/>
            </w:tcBorders>
            <w:shd w:val="clear" w:color="auto" w:fill="1F4E79" w:themeFill="accent1" w:themeFillShade="80"/>
            <w:noWrap/>
            <w:vAlign w:val="center"/>
            <w:hideMark/>
          </w:tcPr>
          <w:p w14:paraId="41F61236"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041" w:type="dxa"/>
            <w:tcBorders>
              <w:left w:val="nil"/>
              <w:right w:val="nil"/>
            </w:tcBorders>
            <w:shd w:val="clear" w:color="auto" w:fill="1F4E79" w:themeFill="accent1" w:themeFillShade="80"/>
          </w:tcPr>
          <w:p w14:paraId="18256BB9"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334" w:type="dxa"/>
            <w:tcBorders>
              <w:left w:val="nil"/>
              <w:right w:val="nil"/>
            </w:tcBorders>
            <w:shd w:val="clear" w:color="auto" w:fill="1F4E79" w:themeFill="accent1" w:themeFillShade="80"/>
          </w:tcPr>
          <w:p w14:paraId="6EA26455"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156" w:type="dxa"/>
            <w:tcBorders>
              <w:left w:val="nil"/>
              <w:right w:val="nil"/>
            </w:tcBorders>
            <w:shd w:val="clear" w:color="auto" w:fill="1F4E79" w:themeFill="accent1" w:themeFillShade="80"/>
          </w:tcPr>
          <w:p w14:paraId="66EFFFB2"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067" w:type="dxa"/>
            <w:tcBorders>
              <w:left w:val="nil"/>
              <w:right w:val="nil"/>
            </w:tcBorders>
            <w:shd w:val="clear" w:color="auto" w:fill="1F4E79" w:themeFill="accent1" w:themeFillShade="80"/>
            <w:noWrap/>
            <w:vAlign w:val="center"/>
            <w:hideMark/>
          </w:tcPr>
          <w:p w14:paraId="20314262"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892" w:type="dxa"/>
            <w:tcBorders>
              <w:left w:val="nil"/>
              <w:right w:val="nil"/>
            </w:tcBorders>
            <w:shd w:val="clear" w:color="auto" w:fill="1F4E79" w:themeFill="accent1" w:themeFillShade="80"/>
            <w:noWrap/>
            <w:vAlign w:val="center"/>
            <w:hideMark/>
          </w:tcPr>
          <w:p w14:paraId="1CCC609A"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2070" w:type="dxa"/>
            <w:gridSpan w:val="2"/>
            <w:tcBorders>
              <w:left w:val="nil"/>
              <w:right w:val="single" w:sz="12" w:space="0" w:color="auto"/>
            </w:tcBorders>
            <w:shd w:val="clear" w:color="auto" w:fill="1F4E79" w:themeFill="accent1" w:themeFillShade="80"/>
            <w:noWrap/>
            <w:vAlign w:val="center"/>
            <w:hideMark/>
          </w:tcPr>
          <w:p w14:paraId="67A2B3DB" w14:textId="77777777" w:rsidR="00F34C75" w:rsidRPr="00022EAF" w:rsidRDefault="00F34C75" w:rsidP="00F34C75">
            <w:pPr>
              <w:spacing w:line="240" w:lineRule="auto"/>
              <w:jc w:val="center"/>
              <w:rPr>
                <w:rFonts w:ascii="Franklin Gothic Medium" w:eastAsia="Times New Roman" w:hAnsi="Franklin Gothic Medium" w:cs="Calibri"/>
                <w:bCs/>
                <w:color w:val="FFFFFF"/>
                <w:sz w:val="20"/>
              </w:rPr>
            </w:pPr>
            <w:r w:rsidRPr="00022EAF">
              <w:rPr>
                <w:rFonts w:ascii="Franklin Gothic Medium" w:eastAsia="Times New Roman" w:hAnsi="Franklin Gothic Medium" w:cs="Calibri"/>
                <w:bCs/>
                <w:color w:val="FFFFFF"/>
                <w:sz w:val="20"/>
              </w:rPr>
              <w:t>Rate per 10 Reviews</w:t>
            </w:r>
          </w:p>
        </w:tc>
      </w:tr>
      <w:tr w:rsidR="00F34C75" w:rsidRPr="00F53AD2" w14:paraId="522BD59A" w14:textId="77777777" w:rsidTr="00E4239B">
        <w:trPr>
          <w:trHeight w:val="855"/>
          <w:tblHeader/>
          <w:jc w:val="center"/>
        </w:trPr>
        <w:tc>
          <w:tcPr>
            <w:tcW w:w="1080" w:type="dxa"/>
            <w:tcBorders>
              <w:left w:val="single" w:sz="12" w:space="0" w:color="auto"/>
              <w:right w:val="nil"/>
            </w:tcBorders>
            <w:shd w:val="clear" w:color="auto" w:fill="1F4E79" w:themeFill="accent1" w:themeFillShade="80"/>
            <w:noWrap/>
            <w:vAlign w:val="bottom"/>
            <w:hideMark/>
          </w:tcPr>
          <w:p w14:paraId="51616685" w14:textId="06E74B1C" w:rsidR="00F34C75" w:rsidRPr="00022EAF" w:rsidRDefault="00E4239B"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Service Providers</w:t>
            </w:r>
          </w:p>
        </w:tc>
        <w:tc>
          <w:tcPr>
            <w:tcW w:w="990" w:type="dxa"/>
            <w:gridSpan w:val="2"/>
            <w:tcBorders>
              <w:left w:val="nil"/>
              <w:right w:val="nil"/>
            </w:tcBorders>
            <w:shd w:val="clear" w:color="auto" w:fill="1F4E79" w:themeFill="accent1" w:themeFillShade="80"/>
            <w:noWrap/>
            <w:vAlign w:val="bottom"/>
            <w:hideMark/>
          </w:tcPr>
          <w:p w14:paraId="20A6E25F"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Reviews</w:t>
            </w:r>
          </w:p>
        </w:tc>
        <w:tc>
          <w:tcPr>
            <w:tcW w:w="1041" w:type="dxa"/>
            <w:tcBorders>
              <w:left w:val="nil"/>
              <w:right w:val="nil"/>
            </w:tcBorders>
            <w:shd w:val="clear" w:color="auto" w:fill="1F4E79" w:themeFill="accent1" w:themeFillShade="80"/>
            <w:vAlign w:val="bottom"/>
          </w:tcPr>
          <w:p w14:paraId="3D471920" w14:textId="072F2E2A"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Overall </w:t>
            </w:r>
          </w:p>
        </w:tc>
        <w:tc>
          <w:tcPr>
            <w:tcW w:w="1334" w:type="dxa"/>
            <w:tcBorders>
              <w:left w:val="nil"/>
              <w:right w:val="nil"/>
            </w:tcBorders>
            <w:shd w:val="clear" w:color="auto" w:fill="1F4E79" w:themeFill="accent1" w:themeFillShade="80"/>
            <w:vAlign w:val="bottom"/>
          </w:tcPr>
          <w:p w14:paraId="6B9BA675" w14:textId="5FD8B971"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Compliance </w:t>
            </w:r>
          </w:p>
        </w:tc>
        <w:tc>
          <w:tcPr>
            <w:tcW w:w="1156" w:type="dxa"/>
            <w:tcBorders>
              <w:left w:val="nil"/>
              <w:right w:val="nil"/>
            </w:tcBorders>
            <w:shd w:val="clear" w:color="auto" w:fill="1F4E79" w:themeFill="accent1" w:themeFillShade="80"/>
            <w:vAlign w:val="bottom"/>
          </w:tcPr>
          <w:p w14:paraId="4D4DBB6F" w14:textId="2845FBE3" w:rsidR="00F34C75" w:rsidRPr="00022EAF" w:rsidRDefault="00847A74"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Person Centered</w:t>
            </w:r>
          </w:p>
          <w:p w14:paraId="3A1C5E93" w14:textId="3C543BE4" w:rsidR="00F34C75" w:rsidRPr="00022EAF" w:rsidRDefault="00E4239B"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Practices</w:t>
            </w:r>
          </w:p>
        </w:tc>
        <w:tc>
          <w:tcPr>
            <w:tcW w:w="1067" w:type="dxa"/>
            <w:tcBorders>
              <w:left w:val="nil"/>
              <w:right w:val="nil"/>
            </w:tcBorders>
            <w:shd w:val="clear" w:color="auto" w:fill="1F4E79" w:themeFill="accent1" w:themeFillShade="80"/>
            <w:noWrap/>
            <w:vAlign w:val="bottom"/>
            <w:hideMark/>
          </w:tcPr>
          <w:p w14:paraId="7E8DD43A" w14:textId="77777777" w:rsidR="00E4239B"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 </w:t>
            </w:r>
          </w:p>
          <w:p w14:paraId="6D6511A7" w14:textId="7715132E"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Alerts</w:t>
            </w:r>
          </w:p>
        </w:tc>
        <w:tc>
          <w:tcPr>
            <w:tcW w:w="892" w:type="dxa"/>
            <w:tcBorders>
              <w:left w:val="nil"/>
              <w:right w:val="dashed" w:sz="4" w:space="0" w:color="auto"/>
            </w:tcBorders>
            <w:shd w:val="clear" w:color="auto" w:fill="1F4E79" w:themeFill="accent1" w:themeFillShade="80"/>
            <w:noWrap/>
            <w:vAlign w:val="bottom"/>
            <w:hideMark/>
          </w:tcPr>
          <w:p w14:paraId="08B88881" w14:textId="77777777" w:rsidR="00E4239B"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w:t>
            </w:r>
            <w:r w:rsidR="00E4239B">
              <w:rPr>
                <w:rFonts w:ascii="Franklin Gothic Medium" w:eastAsia="Times New Roman" w:hAnsi="Franklin Gothic Medium" w:cs="Calibri"/>
                <w:color w:val="FFFFFF"/>
                <w:sz w:val="20"/>
              </w:rPr>
              <w:t xml:space="preserve"> </w:t>
            </w:r>
          </w:p>
          <w:p w14:paraId="4DFD816E" w14:textId="07B6BE8B"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BD</w:t>
            </w:r>
          </w:p>
        </w:tc>
        <w:tc>
          <w:tcPr>
            <w:tcW w:w="797" w:type="dxa"/>
            <w:tcBorders>
              <w:left w:val="dashed" w:sz="4" w:space="0" w:color="auto"/>
              <w:right w:val="nil"/>
            </w:tcBorders>
            <w:shd w:val="clear" w:color="auto" w:fill="1F4E79" w:themeFill="accent1" w:themeFillShade="80"/>
            <w:noWrap/>
            <w:vAlign w:val="bottom"/>
            <w:hideMark/>
          </w:tcPr>
          <w:p w14:paraId="115B3BDF"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Alerts</w:t>
            </w:r>
          </w:p>
        </w:tc>
        <w:tc>
          <w:tcPr>
            <w:tcW w:w="1273" w:type="dxa"/>
            <w:tcBorders>
              <w:left w:val="nil"/>
              <w:right w:val="single" w:sz="12" w:space="0" w:color="auto"/>
            </w:tcBorders>
            <w:shd w:val="clear" w:color="auto" w:fill="1F4E79" w:themeFill="accent1" w:themeFillShade="80"/>
            <w:noWrap/>
            <w:vAlign w:val="bottom"/>
            <w:hideMark/>
          </w:tcPr>
          <w:p w14:paraId="7414847E"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Billing Discrepanc</w:t>
            </w:r>
            <w:r>
              <w:rPr>
                <w:rFonts w:ascii="Franklin Gothic Medium" w:eastAsia="Times New Roman" w:hAnsi="Franklin Gothic Medium" w:cs="Calibri"/>
                <w:color w:val="FFFFFF"/>
                <w:sz w:val="20"/>
              </w:rPr>
              <w:t xml:space="preserve">y Standards </w:t>
            </w:r>
          </w:p>
        </w:tc>
      </w:tr>
      <w:tr w:rsidR="00FB3C5B" w:rsidRPr="00D76DDC" w14:paraId="0FA16984" w14:textId="77777777" w:rsidTr="00FB3C5B">
        <w:trPr>
          <w:trHeight w:val="306"/>
          <w:jc w:val="center"/>
        </w:trPr>
        <w:tc>
          <w:tcPr>
            <w:tcW w:w="1080" w:type="dxa"/>
            <w:tcBorders>
              <w:left w:val="single" w:sz="12" w:space="0" w:color="auto"/>
              <w:bottom w:val="single" w:sz="4" w:space="0" w:color="auto"/>
              <w:right w:val="nil"/>
            </w:tcBorders>
            <w:shd w:val="clear" w:color="auto" w:fill="auto"/>
            <w:noWrap/>
            <w:vAlign w:val="bottom"/>
            <w:hideMark/>
          </w:tcPr>
          <w:p w14:paraId="76AE4A49" w14:textId="77777777" w:rsidR="00FB3C5B" w:rsidRPr="009D7267" w:rsidRDefault="00FB3C5B" w:rsidP="00FB3C5B">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t>Small</w:t>
            </w:r>
          </w:p>
        </w:tc>
        <w:tc>
          <w:tcPr>
            <w:tcW w:w="875" w:type="dxa"/>
            <w:tcBorders>
              <w:left w:val="nil"/>
              <w:bottom w:val="single" w:sz="4" w:space="0" w:color="auto"/>
              <w:right w:val="nil"/>
            </w:tcBorders>
            <w:shd w:val="clear" w:color="auto" w:fill="auto"/>
            <w:noWrap/>
            <w:vAlign w:val="bottom"/>
            <w:hideMark/>
          </w:tcPr>
          <w:p w14:paraId="1764CE74" w14:textId="428B0DA9" w:rsidR="00FB3C5B" w:rsidRPr="009D7267" w:rsidRDefault="00FB3C5B" w:rsidP="00FB3C5B">
            <w:pPr>
              <w:spacing w:line="240" w:lineRule="auto"/>
              <w:jc w:val="center"/>
              <w:rPr>
                <w:rFonts w:asciiTheme="minorHAnsi" w:hAnsiTheme="minorHAnsi" w:cstheme="minorHAnsi"/>
                <w:sz w:val="20"/>
                <w:szCs w:val="20"/>
              </w:rPr>
            </w:pPr>
            <w:r w:rsidRPr="00FB3C5B">
              <w:rPr>
                <w:rFonts w:asciiTheme="minorHAnsi" w:hAnsiTheme="minorHAnsi" w:cstheme="minorHAnsi"/>
                <w:sz w:val="20"/>
                <w:szCs w:val="20"/>
              </w:rPr>
              <w:t>712</w:t>
            </w:r>
          </w:p>
        </w:tc>
        <w:tc>
          <w:tcPr>
            <w:tcW w:w="1156" w:type="dxa"/>
            <w:gridSpan w:val="2"/>
            <w:tcBorders>
              <w:left w:val="nil"/>
              <w:bottom w:val="single" w:sz="4" w:space="0" w:color="auto"/>
              <w:right w:val="nil"/>
            </w:tcBorders>
            <w:vAlign w:val="bottom"/>
          </w:tcPr>
          <w:p w14:paraId="1150FC67" w14:textId="645DF2FB"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91.1%</w:t>
            </w:r>
          </w:p>
        </w:tc>
        <w:tc>
          <w:tcPr>
            <w:tcW w:w="1334" w:type="dxa"/>
            <w:tcBorders>
              <w:left w:val="nil"/>
              <w:bottom w:val="single" w:sz="4" w:space="0" w:color="auto"/>
              <w:right w:val="nil"/>
            </w:tcBorders>
            <w:vAlign w:val="bottom"/>
          </w:tcPr>
          <w:p w14:paraId="6AEFC119" w14:textId="77389F9F"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91.4%</w:t>
            </w:r>
          </w:p>
        </w:tc>
        <w:tc>
          <w:tcPr>
            <w:tcW w:w="1156" w:type="dxa"/>
            <w:tcBorders>
              <w:left w:val="nil"/>
              <w:bottom w:val="single" w:sz="4" w:space="0" w:color="auto"/>
              <w:right w:val="nil"/>
            </w:tcBorders>
            <w:vAlign w:val="bottom"/>
          </w:tcPr>
          <w:p w14:paraId="0ACFD971" w14:textId="1C7CADB1"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90.6%</w:t>
            </w:r>
          </w:p>
        </w:tc>
        <w:tc>
          <w:tcPr>
            <w:tcW w:w="1067" w:type="dxa"/>
            <w:tcBorders>
              <w:left w:val="nil"/>
              <w:bottom w:val="single" w:sz="4" w:space="0" w:color="auto"/>
              <w:right w:val="nil"/>
            </w:tcBorders>
            <w:shd w:val="clear" w:color="auto" w:fill="auto"/>
            <w:noWrap/>
            <w:vAlign w:val="bottom"/>
          </w:tcPr>
          <w:p w14:paraId="62D5732E" w14:textId="226CC637"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248</w:t>
            </w:r>
          </w:p>
        </w:tc>
        <w:tc>
          <w:tcPr>
            <w:tcW w:w="892" w:type="dxa"/>
            <w:tcBorders>
              <w:left w:val="nil"/>
              <w:bottom w:val="single" w:sz="4" w:space="0" w:color="auto"/>
              <w:right w:val="dashed" w:sz="4" w:space="0" w:color="auto"/>
            </w:tcBorders>
            <w:shd w:val="clear" w:color="auto" w:fill="auto"/>
            <w:noWrap/>
            <w:vAlign w:val="bottom"/>
          </w:tcPr>
          <w:p w14:paraId="31B08F38" w14:textId="3F22FEB8"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715</w:t>
            </w:r>
          </w:p>
        </w:tc>
        <w:tc>
          <w:tcPr>
            <w:tcW w:w="797" w:type="dxa"/>
            <w:tcBorders>
              <w:left w:val="dashed" w:sz="4" w:space="0" w:color="auto"/>
              <w:bottom w:val="single" w:sz="4" w:space="0" w:color="auto"/>
              <w:right w:val="nil"/>
            </w:tcBorders>
            <w:shd w:val="clear" w:color="auto" w:fill="auto"/>
            <w:noWrap/>
            <w:vAlign w:val="bottom"/>
          </w:tcPr>
          <w:p w14:paraId="5D731336" w14:textId="14925F7E" w:rsidR="00FB3C5B" w:rsidRPr="00FB3C5B" w:rsidRDefault="00FB3C5B" w:rsidP="00FB3C5B">
            <w:pPr>
              <w:spacing w:line="240" w:lineRule="auto"/>
              <w:jc w:val="center"/>
              <w:rPr>
                <w:rFonts w:asciiTheme="minorHAnsi" w:eastAsia="Times New Roman" w:hAnsiTheme="minorHAnsi" w:cstheme="minorHAnsi"/>
                <w:color w:val="000000"/>
                <w:sz w:val="20"/>
                <w:szCs w:val="20"/>
                <w:highlight w:val="yellow"/>
              </w:rPr>
            </w:pPr>
            <w:r w:rsidRPr="00FB3C5B">
              <w:rPr>
                <w:rFonts w:asciiTheme="minorHAnsi" w:hAnsiTheme="minorHAnsi" w:cstheme="minorHAnsi"/>
                <w:sz w:val="20"/>
              </w:rPr>
              <w:t>3.48</w:t>
            </w:r>
          </w:p>
        </w:tc>
        <w:tc>
          <w:tcPr>
            <w:tcW w:w="1273" w:type="dxa"/>
            <w:tcBorders>
              <w:left w:val="nil"/>
              <w:bottom w:val="single" w:sz="4" w:space="0" w:color="auto"/>
              <w:right w:val="single" w:sz="12" w:space="0" w:color="auto"/>
            </w:tcBorders>
            <w:shd w:val="clear" w:color="auto" w:fill="auto"/>
            <w:noWrap/>
            <w:vAlign w:val="bottom"/>
          </w:tcPr>
          <w:p w14:paraId="22B4DD7B" w14:textId="414668DC" w:rsidR="00FB3C5B" w:rsidRPr="00FB3C5B" w:rsidRDefault="00FB3C5B" w:rsidP="00FB3C5B">
            <w:pPr>
              <w:spacing w:line="240" w:lineRule="auto"/>
              <w:jc w:val="center"/>
              <w:rPr>
                <w:rFonts w:asciiTheme="minorHAnsi" w:eastAsia="Times New Roman" w:hAnsiTheme="minorHAnsi" w:cstheme="minorHAnsi"/>
                <w:color w:val="000000"/>
                <w:sz w:val="20"/>
                <w:szCs w:val="20"/>
                <w:highlight w:val="yellow"/>
              </w:rPr>
            </w:pPr>
            <w:r w:rsidRPr="00FB3C5B">
              <w:rPr>
                <w:rFonts w:asciiTheme="minorHAnsi" w:hAnsiTheme="minorHAnsi" w:cstheme="minorHAnsi"/>
                <w:sz w:val="20"/>
              </w:rPr>
              <w:t>10.04</w:t>
            </w:r>
          </w:p>
        </w:tc>
      </w:tr>
      <w:tr w:rsidR="00FB3C5B" w:rsidRPr="00D76DDC" w14:paraId="0F7E8385" w14:textId="77777777" w:rsidTr="00FB3C5B">
        <w:trPr>
          <w:trHeight w:val="260"/>
          <w:jc w:val="center"/>
        </w:trPr>
        <w:tc>
          <w:tcPr>
            <w:tcW w:w="1080" w:type="dxa"/>
            <w:tcBorders>
              <w:top w:val="nil"/>
              <w:left w:val="single" w:sz="12" w:space="0" w:color="auto"/>
              <w:bottom w:val="single" w:sz="4" w:space="0" w:color="auto"/>
              <w:right w:val="nil"/>
            </w:tcBorders>
            <w:shd w:val="clear" w:color="auto" w:fill="auto"/>
            <w:noWrap/>
            <w:vAlign w:val="bottom"/>
            <w:hideMark/>
          </w:tcPr>
          <w:p w14:paraId="3E599869" w14:textId="77777777" w:rsidR="00FB3C5B" w:rsidRPr="009D7267" w:rsidRDefault="00FB3C5B" w:rsidP="00FB3C5B">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t>Medium</w:t>
            </w:r>
          </w:p>
        </w:tc>
        <w:tc>
          <w:tcPr>
            <w:tcW w:w="875" w:type="dxa"/>
            <w:tcBorders>
              <w:top w:val="nil"/>
              <w:left w:val="nil"/>
              <w:bottom w:val="single" w:sz="4" w:space="0" w:color="auto"/>
              <w:right w:val="nil"/>
            </w:tcBorders>
            <w:shd w:val="clear" w:color="auto" w:fill="auto"/>
            <w:noWrap/>
            <w:vAlign w:val="bottom"/>
            <w:hideMark/>
          </w:tcPr>
          <w:p w14:paraId="0E38DB79" w14:textId="3D543E60" w:rsidR="00FB3C5B" w:rsidRPr="009D7267" w:rsidRDefault="00FB3C5B" w:rsidP="00FB3C5B">
            <w:pPr>
              <w:spacing w:line="240" w:lineRule="auto"/>
              <w:jc w:val="center"/>
              <w:rPr>
                <w:rFonts w:asciiTheme="minorHAnsi" w:hAnsiTheme="minorHAnsi" w:cstheme="minorHAnsi"/>
                <w:sz w:val="20"/>
                <w:szCs w:val="20"/>
              </w:rPr>
            </w:pPr>
            <w:r w:rsidRPr="00FB3C5B">
              <w:rPr>
                <w:rFonts w:asciiTheme="minorHAnsi" w:hAnsiTheme="minorHAnsi" w:cstheme="minorHAnsi"/>
                <w:sz w:val="20"/>
                <w:szCs w:val="20"/>
              </w:rPr>
              <w:t>81</w:t>
            </w:r>
          </w:p>
        </w:tc>
        <w:tc>
          <w:tcPr>
            <w:tcW w:w="1156" w:type="dxa"/>
            <w:gridSpan w:val="2"/>
            <w:tcBorders>
              <w:top w:val="nil"/>
              <w:left w:val="nil"/>
              <w:bottom w:val="single" w:sz="4" w:space="0" w:color="auto"/>
              <w:right w:val="nil"/>
            </w:tcBorders>
            <w:vAlign w:val="bottom"/>
          </w:tcPr>
          <w:p w14:paraId="364876F1" w14:textId="033F70D6"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94.8%</w:t>
            </w:r>
          </w:p>
        </w:tc>
        <w:tc>
          <w:tcPr>
            <w:tcW w:w="1334" w:type="dxa"/>
            <w:tcBorders>
              <w:top w:val="nil"/>
              <w:left w:val="nil"/>
              <w:bottom w:val="single" w:sz="4" w:space="0" w:color="auto"/>
              <w:right w:val="nil"/>
            </w:tcBorders>
            <w:vAlign w:val="bottom"/>
          </w:tcPr>
          <w:p w14:paraId="1507C80E" w14:textId="52507F70"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94.8%</w:t>
            </w:r>
          </w:p>
        </w:tc>
        <w:tc>
          <w:tcPr>
            <w:tcW w:w="1156" w:type="dxa"/>
            <w:tcBorders>
              <w:top w:val="nil"/>
              <w:left w:val="nil"/>
              <w:bottom w:val="single" w:sz="4" w:space="0" w:color="auto"/>
              <w:right w:val="nil"/>
            </w:tcBorders>
            <w:vAlign w:val="bottom"/>
          </w:tcPr>
          <w:p w14:paraId="66928605" w14:textId="76202355"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94.9%</w:t>
            </w:r>
          </w:p>
        </w:tc>
        <w:tc>
          <w:tcPr>
            <w:tcW w:w="1067" w:type="dxa"/>
            <w:tcBorders>
              <w:top w:val="nil"/>
              <w:left w:val="nil"/>
              <w:bottom w:val="single" w:sz="4" w:space="0" w:color="auto"/>
              <w:right w:val="nil"/>
            </w:tcBorders>
            <w:shd w:val="clear" w:color="auto" w:fill="auto"/>
            <w:noWrap/>
            <w:vAlign w:val="bottom"/>
          </w:tcPr>
          <w:p w14:paraId="1E2C4BDB" w14:textId="41FCF0EA"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20</w:t>
            </w:r>
          </w:p>
        </w:tc>
        <w:tc>
          <w:tcPr>
            <w:tcW w:w="892" w:type="dxa"/>
            <w:tcBorders>
              <w:top w:val="nil"/>
              <w:left w:val="nil"/>
              <w:bottom w:val="single" w:sz="4" w:space="0" w:color="auto"/>
              <w:right w:val="dashed" w:sz="4" w:space="0" w:color="auto"/>
            </w:tcBorders>
            <w:shd w:val="clear" w:color="auto" w:fill="auto"/>
            <w:noWrap/>
            <w:vAlign w:val="bottom"/>
          </w:tcPr>
          <w:p w14:paraId="2466C276" w14:textId="3C92A1AD"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98</w:t>
            </w:r>
          </w:p>
        </w:tc>
        <w:tc>
          <w:tcPr>
            <w:tcW w:w="797" w:type="dxa"/>
            <w:tcBorders>
              <w:top w:val="nil"/>
              <w:left w:val="dashed" w:sz="4" w:space="0" w:color="auto"/>
              <w:bottom w:val="single" w:sz="4" w:space="0" w:color="auto"/>
              <w:right w:val="nil"/>
            </w:tcBorders>
            <w:shd w:val="clear" w:color="auto" w:fill="auto"/>
            <w:noWrap/>
            <w:vAlign w:val="bottom"/>
          </w:tcPr>
          <w:p w14:paraId="153F01A9" w14:textId="4E661686" w:rsidR="00FB3C5B" w:rsidRPr="00FB3C5B" w:rsidRDefault="00FB3C5B" w:rsidP="00FB3C5B">
            <w:pPr>
              <w:spacing w:line="240" w:lineRule="auto"/>
              <w:jc w:val="center"/>
              <w:rPr>
                <w:rFonts w:asciiTheme="minorHAnsi" w:eastAsia="Times New Roman" w:hAnsiTheme="minorHAnsi" w:cstheme="minorHAnsi"/>
                <w:color w:val="000000"/>
                <w:sz w:val="20"/>
                <w:szCs w:val="20"/>
                <w:highlight w:val="yellow"/>
              </w:rPr>
            </w:pPr>
            <w:r w:rsidRPr="00FB3C5B">
              <w:rPr>
                <w:rFonts w:asciiTheme="minorHAnsi" w:hAnsiTheme="minorHAnsi" w:cstheme="minorHAnsi"/>
                <w:sz w:val="20"/>
              </w:rPr>
              <w:t>2.47</w:t>
            </w:r>
          </w:p>
        </w:tc>
        <w:tc>
          <w:tcPr>
            <w:tcW w:w="1273" w:type="dxa"/>
            <w:tcBorders>
              <w:top w:val="nil"/>
              <w:left w:val="nil"/>
              <w:bottom w:val="single" w:sz="4" w:space="0" w:color="auto"/>
              <w:right w:val="single" w:sz="12" w:space="0" w:color="auto"/>
            </w:tcBorders>
            <w:shd w:val="clear" w:color="auto" w:fill="auto"/>
            <w:noWrap/>
            <w:vAlign w:val="bottom"/>
          </w:tcPr>
          <w:p w14:paraId="2D2F6D3D" w14:textId="45319CC2" w:rsidR="00FB3C5B" w:rsidRPr="00FB3C5B" w:rsidRDefault="00FB3C5B" w:rsidP="00FB3C5B">
            <w:pPr>
              <w:spacing w:line="240" w:lineRule="auto"/>
              <w:jc w:val="center"/>
              <w:rPr>
                <w:rFonts w:asciiTheme="minorHAnsi" w:eastAsia="Times New Roman" w:hAnsiTheme="minorHAnsi" w:cstheme="minorHAnsi"/>
                <w:color w:val="000000"/>
                <w:sz w:val="20"/>
                <w:szCs w:val="20"/>
                <w:highlight w:val="yellow"/>
              </w:rPr>
            </w:pPr>
            <w:r w:rsidRPr="00FB3C5B">
              <w:rPr>
                <w:rFonts w:asciiTheme="minorHAnsi" w:hAnsiTheme="minorHAnsi" w:cstheme="minorHAnsi"/>
                <w:sz w:val="20"/>
              </w:rPr>
              <w:t>12.10</w:t>
            </w:r>
          </w:p>
        </w:tc>
      </w:tr>
      <w:tr w:rsidR="00FB3C5B" w:rsidRPr="00D76DDC" w14:paraId="38C0B41C" w14:textId="77777777" w:rsidTr="00FB3C5B">
        <w:trPr>
          <w:trHeight w:val="242"/>
          <w:jc w:val="center"/>
        </w:trPr>
        <w:tc>
          <w:tcPr>
            <w:tcW w:w="1080" w:type="dxa"/>
            <w:tcBorders>
              <w:top w:val="single" w:sz="4" w:space="0" w:color="auto"/>
              <w:left w:val="single" w:sz="12" w:space="0" w:color="auto"/>
              <w:bottom w:val="double" w:sz="4" w:space="0" w:color="auto"/>
              <w:right w:val="nil"/>
            </w:tcBorders>
            <w:shd w:val="clear" w:color="auto" w:fill="auto"/>
            <w:noWrap/>
            <w:vAlign w:val="bottom"/>
            <w:hideMark/>
          </w:tcPr>
          <w:p w14:paraId="03884E4D" w14:textId="77777777" w:rsidR="00FB3C5B" w:rsidRPr="009D7267" w:rsidRDefault="00FB3C5B" w:rsidP="00FB3C5B">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lastRenderedPageBreak/>
              <w:t>Large</w:t>
            </w:r>
          </w:p>
        </w:tc>
        <w:tc>
          <w:tcPr>
            <w:tcW w:w="875" w:type="dxa"/>
            <w:tcBorders>
              <w:top w:val="single" w:sz="4" w:space="0" w:color="auto"/>
              <w:left w:val="nil"/>
              <w:bottom w:val="double" w:sz="4" w:space="0" w:color="auto"/>
              <w:right w:val="nil"/>
            </w:tcBorders>
            <w:shd w:val="clear" w:color="auto" w:fill="auto"/>
            <w:noWrap/>
            <w:vAlign w:val="bottom"/>
            <w:hideMark/>
          </w:tcPr>
          <w:p w14:paraId="1F30904E" w14:textId="1864493A" w:rsidR="00FB3C5B" w:rsidRPr="009D7267" w:rsidRDefault="00FB3C5B" w:rsidP="00FB3C5B">
            <w:pPr>
              <w:spacing w:line="240" w:lineRule="auto"/>
              <w:jc w:val="center"/>
              <w:rPr>
                <w:rFonts w:asciiTheme="minorHAnsi" w:hAnsiTheme="minorHAnsi" w:cstheme="minorHAnsi"/>
                <w:sz w:val="20"/>
                <w:szCs w:val="20"/>
              </w:rPr>
            </w:pPr>
            <w:r w:rsidRPr="00FB3C5B">
              <w:rPr>
                <w:rFonts w:asciiTheme="minorHAnsi" w:hAnsiTheme="minorHAnsi" w:cstheme="minorHAnsi"/>
                <w:sz w:val="20"/>
                <w:szCs w:val="20"/>
              </w:rPr>
              <w:t>26</w:t>
            </w:r>
          </w:p>
        </w:tc>
        <w:tc>
          <w:tcPr>
            <w:tcW w:w="1156" w:type="dxa"/>
            <w:gridSpan w:val="2"/>
            <w:tcBorders>
              <w:top w:val="single" w:sz="4" w:space="0" w:color="auto"/>
              <w:left w:val="nil"/>
              <w:bottom w:val="double" w:sz="4" w:space="0" w:color="auto"/>
              <w:right w:val="nil"/>
            </w:tcBorders>
            <w:vAlign w:val="bottom"/>
          </w:tcPr>
          <w:p w14:paraId="251CB9E2" w14:textId="33D87991"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96.0%</w:t>
            </w:r>
          </w:p>
        </w:tc>
        <w:tc>
          <w:tcPr>
            <w:tcW w:w="1334" w:type="dxa"/>
            <w:tcBorders>
              <w:top w:val="single" w:sz="4" w:space="0" w:color="auto"/>
              <w:left w:val="nil"/>
              <w:bottom w:val="double" w:sz="4" w:space="0" w:color="auto"/>
              <w:right w:val="nil"/>
            </w:tcBorders>
            <w:vAlign w:val="bottom"/>
          </w:tcPr>
          <w:p w14:paraId="5A13D9C2" w14:textId="7535BC15"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95.6%</w:t>
            </w:r>
          </w:p>
        </w:tc>
        <w:tc>
          <w:tcPr>
            <w:tcW w:w="1156" w:type="dxa"/>
            <w:tcBorders>
              <w:top w:val="single" w:sz="4" w:space="0" w:color="auto"/>
              <w:left w:val="nil"/>
              <w:bottom w:val="double" w:sz="4" w:space="0" w:color="auto"/>
              <w:right w:val="nil"/>
            </w:tcBorders>
            <w:vAlign w:val="bottom"/>
          </w:tcPr>
          <w:p w14:paraId="4695CC54" w14:textId="49F87162"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96.9%</w:t>
            </w:r>
          </w:p>
        </w:tc>
        <w:tc>
          <w:tcPr>
            <w:tcW w:w="1067" w:type="dxa"/>
            <w:tcBorders>
              <w:top w:val="single" w:sz="4" w:space="0" w:color="auto"/>
              <w:left w:val="nil"/>
              <w:bottom w:val="double" w:sz="4" w:space="0" w:color="auto"/>
              <w:right w:val="nil"/>
            </w:tcBorders>
            <w:shd w:val="clear" w:color="auto" w:fill="auto"/>
            <w:noWrap/>
            <w:vAlign w:val="bottom"/>
          </w:tcPr>
          <w:p w14:paraId="7BCC9F15" w14:textId="1FB31F0C"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8</w:t>
            </w:r>
          </w:p>
        </w:tc>
        <w:tc>
          <w:tcPr>
            <w:tcW w:w="892" w:type="dxa"/>
            <w:tcBorders>
              <w:top w:val="single" w:sz="4" w:space="0" w:color="auto"/>
              <w:left w:val="nil"/>
              <w:bottom w:val="double" w:sz="4" w:space="0" w:color="auto"/>
              <w:right w:val="dashed" w:sz="4" w:space="0" w:color="auto"/>
            </w:tcBorders>
            <w:shd w:val="clear" w:color="auto" w:fill="auto"/>
            <w:noWrap/>
            <w:vAlign w:val="bottom"/>
          </w:tcPr>
          <w:p w14:paraId="73FFF065" w14:textId="6051329A"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29</w:t>
            </w:r>
          </w:p>
        </w:tc>
        <w:tc>
          <w:tcPr>
            <w:tcW w:w="797" w:type="dxa"/>
            <w:tcBorders>
              <w:top w:val="single" w:sz="4" w:space="0" w:color="auto"/>
              <w:left w:val="dashed" w:sz="4" w:space="0" w:color="auto"/>
              <w:bottom w:val="double" w:sz="4" w:space="0" w:color="auto"/>
              <w:right w:val="nil"/>
            </w:tcBorders>
            <w:shd w:val="clear" w:color="auto" w:fill="auto"/>
            <w:noWrap/>
            <w:vAlign w:val="bottom"/>
          </w:tcPr>
          <w:p w14:paraId="3CB657FD" w14:textId="3D7B03E6"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3.08</w:t>
            </w:r>
          </w:p>
        </w:tc>
        <w:tc>
          <w:tcPr>
            <w:tcW w:w="1273" w:type="dxa"/>
            <w:tcBorders>
              <w:top w:val="single" w:sz="4" w:space="0" w:color="auto"/>
              <w:left w:val="nil"/>
              <w:bottom w:val="double" w:sz="4" w:space="0" w:color="auto"/>
              <w:right w:val="single" w:sz="12" w:space="0" w:color="auto"/>
            </w:tcBorders>
            <w:shd w:val="clear" w:color="auto" w:fill="auto"/>
            <w:noWrap/>
            <w:vAlign w:val="bottom"/>
          </w:tcPr>
          <w:p w14:paraId="3A5A6425" w14:textId="1B579A57" w:rsidR="00FB3C5B" w:rsidRPr="00FB3C5B" w:rsidRDefault="00FB3C5B" w:rsidP="00FB3C5B">
            <w:pPr>
              <w:spacing w:line="240" w:lineRule="auto"/>
              <w:jc w:val="center"/>
              <w:rPr>
                <w:rFonts w:asciiTheme="minorHAnsi" w:eastAsia="Times New Roman" w:hAnsiTheme="minorHAnsi" w:cstheme="minorHAnsi"/>
                <w:color w:val="000000"/>
                <w:sz w:val="20"/>
                <w:szCs w:val="20"/>
              </w:rPr>
            </w:pPr>
            <w:r w:rsidRPr="00FB3C5B">
              <w:rPr>
                <w:rFonts w:asciiTheme="minorHAnsi" w:hAnsiTheme="minorHAnsi" w:cstheme="minorHAnsi"/>
                <w:sz w:val="20"/>
              </w:rPr>
              <w:t>11.15</w:t>
            </w:r>
          </w:p>
        </w:tc>
      </w:tr>
      <w:tr w:rsidR="00C51301" w:rsidRPr="00D76DDC" w14:paraId="7D7D63AF" w14:textId="77777777" w:rsidTr="00FB3C5B">
        <w:trPr>
          <w:trHeight w:val="312"/>
          <w:jc w:val="center"/>
        </w:trPr>
        <w:tc>
          <w:tcPr>
            <w:tcW w:w="1080" w:type="dxa"/>
            <w:tcBorders>
              <w:top w:val="double" w:sz="4" w:space="0" w:color="auto"/>
              <w:left w:val="single" w:sz="12" w:space="0" w:color="auto"/>
              <w:bottom w:val="double" w:sz="4" w:space="0" w:color="auto"/>
              <w:right w:val="nil"/>
            </w:tcBorders>
            <w:shd w:val="clear" w:color="auto" w:fill="auto"/>
            <w:noWrap/>
            <w:vAlign w:val="bottom"/>
            <w:hideMark/>
          </w:tcPr>
          <w:p w14:paraId="53CA79C0" w14:textId="77777777" w:rsidR="00C51301" w:rsidRPr="009D7267" w:rsidRDefault="00C51301" w:rsidP="00C51301">
            <w:pPr>
              <w:spacing w:line="240" w:lineRule="auto"/>
              <w:rPr>
                <w:rFonts w:asciiTheme="minorHAnsi" w:eastAsia="Times New Roman" w:hAnsiTheme="minorHAnsi" w:cstheme="minorHAnsi"/>
                <w:b/>
                <w:color w:val="000000"/>
                <w:sz w:val="20"/>
                <w:szCs w:val="20"/>
              </w:rPr>
            </w:pPr>
            <w:r w:rsidRPr="009D7267">
              <w:rPr>
                <w:rFonts w:asciiTheme="minorHAnsi" w:eastAsia="Times New Roman" w:hAnsiTheme="minorHAnsi" w:cstheme="minorHAnsi"/>
                <w:b/>
                <w:color w:val="000000"/>
                <w:sz w:val="20"/>
                <w:szCs w:val="20"/>
              </w:rPr>
              <w:t>Total</w:t>
            </w:r>
          </w:p>
        </w:tc>
        <w:tc>
          <w:tcPr>
            <w:tcW w:w="875" w:type="dxa"/>
            <w:tcBorders>
              <w:top w:val="double" w:sz="4" w:space="0" w:color="auto"/>
              <w:left w:val="nil"/>
              <w:bottom w:val="double" w:sz="4" w:space="0" w:color="auto"/>
              <w:right w:val="nil"/>
            </w:tcBorders>
            <w:shd w:val="clear" w:color="auto" w:fill="auto"/>
            <w:noWrap/>
            <w:vAlign w:val="bottom"/>
            <w:hideMark/>
          </w:tcPr>
          <w:p w14:paraId="19ADA3F4" w14:textId="4758A669" w:rsidR="00C51301" w:rsidRPr="00FB3C5B" w:rsidRDefault="00C51301" w:rsidP="00C51301">
            <w:pPr>
              <w:spacing w:line="240" w:lineRule="auto"/>
              <w:jc w:val="center"/>
              <w:rPr>
                <w:rFonts w:asciiTheme="minorHAnsi" w:hAnsiTheme="minorHAnsi" w:cstheme="minorHAnsi"/>
                <w:b/>
                <w:sz w:val="20"/>
                <w:szCs w:val="20"/>
              </w:rPr>
            </w:pPr>
            <w:r w:rsidRPr="00FB3C5B">
              <w:rPr>
                <w:rFonts w:asciiTheme="minorHAnsi" w:hAnsiTheme="minorHAnsi" w:cstheme="minorHAnsi"/>
                <w:b/>
                <w:sz w:val="20"/>
                <w:szCs w:val="20"/>
              </w:rPr>
              <w:t>819</w:t>
            </w:r>
          </w:p>
        </w:tc>
        <w:tc>
          <w:tcPr>
            <w:tcW w:w="1156" w:type="dxa"/>
            <w:gridSpan w:val="2"/>
            <w:tcBorders>
              <w:top w:val="double" w:sz="4" w:space="0" w:color="auto"/>
              <w:left w:val="nil"/>
              <w:bottom w:val="double" w:sz="4" w:space="0" w:color="auto"/>
              <w:right w:val="nil"/>
            </w:tcBorders>
            <w:vAlign w:val="bottom"/>
          </w:tcPr>
          <w:p w14:paraId="35777C04" w14:textId="0BDE94B0" w:rsidR="00C51301" w:rsidRPr="009D7267" w:rsidRDefault="00FB3C5B" w:rsidP="00C51301">
            <w:pPr>
              <w:spacing w:line="240" w:lineRule="auto"/>
              <w:jc w:val="center"/>
              <w:rPr>
                <w:rFonts w:asciiTheme="minorHAnsi" w:eastAsia="Times New Roman" w:hAnsiTheme="minorHAnsi" w:cstheme="minorHAnsi"/>
                <w:b/>
                <w:color w:val="000000"/>
                <w:sz w:val="20"/>
                <w:szCs w:val="20"/>
              </w:rPr>
            </w:pPr>
            <w:r>
              <w:rPr>
                <w:rFonts w:asciiTheme="minorHAnsi" w:hAnsiTheme="minorHAnsi" w:cstheme="minorHAnsi"/>
                <w:b/>
                <w:sz w:val="20"/>
                <w:szCs w:val="20"/>
              </w:rPr>
              <w:t>92.1</w:t>
            </w:r>
            <w:r w:rsidR="00C51301" w:rsidRPr="009D7267">
              <w:rPr>
                <w:rFonts w:asciiTheme="minorHAnsi" w:hAnsiTheme="minorHAnsi" w:cstheme="minorHAnsi"/>
                <w:b/>
                <w:sz w:val="20"/>
                <w:szCs w:val="20"/>
              </w:rPr>
              <w:t>%</w:t>
            </w:r>
          </w:p>
        </w:tc>
        <w:tc>
          <w:tcPr>
            <w:tcW w:w="1334" w:type="dxa"/>
            <w:tcBorders>
              <w:top w:val="double" w:sz="4" w:space="0" w:color="auto"/>
              <w:left w:val="nil"/>
              <w:bottom w:val="double" w:sz="4" w:space="0" w:color="auto"/>
              <w:right w:val="nil"/>
            </w:tcBorders>
            <w:vAlign w:val="bottom"/>
          </w:tcPr>
          <w:p w14:paraId="43DD7E05" w14:textId="74B88E7E" w:rsidR="00C51301" w:rsidRPr="009D7267" w:rsidRDefault="00C51301" w:rsidP="00C51301">
            <w:pPr>
              <w:spacing w:line="240" w:lineRule="auto"/>
              <w:jc w:val="center"/>
              <w:rPr>
                <w:rFonts w:asciiTheme="minorHAnsi" w:eastAsia="Times New Roman" w:hAnsiTheme="minorHAnsi" w:cstheme="minorHAnsi"/>
                <w:b/>
                <w:color w:val="000000"/>
                <w:sz w:val="20"/>
                <w:szCs w:val="20"/>
              </w:rPr>
            </w:pPr>
            <w:r w:rsidRPr="009D7267">
              <w:rPr>
                <w:rFonts w:asciiTheme="minorHAnsi" w:hAnsiTheme="minorHAnsi" w:cstheme="minorHAnsi"/>
                <w:b/>
                <w:sz w:val="20"/>
                <w:szCs w:val="20"/>
              </w:rPr>
              <w:t>92.2%</w:t>
            </w:r>
          </w:p>
        </w:tc>
        <w:tc>
          <w:tcPr>
            <w:tcW w:w="1156" w:type="dxa"/>
            <w:tcBorders>
              <w:top w:val="double" w:sz="4" w:space="0" w:color="auto"/>
              <w:left w:val="nil"/>
              <w:bottom w:val="double" w:sz="4" w:space="0" w:color="auto"/>
              <w:right w:val="nil"/>
            </w:tcBorders>
            <w:vAlign w:val="bottom"/>
          </w:tcPr>
          <w:p w14:paraId="2338541E" w14:textId="7A41AEF1" w:rsidR="00C51301" w:rsidRPr="009D7267" w:rsidRDefault="00C51301" w:rsidP="00FB3C5B">
            <w:pPr>
              <w:spacing w:line="240" w:lineRule="auto"/>
              <w:jc w:val="center"/>
              <w:rPr>
                <w:rFonts w:asciiTheme="minorHAnsi" w:eastAsia="Times New Roman" w:hAnsiTheme="minorHAnsi" w:cstheme="minorHAnsi"/>
                <w:b/>
                <w:color w:val="000000"/>
                <w:sz w:val="20"/>
                <w:szCs w:val="20"/>
              </w:rPr>
            </w:pPr>
            <w:r w:rsidRPr="009D7267">
              <w:rPr>
                <w:rFonts w:asciiTheme="minorHAnsi" w:hAnsiTheme="minorHAnsi" w:cstheme="minorHAnsi"/>
                <w:b/>
                <w:sz w:val="20"/>
                <w:szCs w:val="20"/>
              </w:rPr>
              <w:t>91.</w:t>
            </w:r>
            <w:r w:rsidR="00FB3C5B">
              <w:rPr>
                <w:rFonts w:asciiTheme="minorHAnsi" w:hAnsiTheme="minorHAnsi" w:cstheme="minorHAnsi"/>
                <w:b/>
                <w:sz w:val="20"/>
                <w:szCs w:val="20"/>
              </w:rPr>
              <w:t>7</w:t>
            </w:r>
            <w:r w:rsidRPr="009D7267">
              <w:rPr>
                <w:rFonts w:asciiTheme="minorHAnsi" w:hAnsiTheme="minorHAnsi" w:cstheme="minorHAnsi"/>
                <w:b/>
                <w:sz w:val="20"/>
                <w:szCs w:val="20"/>
              </w:rPr>
              <w:t>%</w:t>
            </w:r>
          </w:p>
        </w:tc>
        <w:tc>
          <w:tcPr>
            <w:tcW w:w="1067" w:type="dxa"/>
            <w:tcBorders>
              <w:top w:val="double" w:sz="4" w:space="0" w:color="auto"/>
              <w:left w:val="nil"/>
              <w:bottom w:val="double" w:sz="4" w:space="0" w:color="auto"/>
              <w:right w:val="nil"/>
            </w:tcBorders>
            <w:shd w:val="clear" w:color="auto" w:fill="auto"/>
            <w:noWrap/>
            <w:vAlign w:val="bottom"/>
            <w:hideMark/>
          </w:tcPr>
          <w:p w14:paraId="42FFD59F" w14:textId="340D8CBF" w:rsidR="00C51301" w:rsidRPr="009D7267" w:rsidRDefault="00FB3C5B" w:rsidP="00FB3C5B">
            <w:pPr>
              <w:spacing w:line="240" w:lineRule="auto"/>
              <w:jc w:val="center"/>
              <w:rPr>
                <w:rFonts w:asciiTheme="minorHAnsi" w:eastAsia="Times New Roman" w:hAnsiTheme="minorHAnsi" w:cstheme="minorHAnsi"/>
                <w:b/>
                <w:color w:val="000000"/>
                <w:sz w:val="20"/>
                <w:szCs w:val="20"/>
              </w:rPr>
            </w:pPr>
            <w:r>
              <w:rPr>
                <w:rFonts w:asciiTheme="minorHAnsi" w:hAnsiTheme="minorHAnsi" w:cstheme="minorHAnsi"/>
                <w:b/>
                <w:sz w:val="20"/>
                <w:szCs w:val="20"/>
              </w:rPr>
              <w:t>276</w:t>
            </w:r>
          </w:p>
        </w:tc>
        <w:tc>
          <w:tcPr>
            <w:tcW w:w="892" w:type="dxa"/>
            <w:tcBorders>
              <w:top w:val="double" w:sz="4" w:space="0" w:color="auto"/>
              <w:left w:val="nil"/>
              <w:bottom w:val="double" w:sz="4" w:space="0" w:color="auto"/>
              <w:right w:val="dashed" w:sz="4" w:space="0" w:color="auto"/>
            </w:tcBorders>
            <w:shd w:val="clear" w:color="auto" w:fill="auto"/>
            <w:noWrap/>
            <w:vAlign w:val="bottom"/>
          </w:tcPr>
          <w:p w14:paraId="6BB2FC9E" w14:textId="388EF0EE" w:rsidR="00C51301" w:rsidRPr="009D7267" w:rsidRDefault="00FB3C5B" w:rsidP="00C51301">
            <w:pPr>
              <w:spacing w:line="240" w:lineRule="auto"/>
              <w:jc w:val="center"/>
              <w:rPr>
                <w:rFonts w:asciiTheme="minorHAnsi" w:eastAsia="Times New Roman" w:hAnsiTheme="minorHAnsi" w:cstheme="minorHAnsi"/>
                <w:b/>
                <w:color w:val="000000"/>
                <w:sz w:val="20"/>
                <w:szCs w:val="20"/>
              </w:rPr>
            </w:pPr>
            <w:r>
              <w:rPr>
                <w:rFonts w:asciiTheme="minorHAnsi" w:hAnsiTheme="minorHAnsi" w:cstheme="minorHAnsi"/>
                <w:b/>
                <w:sz w:val="20"/>
                <w:szCs w:val="20"/>
              </w:rPr>
              <w:t>842</w:t>
            </w:r>
          </w:p>
        </w:tc>
        <w:tc>
          <w:tcPr>
            <w:tcW w:w="797" w:type="dxa"/>
            <w:tcBorders>
              <w:top w:val="double" w:sz="4" w:space="0" w:color="auto"/>
              <w:left w:val="dashed" w:sz="4" w:space="0" w:color="auto"/>
              <w:bottom w:val="double" w:sz="4" w:space="0" w:color="auto"/>
              <w:right w:val="nil"/>
            </w:tcBorders>
            <w:shd w:val="clear" w:color="auto" w:fill="auto"/>
            <w:noWrap/>
            <w:vAlign w:val="bottom"/>
          </w:tcPr>
          <w:p w14:paraId="4C921AA8" w14:textId="32E1E5E4" w:rsidR="00C51301" w:rsidRPr="00FB3C5B" w:rsidRDefault="00FB3C5B" w:rsidP="00C51301">
            <w:pPr>
              <w:spacing w:line="240" w:lineRule="auto"/>
              <w:jc w:val="center"/>
              <w:rPr>
                <w:rFonts w:asciiTheme="minorHAnsi" w:eastAsia="Times New Roman" w:hAnsiTheme="minorHAnsi" w:cstheme="minorHAnsi"/>
                <w:b/>
                <w:color w:val="000000"/>
                <w:sz w:val="20"/>
                <w:szCs w:val="20"/>
              </w:rPr>
            </w:pPr>
            <w:r w:rsidRPr="00FB3C5B">
              <w:rPr>
                <w:rFonts w:asciiTheme="minorHAnsi" w:hAnsiTheme="minorHAnsi" w:cstheme="minorHAnsi"/>
                <w:b/>
                <w:sz w:val="20"/>
                <w:szCs w:val="20"/>
              </w:rPr>
              <w:t>3.37</w:t>
            </w:r>
          </w:p>
        </w:tc>
        <w:tc>
          <w:tcPr>
            <w:tcW w:w="1273" w:type="dxa"/>
            <w:tcBorders>
              <w:top w:val="double" w:sz="4" w:space="0" w:color="auto"/>
              <w:left w:val="nil"/>
              <w:bottom w:val="double" w:sz="4" w:space="0" w:color="auto"/>
              <w:right w:val="single" w:sz="12" w:space="0" w:color="auto"/>
            </w:tcBorders>
            <w:shd w:val="clear" w:color="auto" w:fill="auto"/>
            <w:noWrap/>
            <w:vAlign w:val="bottom"/>
          </w:tcPr>
          <w:p w14:paraId="1C15702E" w14:textId="1B7A663E" w:rsidR="00C51301" w:rsidRPr="00FB3C5B" w:rsidRDefault="00FB3C5B" w:rsidP="00C51301">
            <w:pPr>
              <w:spacing w:line="240" w:lineRule="auto"/>
              <w:jc w:val="center"/>
              <w:rPr>
                <w:rFonts w:asciiTheme="minorHAnsi" w:eastAsia="Times New Roman" w:hAnsiTheme="minorHAnsi" w:cstheme="minorHAnsi"/>
                <w:b/>
                <w:color w:val="000000"/>
                <w:sz w:val="20"/>
                <w:szCs w:val="20"/>
              </w:rPr>
            </w:pPr>
            <w:r w:rsidRPr="00FB3C5B">
              <w:rPr>
                <w:rFonts w:asciiTheme="minorHAnsi" w:hAnsiTheme="minorHAnsi" w:cstheme="minorHAnsi"/>
                <w:b/>
                <w:sz w:val="20"/>
                <w:szCs w:val="20"/>
              </w:rPr>
              <w:t>10.28</w:t>
            </w:r>
          </w:p>
        </w:tc>
      </w:tr>
      <w:tr w:rsidR="00847A74" w:rsidRPr="00847A74" w14:paraId="62A28210" w14:textId="77777777" w:rsidTr="009D7267">
        <w:trPr>
          <w:trHeight w:val="330"/>
          <w:jc w:val="center"/>
        </w:trPr>
        <w:tc>
          <w:tcPr>
            <w:tcW w:w="9630" w:type="dxa"/>
            <w:gridSpan w:val="10"/>
            <w:tcBorders>
              <w:top w:val="double" w:sz="4" w:space="0" w:color="auto"/>
              <w:left w:val="single" w:sz="12" w:space="0" w:color="auto"/>
              <w:bottom w:val="double" w:sz="4" w:space="0" w:color="auto"/>
              <w:right w:val="single" w:sz="12" w:space="0" w:color="auto"/>
            </w:tcBorders>
            <w:shd w:val="clear" w:color="auto" w:fill="1F4E79" w:themeFill="accent1" w:themeFillShade="80"/>
            <w:noWrap/>
            <w:vAlign w:val="bottom"/>
          </w:tcPr>
          <w:p w14:paraId="40BB0B04" w14:textId="5964FA72" w:rsidR="00847A74" w:rsidRPr="009D7267" w:rsidRDefault="00E4239B" w:rsidP="00E4239B">
            <w:pPr>
              <w:spacing w:line="240" w:lineRule="auto"/>
              <w:rPr>
                <w:rFonts w:asciiTheme="minorHAnsi" w:eastAsia="Times New Roman" w:hAnsiTheme="minorHAnsi" w:cstheme="minorHAnsi"/>
                <w:color w:val="FFFFFF"/>
                <w:sz w:val="20"/>
                <w:szCs w:val="20"/>
              </w:rPr>
            </w:pPr>
            <w:r w:rsidRPr="009D7267">
              <w:rPr>
                <w:rFonts w:asciiTheme="minorHAnsi" w:eastAsia="Times New Roman" w:hAnsiTheme="minorHAnsi" w:cstheme="minorHAnsi"/>
                <w:color w:val="FFFFFF"/>
                <w:sz w:val="20"/>
                <w:szCs w:val="20"/>
              </w:rPr>
              <w:t xml:space="preserve">WSCs </w:t>
            </w:r>
          </w:p>
        </w:tc>
      </w:tr>
      <w:tr w:rsidR="00F1083D" w:rsidRPr="00D76DDC" w14:paraId="11E9179A" w14:textId="77777777" w:rsidTr="00F1083D">
        <w:trPr>
          <w:trHeight w:val="204"/>
          <w:jc w:val="center"/>
        </w:trPr>
        <w:tc>
          <w:tcPr>
            <w:tcW w:w="1080" w:type="dxa"/>
            <w:tcBorders>
              <w:top w:val="double" w:sz="4" w:space="0" w:color="auto"/>
              <w:left w:val="single" w:sz="12" w:space="0" w:color="auto"/>
              <w:bottom w:val="single" w:sz="4" w:space="0" w:color="auto"/>
              <w:right w:val="nil"/>
            </w:tcBorders>
            <w:shd w:val="clear" w:color="auto" w:fill="auto"/>
            <w:noWrap/>
            <w:vAlign w:val="bottom"/>
          </w:tcPr>
          <w:p w14:paraId="1FF5E087" w14:textId="57E72C6A" w:rsidR="00F1083D" w:rsidRPr="009D7267" w:rsidRDefault="00F1083D" w:rsidP="00F1083D">
            <w:pPr>
              <w:spacing w:line="240" w:lineRule="auto"/>
              <w:rPr>
                <w:rFonts w:asciiTheme="minorHAnsi" w:eastAsia="Times New Roman" w:hAnsiTheme="minorHAnsi" w:cstheme="minorHAnsi"/>
                <w:b/>
                <w:color w:val="000000"/>
                <w:sz w:val="20"/>
                <w:szCs w:val="20"/>
              </w:rPr>
            </w:pPr>
            <w:r>
              <w:rPr>
                <w:rFonts w:asciiTheme="minorHAnsi" w:hAnsiTheme="minorHAnsi" w:cstheme="minorHAnsi"/>
                <w:sz w:val="20"/>
                <w:szCs w:val="20"/>
              </w:rPr>
              <w:t>Agency</w:t>
            </w:r>
          </w:p>
        </w:tc>
        <w:tc>
          <w:tcPr>
            <w:tcW w:w="875" w:type="dxa"/>
            <w:tcBorders>
              <w:top w:val="double" w:sz="4" w:space="0" w:color="auto"/>
              <w:left w:val="nil"/>
              <w:bottom w:val="single" w:sz="4" w:space="0" w:color="auto"/>
              <w:right w:val="nil"/>
            </w:tcBorders>
            <w:shd w:val="clear" w:color="auto" w:fill="auto"/>
            <w:noWrap/>
            <w:vAlign w:val="bottom"/>
          </w:tcPr>
          <w:p w14:paraId="36B350EB" w14:textId="3A9D47A8"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65</w:t>
            </w:r>
          </w:p>
        </w:tc>
        <w:tc>
          <w:tcPr>
            <w:tcW w:w="1156" w:type="dxa"/>
            <w:gridSpan w:val="2"/>
            <w:tcBorders>
              <w:top w:val="double" w:sz="4" w:space="0" w:color="auto"/>
              <w:left w:val="nil"/>
              <w:bottom w:val="single" w:sz="4" w:space="0" w:color="auto"/>
              <w:right w:val="nil"/>
            </w:tcBorders>
            <w:vAlign w:val="bottom"/>
          </w:tcPr>
          <w:p w14:paraId="183411DA" w14:textId="38DAFD6D"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97.7%</w:t>
            </w:r>
          </w:p>
        </w:tc>
        <w:tc>
          <w:tcPr>
            <w:tcW w:w="1334" w:type="dxa"/>
            <w:tcBorders>
              <w:top w:val="double" w:sz="4" w:space="0" w:color="auto"/>
              <w:left w:val="nil"/>
              <w:bottom w:val="single" w:sz="4" w:space="0" w:color="auto"/>
              <w:right w:val="nil"/>
            </w:tcBorders>
            <w:vAlign w:val="bottom"/>
          </w:tcPr>
          <w:p w14:paraId="209DA0CE" w14:textId="2EC38659"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98.1%</w:t>
            </w:r>
          </w:p>
        </w:tc>
        <w:tc>
          <w:tcPr>
            <w:tcW w:w="1156" w:type="dxa"/>
            <w:tcBorders>
              <w:top w:val="double" w:sz="4" w:space="0" w:color="auto"/>
              <w:left w:val="nil"/>
              <w:bottom w:val="single" w:sz="4" w:space="0" w:color="auto"/>
              <w:right w:val="nil"/>
            </w:tcBorders>
            <w:vAlign w:val="bottom"/>
          </w:tcPr>
          <w:p w14:paraId="5A2EB2AF" w14:textId="5E29EC69"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97.3%</w:t>
            </w:r>
          </w:p>
        </w:tc>
        <w:tc>
          <w:tcPr>
            <w:tcW w:w="1067" w:type="dxa"/>
            <w:tcBorders>
              <w:top w:val="double" w:sz="4" w:space="0" w:color="auto"/>
              <w:left w:val="nil"/>
              <w:bottom w:val="single" w:sz="4" w:space="0" w:color="auto"/>
              <w:right w:val="nil"/>
            </w:tcBorders>
            <w:shd w:val="clear" w:color="auto" w:fill="auto"/>
            <w:noWrap/>
            <w:vAlign w:val="bottom"/>
          </w:tcPr>
          <w:p w14:paraId="4C89D816" w14:textId="2A6923CF"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1</w:t>
            </w:r>
          </w:p>
        </w:tc>
        <w:tc>
          <w:tcPr>
            <w:tcW w:w="892" w:type="dxa"/>
            <w:tcBorders>
              <w:top w:val="double" w:sz="4" w:space="0" w:color="auto"/>
              <w:left w:val="nil"/>
              <w:bottom w:val="single" w:sz="4" w:space="0" w:color="auto"/>
              <w:right w:val="dashed" w:sz="4" w:space="0" w:color="auto"/>
            </w:tcBorders>
            <w:shd w:val="clear" w:color="auto" w:fill="auto"/>
            <w:noWrap/>
            <w:vAlign w:val="bottom"/>
          </w:tcPr>
          <w:p w14:paraId="5F33AF23" w14:textId="6486D8BD"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23</w:t>
            </w:r>
          </w:p>
        </w:tc>
        <w:tc>
          <w:tcPr>
            <w:tcW w:w="797" w:type="dxa"/>
            <w:tcBorders>
              <w:top w:val="double" w:sz="4" w:space="0" w:color="auto"/>
              <w:left w:val="dashed" w:sz="4" w:space="0" w:color="auto"/>
              <w:bottom w:val="single" w:sz="4" w:space="0" w:color="auto"/>
              <w:right w:val="nil"/>
            </w:tcBorders>
            <w:shd w:val="clear" w:color="auto" w:fill="auto"/>
            <w:noWrap/>
            <w:vAlign w:val="bottom"/>
          </w:tcPr>
          <w:p w14:paraId="5CD2C82D" w14:textId="528D117D"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0.15</w:t>
            </w:r>
          </w:p>
        </w:tc>
        <w:tc>
          <w:tcPr>
            <w:tcW w:w="1273" w:type="dxa"/>
            <w:tcBorders>
              <w:top w:val="double" w:sz="4" w:space="0" w:color="auto"/>
              <w:left w:val="nil"/>
              <w:bottom w:val="single" w:sz="4" w:space="0" w:color="auto"/>
              <w:right w:val="single" w:sz="12" w:space="0" w:color="auto"/>
            </w:tcBorders>
            <w:shd w:val="clear" w:color="auto" w:fill="auto"/>
            <w:noWrap/>
            <w:vAlign w:val="bottom"/>
          </w:tcPr>
          <w:p w14:paraId="1D5646DC" w14:textId="6E039CE8"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3.54</w:t>
            </w:r>
          </w:p>
        </w:tc>
      </w:tr>
      <w:tr w:rsidR="00F1083D" w:rsidRPr="00D76DDC" w14:paraId="322CAD7A" w14:textId="77777777" w:rsidTr="00F1083D">
        <w:trPr>
          <w:trHeight w:val="287"/>
          <w:jc w:val="center"/>
        </w:trPr>
        <w:tc>
          <w:tcPr>
            <w:tcW w:w="1080" w:type="dxa"/>
            <w:tcBorders>
              <w:top w:val="single" w:sz="4" w:space="0" w:color="auto"/>
              <w:left w:val="single" w:sz="12" w:space="0" w:color="auto"/>
              <w:bottom w:val="single" w:sz="4" w:space="0" w:color="auto"/>
              <w:right w:val="nil"/>
            </w:tcBorders>
            <w:shd w:val="clear" w:color="auto" w:fill="auto"/>
            <w:noWrap/>
            <w:vAlign w:val="bottom"/>
          </w:tcPr>
          <w:p w14:paraId="2740FBE1" w14:textId="385ACFA0" w:rsidR="00F1083D" w:rsidRPr="009D7267" w:rsidRDefault="00F1083D" w:rsidP="00F1083D">
            <w:pPr>
              <w:spacing w:line="240" w:lineRule="auto"/>
              <w:rPr>
                <w:rFonts w:asciiTheme="minorHAnsi" w:eastAsia="Times New Roman" w:hAnsiTheme="minorHAnsi" w:cstheme="minorHAnsi"/>
                <w:b/>
                <w:color w:val="000000"/>
                <w:sz w:val="20"/>
                <w:szCs w:val="20"/>
              </w:rPr>
            </w:pPr>
            <w:r>
              <w:rPr>
                <w:rFonts w:asciiTheme="minorHAnsi" w:hAnsiTheme="minorHAnsi" w:cstheme="minorHAnsi"/>
                <w:sz w:val="20"/>
                <w:szCs w:val="20"/>
              </w:rPr>
              <w:t>Solo</w:t>
            </w:r>
          </w:p>
        </w:tc>
        <w:tc>
          <w:tcPr>
            <w:tcW w:w="875" w:type="dxa"/>
            <w:tcBorders>
              <w:top w:val="single" w:sz="4" w:space="0" w:color="auto"/>
              <w:left w:val="nil"/>
              <w:bottom w:val="single" w:sz="4" w:space="0" w:color="auto"/>
              <w:right w:val="nil"/>
            </w:tcBorders>
            <w:shd w:val="clear" w:color="auto" w:fill="auto"/>
            <w:noWrap/>
            <w:vAlign w:val="bottom"/>
          </w:tcPr>
          <w:p w14:paraId="030BBC9C" w14:textId="368ED2CC"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185</w:t>
            </w:r>
          </w:p>
        </w:tc>
        <w:tc>
          <w:tcPr>
            <w:tcW w:w="1156" w:type="dxa"/>
            <w:gridSpan w:val="2"/>
            <w:tcBorders>
              <w:top w:val="single" w:sz="4" w:space="0" w:color="auto"/>
              <w:left w:val="nil"/>
              <w:bottom w:val="single" w:sz="4" w:space="0" w:color="auto"/>
              <w:right w:val="nil"/>
            </w:tcBorders>
            <w:vAlign w:val="bottom"/>
          </w:tcPr>
          <w:p w14:paraId="744F664A" w14:textId="5BEFE36E"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93.2%</w:t>
            </w:r>
          </w:p>
        </w:tc>
        <w:tc>
          <w:tcPr>
            <w:tcW w:w="1334" w:type="dxa"/>
            <w:tcBorders>
              <w:top w:val="single" w:sz="4" w:space="0" w:color="auto"/>
              <w:left w:val="nil"/>
              <w:bottom w:val="single" w:sz="4" w:space="0" w:color="auto"/>
              <w:right w:val="nil"/>
            </w:tcBorders>
            <w:vAlign w:val="bottom"/>
          </w:tcPr>
          <w:p w14:paraId="251418E0" w14:textId="61CA33EC"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93.7%</w:t>
            </w:r>
          </w:p>
        </w:tc>
        <w:tc>
          <w:tcPr>
            <w:tcW w:w="1156" w:type="dxa"/>
            <w:tcBorders>
              <w:top w:val="single" w:sz="4" w:space="0" w:color="auto"/>
              <w:left w:val="nil"/>
              <w:bottom w:val="single" w:sz="4" w:space="0" w:color="auto"/>
              <w:right w:val="nil"/>
            </w:tcBorders>
            <w:vAlign w:val="bottom"/>
          </w:tcPr>
          <w:p w14:paraId="0F0B1AD3" w14:textId="2A547126"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92.5%</w:t>
            </w:r>
          </w:p>
        </w:tc>
        <w:tc>
          <w:tcPr>
            <w:tcW w:w="1067" w:type="dxa"/>
            <w:tcBorders>
              <w:top w:val="single" w:sz="4" w:space="0" w:color="auto"/>
              <w:left w:val="nil"/>
              <w:bottom w:val="single" w:sz="4" w:space="0" w:color="auto"/>
              <w:right w:val="nil"/>
            </w:tcBorders>
            <w:shd w:val="clear" w:color="auto" w:fill="auto"/>
            <w:noWrap/>
            <w:vAlign w:val="bottom"/>
          </w:tcPr>
          <w:p w14:paraId="3810D523" w14:textId="49152F49"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35</w:t>
            </w:r>
          </w:p>
        </w:tc>
        <w:tc>
          <w:tcPr>
            <w:tcW w:w="892" w:type="dxa"/>
            <w:tcBorders>
              <w:top w:val="single" w:sz="4" w:space="0" w:color="auto"/>
              <w:left w:val="nil"/>
              <w:bottom w:val="single" w:sz="4" w:space="0" w:color="auto"/>
              <w:right w:val="dashed" w:sz="4" w:space="0" w:color="auto"/>
            </w:tcBorders>
            <w:shd w:val="clear" w:color="auto" w:fill="auto"/>
            <w:noWrap/>
            <w:vAlign w:val="bottom"/>
          </w:tcPr>
          <w:p w14:paraId="78CD7A4D" w14:textId="3961A0F4"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68</w:t>
            </w:r>
          </w:p>
        </w:tc>
        <w:tc>
          <w:tcPr>
            <w:tcW w:w="797" w:type="dxa"/>
            <w:tcBorders>
              <w:top w:val="single" w:sz="4" w:space="0" w:color="auto"/>
              <w:left w:val="dashed" w:sz="4" w:space="0" w:color="auto"/>
              <w:bottom w:val="single" w:sz="4" w:space="0" w:color="auto"/>
              <w:right w:val="nil"/>
            </w:tcBorders>
            <w:shd w:val="clear" w:color="auto" w:fill="auto"/>
            <w:noWrap/>
            <w:vAlign w:val="bottom"/>
          </w:tcPr>
          <w:p w14:paraId="7DD9CCF6" w14:textId="4B1C8180"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1.89</w:t>
            </w:r>
          </w:p>
        </w:tc>
        <w:tc>
          <w:tcPr>
            <w:tcW w:w="1273" w:type="dxa"/>
            <w:tcBorders>
              <w:top w:val="single" w:sz="4" w:space="0" w:color="auto"/>
              <w:left w:val="nil"/>
              <w:bottom w:val="single" w:sz="4" w:space="0" w:color="auto"/>
              <w:right w:val="single" w:sz="12" w:space="0" w:color="auto"/>
            </w:tcBorders>
            <w:shd w:val="clear" w:color="auto" w:fill="auto"/>
            <w:noWrap/>
            <w:vAlign w:val="bottom"/>
          </w:tcPr>
          <w:p w14:paraId="2798F646" w14:textId="01A17614" w:rsidR="00F1083D" w:rsidRPr="00F1083D" w:rsidRDefault="00F1083D" w:rsidP="00F1083D">
            <w:pPr>
              <w:spacing w:line="240" w:lineRule="auto"/>
              <w:jc w:val="center"/>
              <w:rPr>
                <w:rFonts w:asciiTheme="minorHAnsi" w:hAnsiTheme="minorHAnsi" w:cstheme="minorHAnsi"/>
                <w:sz w:val="20"/>
                <w:szCs w:val="20"/>
              </w:rPr>
            </w:pPr>
            <w:r w:rsidRPr="00F1083D">
              <w:rPr>
                <w:rFonts w:asciiTheme="minorHAnsi" w:hAnsiTheme="minorHAnsi" w:cstheme="minorHAnsi"/>
                <w:sz w:val="20"/>
                <w:szCs w:val="20"/>
              </w:rPr>
              <w:t>3.68</w:t>
            </w:r>
          </w:p>
        </w:tc>
      </w:tr>
      <w:tr w:rsidR="009D7267" w:rsidRPr="00D76DDC" w14:paraId="34674B7E" w14:textId="77777777" w:rsidTr="009D7267">
        <w:trPr>
          <w:trHeight w:val="330"/>
          <w:jc w:val="center"/>
        </w:trPr>
        <w:tc>
          <w:tcPr>
            <w:tcW w:w="1080" w:type="dxa"/>
            <w:tcBorders>
              <w:top w:val="double" w:sz="4" w:space="0" w:color="auto"/>
              <w:left w:val="single" w:sz="12" w:space="0" w:color="auto"/>
              <w:bottom w:val="single" w:sz="12" w:space="0" w:color="auto"/>
              <w:right w:val="nil"/>
            </w:tcBorders>
            <w:shd w:val="clear" w:color="auto" w:fill="auto"/>
            <w:noWrap/>
            <w:vAlign w:val="bottom"/>
          </w:tcPr>
          <w:p w14:paraId="6487A7B1" w14:textId="3BC8684B" w:rsidR="009D7267" w:rsidRPr="009D7267" w:rsidRDefault="009D7267" w:rsidP="009D7267">
            <w:pPr>
              <w:spacing w:line="240" w:lineRule="auto"/>
              <w:rPr>
                <w:rFonts w:asciiTheme="minorHAnsi" w:eastAsia="Times New Roman" w:hAnsiTheme="minorHAnsi" w:cstheme="minorHAnsi"/>
                <w:b/>
                <w:color w:val="000000"/>
                <w:sz w:val="20"/>
                <w:szCs w:val="20"/>
              </w:rPr>
            </w:pPr>
            <w:r w:rsidRPr="009D7267">
              <w:rPr>
                <w:rFonts w:asciiTheme="minorHAnsi" w:hAnsiTheme="minorHAnsi" w:cstheme="minorHAnsi"/>
                <w:b/>
                <w:sz w:val="20"/>
                <w:szCs w:val="20"/>
              </w:rPr>
              <w:t>Total</w:t>
            </w:r>
          </w:p>
        </w:tc>
        <w:tc>
          <w:tcPr>
            <w:tcW w:w="875" w:type="dxa"/>
            <w:tcBorders>
              <w:top w:val="double" w:sz="4" w:space="0" w:color="auto"/>
              <w:left w:val="nil"/>
              <w:bottom w:val="single" w:sz="12" w:space="0" w:color="auto"/>
              <w:right w:val="nil"/>
            </w:tcBorders>
            <w:shd w:val="clear" w:color="auto" w:fill="auto"/>
            <w:noWrap/>
            <w:vAlign w:val="bottom"/>
          </w:tcPr>
          <w:p w14:paraId="43392CB5" w14:textId="354B76EB" w:rsidR="009D7267" w:rsidRPr="009D7267" w:rsidRDefault="00FB3C5B" w:rsidP="009D7267">
            <w:pPr>
              <w:spacing w:line="240" w:lineRule="auto"/>
              <w:jc w:val="center"/>
              <w:rPr>
                <w:rFonts w:asciiTheme="minorHAnsi" w:hAnsiTheme="minorHAnsi" w:cstheme="minorHAnsi"/>
                <w:b/>
                <w:sz w:val="20"/>
                <w:szCs w:val="20"/>
              </w:rPr>
            </w:pPr>
            <w:r>
              <w:rPr>
                <w:rFonts w:asciiTheme="minorHAnsi" w:hAnsiTheme="minorHAnsi" w:cstheme="minorHAnsi"/>
                <w:b/>
                <w:sz w:val="20"/>
                <w:szCs w:val="20"/>
              </w:rPr>
              <w:t>250</w:t>
            </w:r>
          </w:p>
        </w:tc>
        <w:tc>
          <w:tcPr>
            <w:tcW w:w="1156" w:type="dxa"/>
            <w:gridSpan w:val="2"/>
            <w:tcBorders>
              <w:top w:val="double" w:sz="4" w:space="0" w:color="auto"/>
              <w:left w:val="nil"/>
              <w:bottom w:val="single" w:sz="12" w:space="0" w:color="auto"/>
              <w:right w:val="nil"/>
            </w:tcBorders>
            <w:vAlign w:val="bottom"/>
          </w:tcPr>
          <w:p w14:paraId="0374FBD1" w14:textId="386A33EF" w:rsidR="009D7267" w:rsidRPr="009D7267" w:rsidRDefault="009D7267" w:rsidP="00FB3C5B">
            <w:pPr>
              <w:spacing w:line="240" w:lineRule="auto"/>
              <w:jc w:val="center"/>
              <w:rPr>
                <w:rFonts w:asciiTheme="minorHAnsi" w:hAnsiTheme="minorHAnsi" w:cstheme="minorHAnsi"/>
                <w:b/>
                <w:sz w:val="20"/>
                <w:szCs w:val="20"/>
              </w:rPr>
            </w:pPr>
            <w:r w:rsidRPr="009D7267">
              <w:rPr>
                <w:rFonts w:asciiTheme="minorHAnsi" w:hAnsiTheme="minorHAnsi" w:cstheme="minorHAnsi"/>
                <w:b/>
                <w:sz w:val="20"/>
                <w:szCs w:val="20"/>
              </w:rPr>
              <w:t>95.</w:t>
            </w:r>
            <w:r w:rsidR="00FB3C5B">
              <w:rPr>
                <w:rFonts w:asciiTheme="minorHAnsi" w:hAnsiTheme="minorHAnsi" w:cstheme="minorHAnsi"/>
                <w:b/>
                <w:sz w:val="20"/>
                <w:szCs w:val="20"/>
              </w:rPr>
              <w:t>8</w:t>
            </w:r>
            <w:r w:rsidRPr="009D7267">
              <w:rPr>
                <w:rFonts w:asciiTheme="minorHAnsi" w:hAnsiTheme="minorHAnsi" w:cstheme="minorHAnsi"/>
                <w:b/>
                <w:sz w:val="20"/>
                <w:szCs w:val="20"/>
              </w:rPr>
              <w:t>%</w:t>
            </w:r>
          </w:p>
        </w:tc>
        <w:tc>
          <w:tcPr>
            <w:tcW w:w="1334" w:type="dxa"/>
            <w:tcBorders>
              <w:top w:val="double" w:sz="4" w:space="0" w:color="auto"/>
              <w:left w:val="nil"/>
              <w:bottom w:val="single" w:sz="12" w:space="0" w:color="auto"/>
              <w:right w:val="nil"/>
            </w:tcBorders>
            <w:vAlign w:val="bottom"/>
          </w:tcPr>
          <w:p w14:paraId="39ED2F28" w14:textId="5D387DA6" w:rsidR="009D7267" w:rsidRPr="009D7267" w:rsidRDefault="00F1083D" w:rsidP="009D7267">
            <w:pPr>
              <w:spacing w:line="240" w:lineRule="auto"/>
              <w:jc w:val="center"/>
              <w:rPr>
                <w:rFonts w:asciiTheme="minorHAnsi" w:hAnsiTheme="minorHAnsi" w:cstheme="minorHAnsi"/>
                <w:b/>
                <w:sz w:val="20"/>
                <w:szCs w:val="20"/>
              </w:rPr>
            </w:pPr>
            <w:r>
              <w:rPr>
                <w:rFonts w:asciiTheme="minorHAnsi" w:hAnsiTheme="minorHAnsi" w:cstheme="minorHAnsi"/>
                <w:b/>
                <w:sz w:val="20"/>
                <w:szCs w:val="20"/>
              </w:rPr>
              <w:t>96.2</w:t>
            </w:r>
            <w:r w:rsidR="009D7267" w:rsidRPr="009D7267">
              <w:rPr>
                <w:rFonts w:asciiTheme="minorHAnsi" w:hAnsiTheme="minorHAnsi" w:cstheme="minorHAnsi"/>
                <w:b/>
                <w:sz w:val="20"/>
                <w:szCs w:val="20"/>
              </w:rPr>
              <w:t>%</w:t>
            </w:r>
          </w:p>
        </w:tc>
        <w:tc>
          <w:tcPr>
            <w:tcW w:w="1156" w:type="dxa"/>
            <w:tcBorders>
              <w:top w:val="double" w:sz="4" w:space="0" w:color="auto"/>
              <w:left w:val="nil"/>
              <w:bottom w:val="single" w:sz="12" w:space="0" w:color="auto"/>
              <w:right w:val="nil"/>
            </w:tcBorders>
            <w:vAlign w:val="bottom"/>
          </w:tcPr>
          <w:p w14:paraId="5B36EE24" w14:textId="2BB570E6" w:rsidR="009D7267" w:rsidRPr="009D7267" w:rsidRDefault="009D7267" w:rsidP="00F1083D">
            <w:pPr>
              <w:spacing w:line="240" w:lineRule="auto"/>
              <w:jc w:val="center"/>
              <w:rPr>
                <w:rFonts w:asciiTheme="minorHAnsi" w:hAnsiTheme="minorHAnsi" w:cstheme="minorHAnsi"/>
                <w:b/>
                <w:sz w:val="20"/>
                <w:szCs w:val="20"/>
              </w:rPr>
            </w:pPr>
            <w:r w:rsidRPr="009D7267">
              <w:rPr>
                <w:rFonts w:asciiTheme="minorHAnsi" w:hAnsiTheme="minorHAnsi" w:cstheme="minorHAnsi"/>
                <w:b/>
                <w:sz w:val="20"/>
                <w:szCs w:val="20"/>
              </w:rPr>
              <w:t>9</w:t>
            </w:r>
            <w:r w:rsidR="00F1083D">
              <w:rPr>
                <w:rFonts w:asciiTheme="minorHAnsi" w:hAnsiTheme="minorHAnsi" w:cstheme="minorHAnsi"/>
                <w:b/>
                <w:sz w:val="20"/>
                <w:szCs w:val="20"/>
              </w:rPr>
              <w:t>5</w:t>
            </w:r>
            <w:r w:rsidRPr="009D7267">
              <w:rPr>
                <w:rFonts w:asciiTheme="minorHAnsi" w:hAnsiTheme="minorHAnsi" w:cstheme="minorHAnsi"/>
                <w:b/>
                <w:sz w:val="20"/>
                <w:szCs w:val="20"/>
              </w:rPr>
              <w:t>.3%</w:t>
            </w:r>
          </w:p>
        </w:tc>
        <w:tc>
          <w:tcPr>
            <w:tcW w:w="1067" w:type="dxa"/>
            <w:tcBorders>
              <w:top w:val="double" w:sz="4" w:space="0" w:color="auto"/>
              <w:left w:val="nil"/>
              <w:bottom w:val="single" w:sz="12" w:space="0" w:color="auto"/>
              <w:right w:val="nil"/>
            </w:tcBorders>
            <w:shd w:val="clear" w:color="auto" w:fill="auto"/>
            <w:noWrap/>
            <w:vAlign w:val="bottom"/>
          </w:tcPr>
          <w:p w14:paraId="655AC866" w14:textId="52BC6770" w:rsidR="009D7267" w:rsidRPr="009D7267" w:rsidRDefault="00F1083D" w:rsidP="009D7267">
            <w:pPr>
              <w:spacing w:line="240" w:lineRule="auto"/>
              <w:jc w:val="center"/>
              <w:rPr>
                <w:rFonts w:asciiTheme="minorHAnsi" w:hAnsiTheme="minorHAnsi" w:cstheme="minorHAnsi"/>
                <w:b/>
                <w:sz w:val="20"/>
                <w:szCs w:val="20"/>
              </w:rPr>
            </w:pPr>
            <w:r>
              <w:rPr>
                <w:rFonts w:asciiTheme="minorHAnsi" w:hAnsiTheme="minorHAnsi" w:cstheme="minorHAnsi"/>
                <w:b/>
                <w:sz w:val="20"/>
                <w:szCs w:val="20"/>
              </w:rPr>
              <w:t>36</w:t>
            </w:r>
          </w:p>
        </w:tc>
        <w:tc>
          <w:tcPr>
            <w:tcW w:w="892" w:type="dxa"/>
            <w:tcBorders>
              <w:top w:val="double" w:sz="4" w:space="0" w:color="auto"/>
              <w:left w:val="nil"/>
              <w:bottom w:val="single" w:sz="12" w:space="0" w:color="auto"/>
              <w:right w:val="dashed" w:sz="4" w:space="0" w:color="auto"/>
            </w:tcBorders>
            <w:shd w:val="clear" w:color="auto" w:fill="auto"/>
            <w:noWrap/>
            <w:vAlign w:val="bottom"/>
          </w:tcPr>
          <w:p w14:paraId="66C6CB6B" w14:textId="62A06FAC" w:rsidR="009D7267" w:rsidRPr="009D7267" w:rsidRDefault="00F1083D" w:rsidP="009D7267">
            <w:pPr>
              <w:spacing w:line="240" w:lineRule="auto"/>
              <w:jc w:val="center"/>
              <w:rPr>
                <w:rFonts w:asciiTheme="minorHAnsi" w:hAnsiTheme="minorHAnsi" w:cstheme="minorHAnsi"/>
                <w:b/>
                <w:sz w:val="20"/>
                <w:szCs w:val="20"/>
              </w:rPr>
            </w:pPr>
            <w:r>
              <w:rPr>
                <w:rFonts w:asciiTheme="minorHAnsi" w:hAnsiTheme="minorHAnsi" w:cstheme="minorHAnsi"/>
                <w:b/>
                <w:sz w:val="20"/>
                <w:szCs w:val="20"/>
              </w:rPr>
              <w:t>9</w:t>
            </w:r>
            <w:r w:rsidR="009D7267" w:rsidRPr="009D7267">
              <w:rPr>
                <w:rFonts w:asciiTheme="minorHAnsi" w:hAnsiTheme="minorHAnsi" w:cstheme="minorHAnsi"/>
                <w:b/>
                <w:sz w:val="20"/>
                <w:szCs w:val="20"/>
              </w:rPr>
              <w:t>1</w:t>
            </w:r>
          </w:p>
        </w:tc>
        <w:tc>
          <w:tcPr>
            <w:tcW w:w="797" w:type="dxa"/>
            <w:tcBorders>
              <w:top w:val="double" w:sz="4" w:space="0" w:color="auto"/>
              <w:left w:val="dashed" w:sz="4" w:space="0" w:color="auto"/>
              <w:bottom w:val="single" w:sz="12" w:space="0" w:color="auto"/>
              <w:right w:val="nil"/>
            </w:tcBorders>
            <w:shd w:val="clear" w:color="auto" w:fill="auto"/>
            <w:noWrap/>
            <w:vAlign w:val="bottom"/>
          </w:tcPr>
          <w:p w14:paraId="7376A3F5" w14:textId="7B02D15C" w:rsidR="009D7267" w:rsidRPr="009D7267" w:rsidRDefault="00F1083D" w:rsidP="009D7267">
            <w:pPr>
              <w:spacing w:line="240" w:lineRule="auto"/>
              <w:jc w:val="center"/>
              <w:rPr>
                <w:rFonts w:asciiTheme="minorHAnsi" w:hAnsiTheme="minorHAnsi" w:cstheme="minorHAnsi"/>
                <w:b/>
                <w:sz w:val="20"/>
                <w:szCs w:val="20"/>
              </w:rPr>
            </w:pPr>
            <w:r>
              <w:rPr>
                <w:rFonts w:asciiTheme="minorHAnsi" w:hAnsiTheme="minorHAnsi" w:cstheme="minorHAnsi"/>
                <w:b/>
                <w:sz w:val="20"/>
                <w:szCs w:val="20"/>
              </w:rPr>
              <w:t>1.44</w:t>
            </w:r>
          </w:p>
        </w:tc>
        <w:tc>
          <w:tcPr>
            <w:tcW w:w="1273" w:type="dxa"/>
            <w:tcBorders>
              <w:top w:val="double" w:sz="4" w:space="0" w:color="auto"/>
              <w:left w:val="nil"/>
              <w:bottom w:val="single" w:sz="12" w:space="0" w:color="auto"/>
              <w:right w:val="single" w:sz="12" w:space="0" w:color="auto"/>
            </w:tcBorders>
            <w:shd w:val="clear" w:color="auto" w:fill="auto"/>
            <w:noWrap/>
            <w:vAlign w:val="bottom"/>
          </w:tcPr>
          <w:p w14:paraId="297CD0E9" w14:textId="0EB04310" w:rsidR="009D7267" w:rsidRPr="009D7267" w:rsidRDefault="009D7267" w:rsidP="00F1083D">
            <w:pPr>
              <w:spacing w:line="240" w:lineRule="auto"/>
              <w:jc w:val="center"/>
              <w:rPr>
                <w:rFonts w:asciiTheme="minorHAnsi" w:hAnsiTheme="minorHAnsi" w:cstheme="minorHAnsi"/>
                <w:b/>
                <w:sz w:val="20"/>
                <w:szCs w:val="20"/>
              </w:rPr>
            </w:pPr>
            <w:r w:rsidRPr="009D7267">
              <w:rPr>
                <w:rFonts w:asciiTheme="minorHAnsi" w:hAnsiTheme="minorHAnsi" w:cstheme="minorHAnsi"/>
                <w:b/>
                <w:sz w:val="20"/>
                <w:szCs w:val="20"/>
              </w:rPr>
              <w:t>3.6</w:t>
            </w:r>
            <w:r w:rsidR="00F1083D">
              <w:rPr>
                <w:rFonts w:asciiTheme="minorHAnsi" w:hAnsiTheme="minorHAnsi" w:cstheme="minorHAnsi"/>
                <w:b/>
                <w:sz w:val="20"/>
                <w:szCs w:val="20"/>
              </w:rPr>
              <w:t>4</w:t>
            </w:r>
          </w:p>
        </w:tc>
      </w:tr>
    </w:tbl>
    <w:p w14:paraId="4E661BA5" w14:textId="34E9C622" w:rsidR="00F1083D" w:rsidRDefault="00F1083D" w:rsidP="00F34C75">
      <w:pPr>
        <w:rPr>
          <w:sz w:val="20"/>
          <w:szCs w:val="20"/>
        </w:rPr>
      </w:pPr>
    </w:p>
    <w:p w14:paraId="0762E657" w14:textId="77777777" w:rsidR="00F1083D" w:rsidRDefault="00F1083D">
      <w:pPr>
        <w:spacing w:after="160" w:line="259" w:lineRule="auto"/>
        <w:rPr>
          <w:sz w:val="20"/>
          <w:szCs w:val="20"/>
        </w:rPr>
      </w:pPr>
      <w:r>
        <w:rPr>
          <w:sz w:val="20"/>
          <w:szCs w:val="20"/>
        </w:rPr>
        <w:br w:type="page"/>
      </w:r>
    </w:p>
    <w:p w14:paraId="33A0A514" w14:textId="77777777" w:rsidR="00F34C75" w:rsidRPr="00F1083D" w:rsidRDefault="00F34C75" w:rsidP="00F34C75">
      <w:pPr>
        <w:rPr>
          <w:sz w:val="20"/>
          <w:szCs w:val="20"/>
        </w:rPr>
      </w:pPr>
    </w:p>
    <w:p w14:paraId="23FEFED3" w14:textId="24CB1464" w:rsidR="00F34C75" w:rsidRDefault="00F34C75" w:rsidP="00F34C75">
      <w:pPr>
        <w:pStyle w:val="Heading1"/>
      </w:pPr>
      <w:bookmarkStart w:id="59" w:name="_Toc64285545"/>
      <w:r>
        <w:t>Section I</w:t>
      </w:r>
      <w:r w:rsidR="003D4572">
        <w:t>II</w:t>
      </w:r>
      <w:r>
        <w:t>:  Disc</w:t>
      </w:r>
      <w:bookmarkEnd w:id="56"/>
      <w:r>
        <w:t>ussion and Recommendations</w:t>
      </w:r>
      <w:bookmarkEnd w:id="59"/>
    </w:p>
    <w:p w14:paraId="19E14450" w14:textId="05C9BE2E" w:rsidR="00F34C75" w:rsidRPr="00405681" w:rsidRDefault="00F34C75" w:rsidP="00F34C75">
      <w:r>
        <w:rPr>
          <w:noProof/>
        </w:rPr>
        <w:drawing>
          <wp:anchor distT="0" distB="0" distL="114300" distR="114300" simplePos="0" relativeHeight="251658264" behindDoc="0" locked="0" layoutInCell="1" allowOverlap="1" wp14:anchorId="53C3B11F" wp14:editId="156EC822">
            <wp:simplePos x="0" y="0"/>
            <wp:positionH relativeFrom="margin">
              <wp:align>left</wp:align>
            </wp:positionH>
            <wp:positionV relativeFrom="paragraph">
              <wp:posOffset>193675</wp:posOffset>
            </wp:positionV>
            <wp:extent cx="1494155" cy="14668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valuation[1].png"/>
                    <pic:cNvPicPr/>
                  </pic:nvPicPr>
                  <pic:blipFill>
                    <a:blip r:embed="rId79">
                      <a:extLst>
                        <a:ext uri="{28A0092B-C50C-407E-A947-70E740481C1C}">
                          <a14:useLocalDpi xmlns:a14="http://schemas.microsoft.com/office/drawing/2010/main" val="0"/>
                        </a:ext>
                      </a:extLst>
                    </a:blip>
                    <a:stretch>
                      <a:fillRect/>
                    </a:stretch>
                  </pic:blipFill>
                  <pic:spPr>
                    <a:xfrm>
                      <a:off x="0" y="0"/>
                      <a:ext cx="1494155" cy="1466850"/>
                    </a:xfrm>
                    <a:prstGeom prst="rect">
                      <a:avLst/>
                    </a:prstGeom>
                  </pic:spPr>
                </pic:pic>
              </a:graphicData>
            </a:graphic>
            <wp14:sizeRelH relativeFrom="margin">
              <wp14:pctWidth>0</wp14:pctWidth>
            </wp14:sizeRelH>
            <wp14:sizeRelV relativeFrom="margin">
              <wp14:pctHeight>0</wp14:pctHeight>
            </wp14:sizeRelV>
          </wp:anchor>
        </w:drawing>
      </w:r>
      <w:r w:rsidRPr="00405681">
        <w:t xml:space="preserve">Findings in this report reflect data from PCR and PDR reviews completed between July </w:t>
      </w:r>
      <w:r w:rsidR="00166206">
        <w:t xml:space="preserve">and </w:t>
      </w:r>
      <w:r w:rsidR="0075519C">
        <w:t>December</w:t>
      </w:r>
      <w:r w:rsidR="00A53B28">
        <w:t xml:space="preserve"> </w:t>
      </w:r>
      <w:r w:rsidR="009D760D">
        <w:t>2020</w:t>
      </w:r>
      <w:r w:rsidRPr="00405681">
        <w:t xml:space="preserve">. A total of </w:t>
      </w:r>
      <w:r w:rsidR="0075519C">
        <w:t>674</w:t>
      </w:r>
      <w:r w:rsidRPr="00405681">
        <w:t xml:space="preserve"> PCRs, </w:t>
      </w:r>
      <w:r w:rsidR="007B0D3B">
        <w:t>1,060</w:t>
      </w:r>
      <w:r w:rsidRPr="00405681">
        <w:t xml:space="preserve"> PDRs and </w:t>
      </w:r>
      <w:r w:rsidR="0075519C">
        <w:t>83</w:t>
      </w:r>
      <w:r w:rsidR="00EF2E1C">
        <w:t xml:space="preserve"> </w:t>
      </w:r>
      <w:r w:rsidRPr="00405681">
        <w:t>CDC+ Representative reviews were completed, appro</w:t>
      </w:r>
      <w:r>
        <w:t>ved and available for analysis.</w:t>
      </w:r>
      <w:r w:rsidR="006D715D">
        <w:t xml:space="preserve"> Due to the Coronavirus pandemic, processes were revised and new remote reviews were implemented April 1, 2020. </w:t>
      </w:r>
    </w:p>
    <w:p w14:paraId="720664FC" w14:textId="77777777" w:rsidR="00F34C75" w:rsidRPr="00405681" w:rsidRDefault="00F34C75" w:rsidP="00F34C75"/>
    <w:p w14:paraId="7A5D1307" w14:textId="4A97BD54" w:rsidR="00F34C75" w:rsidRDefault="00363F66" w:rsidP="00F34C75">
      <w:pPr>
        <w:rPr>
          <w:color w:val="000000" w:themeColor="text1"/>
        </w:rPr>
      </w:pPr>
      <w:r>
        <w:t>Provider f</w:t>
      </w:r>
      <w:r w:rsidR="00F34C75" w:rsidRPr="00405681">
        <w:t xml:space="preserve">eedback </w:t>
      </w:r>
      <w:r w:rsidR="00F34C75">
        <w:t>remains very positive with all qu</w:t>
      </w:r>
      <w:r w:rsidR="006D715D">
        <w:t xml:space="preserve">estions on the feedback survey </w:t>
      </w:r>
      <w:r w:rsidR="00F34C75" w:rsidRPr="00B5288C">
        <w:t>above 90 percent</w:t>
      </w:r>
      <w:r>
        <w:t xml:space="preserve"> positive</w:t>
      </w:r>
      <w:r w:rsidR="00F34C75" w:rsidRPr="00B5288C">
        <w:t xml:space="preserve">. During this quarter, Qlarant </w:t>
      </w:r>
      <w:r w:rsidR="00F34C75">
        <w:t>Regional Managers</w:t>
      </w:r>
      <w:r w:rsidR="00F34C75" w:rsidRPr="00B5288C">
        <w:t xml:space="preserve"> reviewed</w:t>
      </w:r>
      <w:r w:rsidR="00F34C75" w:rsidRPr="00405681">
        <w:t xml:space="preserve"> all reports before final approval </w:t>
      </w:r>
      <w:r w:rsidR="00F34C75" w:rsidRPr="00405681">
        <w:rPr>
          <w:color w:val="000000" w:themeColor="text1"/>
        </w:rPr>
        <w:t xml:space="preserve">and facilitated a quarterly meeting in each region to review data, explore trends, and discuss other relevant regional issues or best practices. </w:t>
      </w:r>
      <w:r w:rsidR="00BF6155">
        <w:rPr>
          <w:color w:val="000000" w:themeColor="text1"/>
        </w:rPr>
        <w:t xml:space="preserve">Managers </w:t>
      </w:r>
      <w:r>
        <w:rPr>
          <w:color w:val="000000" w:themeColor="text1"/>
        </w:rPr>
        <w:t xml:space="preserve">have </w:t>
      </w:r>
      <w:r w:rsidR="00BF6155">
        <w:rPr>
          <w:color w:val="000000" w:themeColor="text1"/>
        </w:rPr>
        <w:t xml:space="preserve">worked </w:t>
      </w:r>
      <w:r>
        <w:rPr>
          <w:color w:val="000000" w:themeColor="text1"/>
        </w:rPr>
        <w:t>to revise and update processes to ensure the best quality assurance reviews possible</w:t>
      </w:r>
      <w:r w:rsidR="006D715D">
        <w:rPr>
          <w:color w:val="000000" w:themeColor="text1"/>
        </w:rPr>
        <w:t xml:space="preserve">.  </w:t>
      </w:r>
      <w:r w:rsidR="00BF6155">
        <w:rPr>
          <w:color w:val="000000" w:themeColor="text1"/>
        </w:rPr>
        <w:t xml:space="preserve"> </w:t>
      </w:r>
    </w:p>
    <w:p w14:paraId="5FAFDA91" w14:textId="77777777" w:rsidR="00F34C75" w:rsidRDefault="00F34C75" w:rsidP="00F34C75">
      <w:pPr>
        <w:rPr>
          <w:color w:val="000000" w:themeColor="text1"/>
        </w:rPr>
      </w:pPr>
    </w:p>
    <w:p w14:paraId="3807D573" w14:textId="0A813500" w:rsidR="00F34C75" w:rsidRPr="00405681" w:rsidRDefault="00F34C75" w:rsidP="00F34C75">
      <w:r w:rsidRPr="00405681">
        <w:rPr>
          <w:color w:val="000000" w:themeColor="text1"/>
        </w:rPr>
        <w:t>The director and managers me</w:t>
      </w:r>
      <w:r w:rsidR="00AE5516">
        <w:rPr>
          <w:color w:val="000000" w:themeColor="text1"/>
        </w:rPr>
        <w:t>e</w:t>
      </w:r>
      <w:r w:rsidR="00363F66">
        <w:rPr>
          <w:color w:val="000000" w:themeColor="text1"/>
        </w:rPr>
        <w:t xml:space="preserve">t bi-weekly via conference call.  When the pandemic has subsided, </w:t>
      </w:r>
      <w:r w:rsidRPr="00405681">
        <w:rPr>
          <w:color w:val="000000" w:themeColor="text1"/>
        </w:rPr>
        <w:t xml:space="preserve">one face-to-face meeting </w:t>
      </w:r>
      <w:r w:rsidR="00363F66">
        <w:rPr>
          <w:color w:val="000000" w:themeColor="text1"/>
        </w:rPr>
        <w:t xml:space="preserve">will begin again </w:t>
      </w:r>
      <w:r w:rsidRPr="00405681">
        <w:rPr>
          <w:color w:val="000000" w:themeColor="text1"/>
        </w:rPr>
        <w:t xml:space="preserve">to further enhance communication and ensure consistency in processes. </w:t>
      </w:r>
      <w:r>
        <w:rPr>
          <w:color w:val="000000" w:themeColor="text1"/>
        </w:rPr>
        <w:t xml:space="preserve">Regional </w:t>
      </w:r>
      <w:r w:rsidRPr="00405681">
        <w:t xml:space="preserve">Managers and </w:t>
      </w:r>
      <w:r>
        <w:t>QAR</w:t>
      </w:r>
      <w:r w:rsidRPr="00405681">
        <w:t xml:space="preserve">s continue to participate in rigorous field and file review reliability testing, and </w:t>
      </w:r>
      <w:r>
        <w:t>use</w:t>
      </w:r>
      <w:r w:rsidRPr="00405681">
        <w:t xml:space="preserve"> bi-weekly conference calls </w:t>
      </w:r>
      <w:r>
        <w:t xml:space="preserve">to </w:t>
      </w:r>
      <w:r w:rsidRPr="00405681">
        <w:t>enhance training and reliability efforts through discussion of real s</w:t>
      </w:r>
      <w:r>
        <w:t xml:space="preserve">ituations and review questions. </w:t>
      </w:r>
    </w:p>
    <w:p w14:paraId="1F945C3E" w14:textId="77777777" w:rsidR="00F34C75" w:rsidRPr="00405681" w:rsidRDefault="00F34C75" w:rsidP="00F34C75">
      <w:pPr>
        <w:pStyle w:val="Heading2"/>
      </w:pPr>
      <w:bookmarkStart w:id="60" w:name="_Toc530060384"/>
      <w:bookmarkStart w:id="61" w:name="_Toc64285546"/>
      <w:r w:rsidRPr="00405681">
        <w:t>Overall Review Findings</w:t>
      </w:r>
      <w:bookmarkEnd w:id="60"/>
      <w:bookmarkEnd w:id="61"/>
    </w:p>
    <w:p w14:paraId="0A56E580" w14:textId="2F0EF587" w:rsidR="00D10FB8" w:rsidRDefault="00F34C75" w:rsidP="00F34C75">
      <w:r w:rsidRPr="009A53AE">
        <w:t xml:space="preserve">Results from reviews completed this year indicate the majority of providers reviewed </w:t>
      </w:r>
      <w:r w:rsidR="00605590" w:rsidRPr="009A53AE">
        <w:t>were</w:t>
      </w:r>
      <w:r w:rsidRPr="009A53AE">
        <w:t xml:space="preserve"> in complian</w:t>
      </w:r>
      <w:r>
        <w:t>ce</w:t>
      </w:r>
      <w:r w:rsidRPr="00405681">
        <w:t xml:space="preserve"> </w:t>
      </w:r>
      <w:r w:rsidR="00BC5633">
        <w:t xml:space="preserve">with most requirements </w:t>
      </w:r>
      <w:r w:rsidRPr="00405681">
        <w:t xml:space="preserve">and individuals </w:t>
      </w:r>
      <w:r>
        <w:t>we</w:t>
      </w:r>
      <w:r w:rsidRPr="00405681">
        <w:t>re generally satisfied with th</w:t>
      </w:r>
      <w:r>
        <w:t>eir</w:t>
      </w:r>
      <w:r w:rsidRPr="00405681">
        <w:t xml:space="preserve"> services.</w:t>
      </w:r>
      <w:r>
        <w:t xml:space="preserve"> </w:t>
      </w:r>
      <w:r w:rsidR="00D10FB8">
        <w:t xml:space="preserve">Of </w:t>
      </w:r>
      <w:r w:rsidR="00906001">
        <w:t xml:space="preserve">note </w:t>
      </w:r>
      <w:r w:rsidR="00D10FB8">
        <w:t xml:space="preserve">is the decreased satisfaction </w:t>
      </w:r>
      <w:r w:rsidR="00906001">
        <w:t xml:space="preserve">people have with their involvement in the community.  </w:t>
      </w:r>
      <w:r w:rsidR="00D10FB8">
        <w:t xml:space="preserve">This </w:t>
      </w:r>
      <w:r w:rsidR="00906001">
        <w:t xml:space="preserve">is likely </w:t>
      </w:r>
      <w:r w:rsidR="00D10FB8">
        <w:t xml:space="preserve">directly related to the isolation and social distancing enforced due to the pandemic. </w:t>
      </w:r>
    </w:p>
    <w:p w14:paraId="586B1CBB" w14:textId="77777777" w:rsidR="00D10FB8" w:rsidRDefault="00D10FB8" w:rsidP="00F34C75"/>
    <w:p w14:paraId="19A38A98" w14:textId="62DDB7F9" w:rsidR="00F34C75" w:rsidRDefault="00CE2D2D" w:rsidP="00F34C75">
      <w:r>
        <w:t>On average</w:t>
      </w:r>
      <w:r w:rsidR="00F34C75">
        <w:t xml:space="preserve">, scores </w:t>
      </w:r>
      <w:r>
        <w:t xml:space="preserve">from the MLI were higher </w:t>
      </w:r>
      <w:r w:rsidR="00F34C75">
        <w:t>for supports than for outcomes</w:t>
      </w:r>
      <w:r>
        <w:t xml:space="preserve">. </w:t>
      </w:r>
      <w:r w:rsidR="007B0D3B" w:rsidRPr="007B0D3B">
        <w:t xml:space="preserve">Interview scores for people receiving services through CDC+ were higher than for people receiving services through the Waiver and </w:t>
      </w:r>
      <w:r w:rsidR="00F34C75" w:rsidRPr="007B0D3B">
        <w:t>WSCs scored higher on all components of the PDR than service providers.</w:t>
      </w:r>
      <w:r w:rsidRPr="007B0D3B">
        <w:t xml:space="preserve"> </w:t>
      </w:r>
    </w:p>
    <w:p w14:paraId="3208BB6B" w14:textId="77777777" w:rsidR="00F34C75" w:rsidRDefault="00F34C75" w:rsidP="00F34C75"/>
    <w:p w14:paraId="140AB551" w14:textId="6A009716" w:rsidR="00F34C75" w:rsidRPr="00405681" w:rsidRDefault="00F34C75" w:rsidP="00F34C75">
      <w:r w:rsidRPr="00405681">
        <w:t>The PCR consists of an interview wi</w:t>
      </w:r>
      <w:r>
        <w:t>th the person and an informal discussion with the person’s Support C</w:t>
      </w:r>
      <w:r w:rsidRPr="00405681">
        <w:t>oordinator, and a review o</w:t>
      </w:r>
      <w:r>
        <w:t>f the record maintained by the Support C</w:t>
      </w:r>
      <w:r w:rsidRPr="00405681">
        <w:t>oordinator</w:t>
      </w:r>
      <w:r>
        <w:t>/CDC+ Consultant</w:t>
      </w:r>
      <w:r w:rsidRPr="00405681">
        <w:t xml:space="preserve"> for that person. Results for the PCR components were similar to previous years and relatively high, </w:t>
      </w:r>
      <w:r w:rsidR="002F6837">
        <w:t>most</w:t>
      </w:r>
      <w:r w:rsidRPr="00405681">
        <w:t xml:space="preserve"> </w:t>
      </w:r>
      <w:r w:rsidRPr="006362A4">
        <w:t xml:space="preserve">over </w:t>
      </w:r>
      <w:r w:rsidRPr="008A425A">
        <w:t>90 percent.</w:t>
      </w:r>
      <w:r w:rsidR="007228A2" w:rsidRPr="008A425A">
        <w:t xml:space="preserve"> Outcome scores for people receiving services through the Waiver were </w:t>
      </w:r>
      <w:r w:rsidR="00FA37D4" w:rsidRPr="008A425A">
        <w:t>lowest, approximately 8</w:t>
      </w:r>
      <w:r w:rsidR="001F73A7" w:rsidRPr="008A425A">
        <w:t>9</w:t>
      </w:r>
      <w:r w:rsidR="00FA37D4" w:rsidRPr="008A425A">
        <w:t xml:space="preserve"> percent </w:t>
      </w:r>
      <w:r w:rsidR="00A53B28" w:rsidRPr="008A425A">
        <w:t>present</w:t>
      </w:r>
      <w:r w:rsidR="00FA37D4">
        <w:t xml:space="preserve"> </w:t>
      </w:r>
      <w:r w:rsidR="008A425A">
        <w:t>to date this</w:t>
      </w:r>
      <w:r w:rsidR="00FA37D4">
        <w:t xml:space="preserve"> year.</w:t>
      </w:r>
    </w:p>
    <w:p w14:paraId="79DA95CD" w14:textId="77777777" w:rsidR="00F34C75" w:rsidRPr="00405681" w:rsidRDefault="00F34C75" w:rsidP="00F34C75"/>
    <w:p w14:paraId="51B1CE36" w14:textId="77777777" w:rsidR="00F34C75" w:rsidRPr="00405681" w:rsidRDefault="00F34C75" w:rsidP="00F34C75">
      <w:pPr>
        <w:spacing w:line="240" w:lineRule="auto"/>
      </w:pPr>
      <w:r w:rsidRPr="00405681">
        <w:rPr>
          <w:noProof/>
        </w:rPr>
        <w:lastRenderedPageBreak/>
        <w:drawing>
          <wp:inline distT="0" distB="0" distL="0" distR="0" wp14:anchorId="560079F8" wp14:editId="44694C04">
            <wp:extent cx="5820355" cy="1558455"/>
            <wp:effectExtent l="0" t="0" r="0" b="4191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2D40C775" w14:textId="77777777" w:rsidR="00F34C75" w:rsidRDefault="00F34C75" w:rsidP="00F34C75"/>
    <w:p w14:paraId="2930A52D" w14:textId="1C70DAF7" w:rsidR="00F34C75" w:rsidRPr="00405681" w:rsidRDefault="00F34C75" w:rsidP="00F34C75">
      <w:r w:rsidRPr="00C85C14">
        <w:t>Results from the PDRs conducted with service providers and WSCs indicate providers were in compliance with most all aspects of the review, as shown in the following graphic. Each component of the PDR process reflects an average score of approximately 9</w:t>
      </w:r>
      <w:r w:rsidR="00C85C14" w:rsidRPr="00C85C14">
        <w:t>1</w:t>
      </w:r>
      <w:r w:rsidRPr="00C85C14">
        <w:t xml:space="preserve"> percent or higher.</w:t>
      </w:r>
      <w:r w:rsidR="00FA37D4" w:rsidRPr="00C85C14">
        <w:t xml:space="preserve"> There were no Observation scores.</w:t>
      </w:r>
    </w:p>
    <w:p w14:paraId="4A3D88BD" w14:textId="77777777" w:rsidR="00F34C75" w:rsidRPr="00405681" w:rsidRDefault="00F34C75" w:rsidP="00F34C75"/>
    <w:p w14:paraId="35B388E3" w14:textId="77777777" w:rsidR="00F34C75" w:rsidRPr="00405681" w:rsidRDefault="00F34C75" w:rsidP="00F34C75">
      <w:pPr>
        <w:spacing w:line="240" w:lineRule="auto"/>
      </w:pPr>
      <w:r w:rsidRPr="00405681">
        <w:rPr>
          <w:noProof/>
        </w:rPr>
        <w:drawing>
          <wp:inline distT="0" distB="0" distL="0" distR="0" wp14:anchorId="136CED5D" wp14:editId="68B94E70">
            <wp:extent cx="5920740" cy="1777365"/>
            <wp:effectExtent l="0" t="19050" r="3810" b="5143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43973838" w14:textId="77777777" w:rsidR="00F34C75" w:rsidRPr="00405681" w:rsidRDefault="00F34C75" w:rsidP="00F34C75"/>
    <w:p w14:paraId="1B548853" w14:textId="77777777" w:rsidR="00F34C75" w:rsidRDefault="00F34C75" w:rsidP="00F34C75">
      <w:pPr>
        <w:pStyle w:val="Heading2"/>
      </w:pPr>
      <w:bookmarkStart w:id="62" w:name="_Toc64285547"/>
      <w:r>
        <w:t>Recommendations</w:t>
      </w:r>
      <w:bookmarkEnd w:id="62"/>
    </w:p>
    <w:p w14:paraId="054DA502" w14:textId="77777777" w:rsidR="00F34C75" w:rsidRPr="00FA3157" w:rsidRDefault="00F34C75" w:rsidP="00F34C75">
      <w:pPr>
        <w:pStyle w:val="Heading3"/>
      </w:pPr>
      <w:bookmarkStart w:id="63" w:name="_Toc64285548"/>
      <w:r>
        <w:t>Safety</w:t>
      </w:r>
      <w:bookmarkEnd w:id="63"/>
    </w:p>
    <w:p w14:paraId="291C6D33" w14:textId="6EE4B076" w:rsidR="005D5B4C" w:rsidRDefault="00F34C75" w:rsidP="00F34C75">
      <w:r w:rsidRPr="008B292C">
        <w:t xml:space="preserve">Results </w:t>
      </w:r>
      <w:r w:rsidR="00B832B1" w:rsidRPr="008B292C">
        <w:t xml:space="preserve">from the MLI </w:t>
      </w:r>
      <w:r w:rsidRPr="008B292C">
        <w:t xml:space="preserve">are similar to </w:t>
      </w:r>
      <w:r w:rsidR="00B832B1" w:rsidRPr="008B292C">
        <w:t>previous years,</w:t>
      </w:r>
      <w:r w:rsidRPr="008B292C">
        <w:t xml:space="preserve"> </w:t>
      </w:r>
      <w:r w:rsidR="00FF022A" w:rsidRPr="008B292C">
        <w:t>indicating</w:t>
      </w:r>
      <w:r w:rsidR="007228A2" w:rsidRPr="008B292C">
        <w:t xml:space="preserve"> </w:t>
      </w:r>
      <w:r w:rsidRPr="008B292C">
        <w:t xml:space="preserve">Safety is the lowest scoring </w:t>
      </w:r>
      <w:r w:rsidR="00EF5A51" w:rsidRPr="008B292C">
        <w:t xml:space="preserve">outcome </w:t>
      </w:r>
      <w:r w:rsidRPr="008B292C">
        <w:t xml:space="preserve">area </w:t>
      </w:r>
      <w:r w:rsidR="00E52489" w:rsidRPr="008B292C">
        <w:t>for people receiving services</w:t>
      </w:r>
      <w:r w:rsidR="005E722E" w:rsidRPr="008B292C">
        <w:t>.</w:t>
      </w:r>
      <w:r w:rsidRPr="008B292C">
        <w:t xml:space="preserve"> </w:t>
      </w:r>
      <w:r w:rsidR="005E722E" w:rsidRPr="008B292C">
        <w:t xml:space="preserve">While most </w:t>
      </w:r>
      <w:r w:rsidR="00EF5A51" w:rsidRPr="008B292C">
        <w:t xml:space="preserve">service </w:t>
      </w:r>
      <w:r w:rsidR="005E722E" w:rsidRPr="008B292C">
        <w:t>provider</w:t>
      </w:r>
      <w:r w:rsidR="00E52489" w:rsidRPr="008B292C">
        <w:t>s</w:t>
      </w:r>
      <w:r w:rsidR="005E722E" w:rsidRPr="008B292C">
        <w:t xml:space="preserve"> and WSCs </w:t>
      </w:r>
      <w:r w:rsidR="00EF5A51" w:rsidRPr="008B292C">
        <w:t>offered supports to address safety</w:t>
      </w:r>
      <w:r w:rsidR="00EF5A51">
        <w:t xml:space="preserve"> and </w:t>
      </w:r>
      <w:r w:rsidR="005E722E">
        <w:t xml:space="preserve">had policies in place to </w:t>
      </w:r>
      <w:r w:rsidR="005D5B4C">
        <w:t>identify,</w:t>
      </w:r>
      <w:r w:rsidR="005E722E">
        <w:t xml:space="preserve"> address and report instances of </w:t>
      </w:r>
      <w:r w:rsidR="005D5B4C">
        <w:t>abuse, neglect and exploitation (</w:t>
      </w:r>
      <w:r w:rsidR="005E722E">
        <w:t>ANE</w:t>
      </w:r>
      <w:r w:rsidR="005D5B4C">
        <w:t>)</w:t>
      </w:r>
      <w:r w:rsidR="005E722E">
        <w:t>, individuals did not always understand what neglect or exploitation mean</w:t>
      </w:r>
      <w:r w:rsidR="005D5B4C">
        <w:t>,</w:t>
      </w:r>
      <w:r w:rsidR="005E722E">
        <w:t xml:space="preserve"> what to do if experiencing ANE</w:t>
      </w:r>
      <w:r w:rsidR="005D5B4C">
        <w:t xml:space="preserve">, or </w:t>
      </w:r>
      <w:r w:rsidR="00B832B1">
        <w:t xml:space="preserve">what </w:t>
      </w:r>
      <w:r w:rsidR="005E722E">
        <w:t>the different types of abuse</w:t>
      </w:r>
      <w:r w:rsidR="00B832B1">
        <w:t xml:space="preserve"> are</w:t>
      </w:r>
      <w:r w:rsidR="005E722E">
        <w:t>, such as physical or sexual</w:t>
      </w:r>
      <w:r>
        <w:t xml:space="preserve">. </w:t>
      </w:r>
      <w:r w:rsidR="005E722E">
        <w:t xml:space="preserve">Individuals </w:t>
      </w:r>
      <w:r w:rsidR="00B832B1">
        <w:t>continue to</w:t>
      </w:r>
      <w:r w:rsidR="005E722E">
        <w:t xml:space="preserve"> indicate they do not know how to use the </w:t>
      </w:r>
      <w:r w:rsidR="00A53B28">
        <w:t>A</w:t>
      </w:r>
      <w:r w:rsidR="005E722E">
        <w:t>buse Hot</w:t>
      </w:r>
      <w:r w:rsidR="00A53B28">
        <w:t>l</w:t>
      </w:r>
      <w:r w:rsidR="005E722E">
        <w:t xml:space="preserve">ine or how to find </w:t>
      </w:r>
      <w:r w:rsidR="00A53B28">
        <w:t>the number</w:t>
      </w:r>
      <w:r w:rsidR="005E722E">
        <w:t xml:space="preserve">. </w:t>
      </w:r>
    </w:p>
    <w:p w14:paraId="5602137A" w14:textId="77777777" w:rsidR="005D5B4C" w:rsidRDefault="005D5B4C" w:rsidP="00F34C75"/>
    <w:p w14:paraId="7A5F3C2B" w14:textId="25F7484A" w:rsidR="008212E0" w:rsidRDefault="008212E0" w:rsidP="00F34C75">
      <w:r>
        <w:t xml:space="preserve">Recommendation 1:  Qlarant should ensure issues surrounding the Abuse Hotline are discussed during the next Quality Council meeting.  Perhaps members could brainstorm ways to help ensure information about the abuse hotline and how to use it is provided to all people receiving services, in a way people with all communication styles can understand.  In addition, there may be some information that could be developed and disseminated to families to help reach people receiving services who live in a family home. </w:t>
      </w:r>
    </w:p>
    <w:p w14:paraId="3C4102B6" w14:textId="77777777" w:rsidR="008212E0" w:rsidRDefault="008212E0" w:rsidP="00F34C75"/>
    <w:p w14:paraId="1267E970" w14:textId="563BF816" w:rsidR="00F34C75" w:rsidRDefault="00F34C75" w:rsidP="00F34C75">
      <w:r>
        <w:lastRenderedPageBreak/>
        <w:t xml:space="preserve">Recommendation </w:t>
      </w:r>
      <w:r w:rsidR="008212E0">
        <w:t>2</w:t>
      </w:r>
      <w:r>
        <w:t xml:space="preserve">: </w:t>
      </w:r>
      <w:r w:rsidR="00B832B1">
        <w:t xml:space="preserve">A panel of people receiving services, and their families, </w:t>
      </w:r>
      <w:r w:rsidR="00E52489">
        <w:t xml:space="preserve">could be invited to QC to </w:t>
      </w:r>
      <w:r w:rsidR="00B832B1">
        <w:t>discuss issues surrounding ANE</w:t>
      </w:r>
      <w:r w:rsidR="00E52489">
        <w:t>.</w:t>
      </w:r>
      <w:r w:rsidR="00B832B1">
        <w:t xml:space="preserve"> This may be more effective when the council is able to meet face-to-face again. Discussion should include how to enhance people’s understanding of ANE and what action to take when faced with any type of ANE</w:t>
      </w:r>
      <w:r w:rsidR="008212E0">
        <w:t>, focusing on exploitation and neglect</w:t>
      </w:r>
      <w:r w:rsidR="00B832B1">
        <w:t xml:space="preserve">.  </w:t>
      </w:r>
    </w:p>
    <w:p w14:paraId="37731926" w14:textId="77777777" w:rsidR="00F34C75" w:rsidRDefault="00F34C75" w:rsidP="00F34C75"/>
    <w:p w14:paraId="559887C4" w14:textId="4C5D0BBF" w:rsidR="00F34C75" w:rsidRDefault="00F34C75" w:rsidP="00F34C75">
      <w:r>
        <w:t xml:space="preserve">Recommendation </w:t>
      </w:r>
      <w:r w:rsidR="008212E0">
        <w:t>3</w:t>
      </w:r>
      <w:r>
        <w:t>: Ensure education about ANE</w:t>
      </w:r>
      <w:r w:rsidR="00EB558C">
        <w:t>, specifically for neglect and exploitation,</w:t>
      </w:r>
      <w:r>
        <w:t xml:space="preserve"> is on the agenda for APD Regional provider meetings. Share best practices </w:t>
      </w:r>
      <w:r w:rsidR="00B832B1">
        <w:t>on how to ensure material is</w:t>
      </w:r>
      <w:r w:rsidR="00A53B28">
        <w:t xml:space="preserve"> individualized so </w:t>
      </w:r>
      <w:r>
        <w:t>the person understands, i.e., proper communication and individualized methods are used for the educational session.</w:t>
      </w:r>
      <w:r w:rsidR="001C2524">
        <w:t xml:space="preserve"> Place a focus on exploitation and neglect because most people do seem to understand what abuse means</w:t>
      </w:r>
      <w:r w:rsidR="00562B69">
        <w:t>.</w:t>
      </w:r>
    </w:p>
    <w:p w14:paraId="2898827E" w14:textId="77777777" w:rsidR="008212E0" w:rsidRDefault="008212E0" w:rsidP="00F34C75"/>
    <w:p w14:paraId="6A39FE9E" w14:textId="3B12A122" w:rsidR="00EB558C" w:rsidRDefault="00B832B1" w:rsidP="00EB558C">
      <w:pPr>
        <w:pStyle w:val="Heading3"/>
      </w:pPr>
      <w:bookmarkStart w:id="64" w:name="_Toc64285549"/>
      <w:r>
        <w:t>Possible Impact from the Corona</w:t>
      </w:r>
      <w:r w:rsidR="00015420">
        <w:t>v</w:t>
      </w:r>
      <w:r>
        <w:t>irus Pandemic</w:t>
      </w:r>
      <w:bookmarkEnd w:id="64"/>
    </w:p>
    <w:p w14:paraId="5098D4F7" w14:textId="694E5E06" w:rsidR="001C61DF" w:rsidRDefault="001C61DF" w:rsidP="00F34C75">
      <w:r w:rsidRPr="00B71C89">
        <w:t>Several findings in the 1</w:t>
      </w:r>
      <w:r w:rsidRPr="00B71C89">
        <w:rPr>
          <w:vertAlign w:val="superscript"/>
        </w:rPr>
        <w:t>st</w:t>
      </w:r>
      <w:r w:rsidRPr="00B71C89">
        <w:t xml:space="preserve"> </w:t>
      </w:r>
      <w:r w:rsidR="001E59BE">
        <w:t xml:space="preserve">two </w:t>
      </w:r>
      <w:r w:rsidRPr="00B71C89">
        <w:t>quarter</w:t>
      </w:r>
      <w:r w:rsidR="001E59BE">
        <w:t>s</w:t>
      </w:r>
      <w:r w:rsidRPr="00B71C89">
        <w:t xml:space="preserve"> may reflect the changes in our lives due to the pandemic</w:t>
      </w:r>
      <w:r w:rsidR="001F6A6D" w:rsidRPr="00B71C89">
        <w:t xml:space="preserve">. </w:t>
      </w:r>
      <w:r w:rsidR="001F6A6D">
        <w:t>To date, areas of</w:t>
      </w:r>
      <w:r w:rsidR="00B71C89">
        <w:t xml:space="preserve"> possible</w:t>
      </w:r>
      <w:r w:rsidR="001F6A6D">
        <w:t xml:space="preserve"> </w:t>
      </w:r>
      <w:r w:rsidR="00B71C89">
        <w:t xml:space="preserve">impact </w:t>
      </w:r>
      <w:r w:rsidR="001F6A6D">
        <w:t>include the following:</w:t>
      </w:r>
    </w:p>
    <w:p w14:paraId="3ABB46F7" w14:textId="63BEA95A" w:rsidR="001C61DF" w:rsidRDefault="001C61DF" w:rsidP="00413DCD">
      <w:pPr>
        <w:pStyle w:val="ListParagraph"/>
        <w:numPr>
          <w:ilvl w:val="0"/>
          <w:numId w:val="47"/>
        </w:numPr>
      </w:pPr>
      <w:r>
        <w:t>Interview scores for My Social Life were the second lowest scoring area, and showed a large difference between the outcome achieved (84.6%) and the support provided (97.5%).</w:t>
      </w:r>
      <w:r w:rsidR="00413DCD">
        <w:t xml:space="preserve"> Clearly, </w:t>
      </w:r>
      <w:r w:rsidR="00B71C89">
        <w:t>as with the general population, people receiving services through the iBudget Waiver are not accessing the</w:t>
      </w:r>
      <w:r w:rsidR="00413DCD">
        <w:t xml:space="preserve"> community or participating in community events (or events have been canceled)</w:t>
      </w:r>
      <w:r w:rsidR="00B71C89">
        <w:t xml:space="preserve"> as desired</w:t>
      </w:r>
      <w:r w:rsidR="00413DCD">
        <w:t xml:space="preserve">, and the data reflect this. </w:t>
      </w:r>
    </w:p>
    <w:p w14:paraId="3EEE0FF6" w14:textId="59969A6C" w:rsidR="001C61DF" w:rsidRDefault="001C61DF" w:rsidP="00413DCD">
      <w:pPr>
        <w:pStyle w:val="ListParagraph"/>
        <w:numPr>
          <w:ilvl w:val="0"/>
          <w:numId w:val="47"/>
        </w:numPr>
      </w:pPr>
      <w:r>
        <w:t>Satisfaction with participation and involvement in the community was the only area</w:t>
      </w:r>
      <w:r w:rsidR="00413DCD">
        <w:t>,</w:t>
      </w:r>
      <w:r>
        <w:t xml:space="preserve"> for which satisfaction was measured</w:t>
      </w:r>
      <w:r w:rsidR="00413DCD">
        <w:t>,</w:t>
      </w:r>
      <w:r>
        <w:t xml:space="preserve"> that fell below 96 percent</w:t>
      </w:r>
      <w:r w:rsidR="00B71C89">
        <w:t>, 86.2percent for the Waiver and 88.1 percent for CDC+</w:t>
      </w:r>
      <w:r>
        <w:t xml:space="preserve">. </w:t>
      </w:r>
      <w:r w:rsidR="00413DCD">
        <w:t>While supports seem to be excellent and providers may be offering clever and safe alternative</w:t>
      </w:r>
      <w:r w:rsidR="002A3A99">
        <w:t xml:space="preserve"> activities</w:t>
      </w:r>
      <w:r w:rsidR="00413DCD">
        <w:t xml:space="preserve">, people are likely expressing dissatisfaction because they are not participating as they used to or as they want to.   </w:t>
      </w:r>
    </w:p>
    <w:p w14:paraId="01AF05DE" w14:textId="77777777" w:rsidR="001E59BE" w:rsidRDefault="001E59BE" w:rsidP="001E59BE">
      <w:pPr>
        <w:pStyle w:val="ListParagraph"/>
      </w:pPr>
    </w:p>
    <w:p w14:paraId="229793DD" w14:textId="25AEA1D2" w:rsidR="001E59BE" w:rsidRDefault="001E59BE" w:rsidP="001E59BE">
      <w:pPr>
        <w:pStyle w:val="ListParagraph"/>
        <w:ind w:left="0"/>
      </w:pPr>
      <w:r>
        <w:t xml:space="preserve">Recommendation 4: </w:t>
      </w:r>
      <w:r w:rsidRPr="00B71C89">
        <w:t xml:space="preserve">Qlarant </w:t>
      </w:r>
      <w:r w:rsidR="00F35BE0">
        <w:t>c</w:t>
      </w:r>
      <w:r w:rsidRPr="00B71C89">
        <w:t>ould discuss these areas with the Quality Assurance Reviewers (QARs) who continue to offer assistance</w:t>
      </w:r>
      <w:r>
        <w:t xml:space="preserve"> to providers and Support Coordinators. </w:t>
      </w:r>
      <w:r w:rsidR="00F35BE0">
        <w:t xml:space="preserve">Perhaps more </w:t>
      </w:r>
      <w:r>
        <w:t>shar</w:t>
      </w:r>
      <w:r w:rsidR="00F35BE0">
        <w:t>ing of</w:t>
      </w:r>
      <w:r>
        <w:t xml:space="preserve"> innovative ideas </w:t>
      </w:r>
      <w:r w:rsidR="00F35BE0">
        <w:t xml:space="preserve">QARs have seen </w:t>
      </w:r>
      <w:r>
        <w:t xml:space="preserve">across the state </w:t>
      </w:r>
      <w:r w:rsidR="00F35BE0">
        <w:t xml:space="preserve">could help enhance other providers’ systems </w:t>
      </w:r>
      <w:r>
        <w:t>to ensure the highest quality of life in the midst of this pandemic.</w:t>
      </w:r>
    </w:p>
    <w:p w14:paraId="0C594ABF" w14:textId="77777777" w:rsidR="001E59BE" w:rsidRDefault="001E59BE" w:rsidP="001E59BE">
      <w:pPr>
        <w:pStyle w:val="ListParagraph"/>
        <w:ind w:left="0"/>
      </w:pPr>
    </w:p>
    <w:p w14:paraId="4A0E2BB9" w14:textId="77777777" w:rsidR="00F34C75" w:rsidRDefault="00F34C75" w:rsidP="00F34C75">
      <w:pPr>
        <w:pStyle w:val="Heading3"/>
      </w:pPr>
      <w:bookmarkStart w:id="65" w:name="_Toc64285550"/>
      <w:r>
        <w:t>Medication Use</w:t>
      </w:r>
      <w:bookmarkEnd w:id="65"/>
    </w:p>
    <w:p w14:paraId="131A71AC" w14:textId="5A991A28" w:rsidR="00B6609B" w:rsidRDefault="00F34C75" w:rsidP="00F34C75">
      <w:r w:rsidRPr="00552E30">
        <w:t xml:space="preserve">The rate of individuals taking </w:t>
      </w:r>
      <w:r w:rsidR="00010953" w:rsidRPr="00552E30">
        <w:t>f</w:t>
      </w:r>
      <w:r w:rsidR="000F504A" w:rsidRPr="00552E30">
        <w:t>ive</w:t>
      </w:r>
      <w:r w:rsidRPr="00552E30">
        <w:t xml:space="preserve"> or more prescription medications ha</w:t>
      </w:r>
      <w:r w:rsidR="002C7D44" w:rsidRPr="00552E30">
        <w:t>s</w:t>
      </w:r>
      <w:r w:rsidRPr="00552E30">
        <w:t xml:space="preserve"> remained fairly constant over the last several years, approximately </w:t>
      </w:r>
      <w:r w:rsidR="000F504A" w:rsidRPr="00552E30">
        <w:t xml:space="preserve">40 percent </w:t>
      </w:r>
      <w:r w:rsidRPr="00552E30">
        <w:t>of people interviewed taking multiple medications</w:t>
      </w:r>
      <w:r w:rsidR="009540E4" w:rsidRPr="00552E30">
        <w:t xml:space="preserve"> (</w:t>
      </w:r>
      <w:r w:rsidR="000F504A" w:rsidRPr="00552E30">
        <w:t>5</w:t>
      </w:r>
      <w:r w:rsidR="009540E4" w:rsidRPr="00552E30">
        <w:t xml:space="preserve"> or</w:t>
      </w:r>
      <w:r w:rsidR="009540E4">
        <w:t xml:space="preserve"> more)</w:t>
      </w:r>
      <w:r>
        <w:t>.</w:t>
      </w:r>
      <w:r w:rsidR="00DF745D">
        <w:rPr>
          <w:rStyle w:val="FootnoteReference"/>
        </w:rPr>
        <w:footnoteReference w:id="15"/>
      </w:r>
      <w:r>
        <w:t xml:space="preserve"> </w:t>
      </w:r>
      <w:r w:rsidR="00F4450A">
        <w:t xml:space="preserve">However, people in group homes were much more likely to take multiple medications than people living in any other residential setting. The current rate of close to 60 percent appears to be an increase from 37 percent during the first three quarters of Year 3 (July 2019 – March 2020), pre-pandemic data. It is not clear why there should be such a </w:t>
      </w:r>
      <w:r w:rsidR="00F4450A">
        <w:lastRenderedPageBreak/>
        <w:t xml:space="preserve">large increase for people in these living situations. It appears when comparing these two time periods, some people have moved from independent to family homes, particularly people using CDC+, a decrease of people living independently from 11 percent to approximately seven percent; however, the proportion of people living in a group home has remained fairly constant, approximately 35 percent.  </w:t>
      </w:r>
    </w:p>
    <w:p w14:paraId="4791D9C3" w14:textId="77777777" w:rsidR="00B6609B" w:rsidRDefault="00B6609B" w:rsidP="00F34C75"/>
    <w:p w14:paraId="7DCEB81A" w14:textId="77777777" w:rsidR="00492E02" w:rsidRDefault="00492E02" w:rsidP="00F34C75">
      <w:r>
        <w:t xml:space="preserve">Recommendation 5:  It appears people living in group home settings are not only forced, as we all are, to limit community activity and outings, but they may also be subject to additional medications, possibly due to the increased isolation. Qlarant should drill down into the data and help determine what types of medications are being used, compared to pre-pandemic data, and what other factors may be at play here that are driving the increased medication rates for group home residents.   </w:t>
      </w:r>
    </w:p>
    <w:p w14:paraId="1BA01BEF" w14:textId="77777777" w:rsidR="00492E02" w:rsidRDefault="00492E02" w:rsidP="00F34C75"/>
    <w:p w14:paraId="6A837CFD" w14:textId="23D5D062" w:rsidR="00E83E5D" w:rsidRDefault="00552E30" w:rsidP="00F34C75">
      <w:r>
        <w:t xml:space="preserve">In addition, </w:t>
      </w:r>
      <w:r w:rsidR="00492E02">
        <w:t>r</w:t>
      </w:r>
      <w:r w:rsidR="00F4450A">
        <w:t xml:space="preserve">esults have also consistently indicated many people receiving services do not understand their medications and most people who did not meet this critical standard were not aware of what they took, why, or what the potential side effects are of the medications they take. It is essential for individuals receiving services to understand their medications in order to more effectively control their own health care. </w:t>
      </w:r>
    </w:p>
    <w:p w14:paraId="1CB04382" w14:textId="66D63153" w:rsidR="00F34C75" w:rsidRDefault="009026B9" w:rsidP="00F34C75">
      <w:r>
        <w:t xml:space="preserve">  </w:t>
      </w:r>
    </w:p>
    <w:p w14:paraId="60340378" w14:textId="70790614" w:rsidR="00F34C75" w:rsidRDefault="00F34C75" w:rsidP="00F34C75">
      <w:r>
        <w:t xml:space="preserve">Recommendation </w:t>
      </w:r>
      <w:r w:rsidR="00E46691">
        <w:t>6</w:t>
      </w:r>
      <w:r>
        <w:t xml:space="preserve">: </w:t>
      </w:r>
      <w:r w:rsidR="00062769">
        <w:t xml:space="preserve"> </w:t>
      </w:r>
      <w:r w:rsidR="002C7D44">
        <w:t xml:space="preserve">The ability to understand complex medications and diagnoses is difficult for many people, with or without a disability. The Quality Council </w:t>
      </w:r>
      <w:r w:rsidR="00E46691">
        <w:t>c</w:t>
      </w:r>
      <w:r w:rsidR="002C7D44">
        <w:t xml:space="preserve">ould consider brainstorming ways to present </w:t>
      </w:r>
      <w:r w:rsidR="007228A2">
        <w:t xml:space="preserve">information </w:t>
      </w:r>
      <w:r w:rsidR="007C5C7C">
        <w:t>about providing education on medications and research resources and different ways to help disseminate the information</w:t>
      </w:r>
      <w:r w:rsidR="002C7D44">
        <w:t>.</w:t>
      </w:r>
      <w:r w:rsidR="009026B9">
        <w:t xml:space="preserve"> </w:t>
      </w:r>
    </w:p>
    <w:p w14:paraId="2722C7D5" w14:textId="1EEBB585" w:rsidR="00552E30" w:rsidRDefault="00552E30" w:rsidP="00F34C75"/>
    <w:p w14:paraId="539F7AD8" w14:textId="31747C8B" w:rsidR="00EB7CA4" w:rsidRDefault="00EB7CA4" w:rsidP="00EB7CA4">
      <w:pPr>
        <w:pStyle w:val="Heading3"/>
      </w:pPr>
      <w:bookmarkStart w:id="66" w:name="_Toc64285551"/>
      <w:r>
        <w:t>Pre-Support Plan Meeting</w:t>
      </w:r>
      <w:bookmarkEnd w:id="66"/>
    </w:p>
    <w:p w14:paraId="24FB3E0B" w14:textId="4D4E3943" w:rsidR="00EB7CA4" w:rsidRDefault="00EB7CA4" w:rsidP="00F34C75">
      <w:r>
        <w:t xml:space="preserve">The Pre-Support Plan meeting is a critical aspect of a person’s care and </w:t>
      </w:r>
      <w:r w:rsidR="00053597">
        <w:t>is used</w:t>
      </w:r>
      <w:r>
        <w:t xml:space="preserve"> to help the person understand what will be discussed during the Individual Support Plan meeting, when and where to have that meeting, and who should be involved. This time can also be used to help individuals with IDD and their families understand medications and what it means to direct their own health care.  Documentation that demonstrates WSCs</w:t>
      </w:r>
      <w:r w:rsidR="00EA5BBE">
        <w:t xml:space="preserve"> </w:t>
      </w:r>
      <w:r w:rsidR="00053597">
        <w:t xml:space="preserve">are conducting these meetings has often not been present in the record. This indicator showed a decline of seven points since Y3Q4 (April – June 2020) to 81.5 percent, the lowest scoring area of the WSC record review.  </w:t>
      </w:r>
    </w:p>
    <w:p w14:paraId="4CF78DF0" w14:textId="1F3C7C10" w:rsidR="00053597" w:rsidRDefault="00053597" w:rsidP="00F34C75"/>
    <w:p w14:paraId="6E70280F" w14:textId="0E147AD7" w:rsidR="00053597" w:rsidRDefault="00053597" w:rsidP="00F34C75">
      <w:r>
        <w:t>Recommendation 7:  Starting in July</w:t>
      </w:r>
      <w:r w:rsidR="00B24DE6">
        <w:t xml:space="preserve"> 2021</w:t>
      </w:r>
      <w:r>
        <w:t xml:space="preserve">, all Support Coordinators will be part of an agency of at least four coordinators. </w:t>
      </w:r>
      <w:r w:rsidR="00492E02">
        <w:t xml:space="preserve">New training modules are being developed for all WSCs to take that include Person Centered Planning. </w:t>
      </w:r>
      <w:r>
        <w:t xml:space="preserve">APD could </w:t>
      </w:r>
      <w:r w:rsidR="00492E02">
        <w:t>ensure these trainings include</w:t>
      </w:r>
      <w:r>
        <w:t xml:space="preserve"> education on the importance of the Pre-Support Plan meeting, information about topics for discussion during the meeting, and the requirements for conducting this meeting</w:t>
      </w:r>
      <w:r w:rsidR="00492E02">
        <w:t xml:space="preserve">, including how the meeting does not have to be completed at one time but can be conducted using several smaller time periods that may be more appropriate for the person. </w:t>
      </w:r>
    </w:p>
    <w:p w14:paraId="5CDAA248" w14:textId="3CEB9BC7" w:rsidR="00EB7CA4" w:rsidRDefault="00EB7CA4" w:rsidP="00F34C75">
      <w:r>
        <w:t xml:space="preserve">  </w:t>
      </w:r>
    </w:p>
    <w:p w14:paraId="35C3F909" w14:textId="030FAF77" w:rsidR="007C5C7C" w:rsidRDefault="007C5C7C" w:rsidP="007C5C7C">
      <w:pPr>
        <w:pStyle w:val="Heading3"/>
      </w:pPr>
      <w:bookmarkStart w:id="67" w:name="_Toc64285552"/>
      <w:r>
        <w:lastRenderedPageBreak/>
        <w:t>CDC+ Representatives</w:t>
      </w:r>
      <w:bookmarkEnd w:id="67"/>
    </w:p>
    <w:p w14:paraId="7D59609B" w14:textId="4E2F600F" w:rsidR="005A6961" w:rsidRDefault="005A6961" w:rsidP="00F34C75">
      <w:r>
        <w:t>CDC+</w:t>
      </w:r>
      <w:r w:rsidR="007C5C7C">
        <w:t xml:space="preserve"> Representatives are required to maintain certain documentation about the providers they hire a</w:t>
      </w:r>
      <w:r>
        <w:t>nd receipts for money they spend on behalf of the person receiving services through the CDC+ program.</w:t>
      </w:r>
      <w:r w:rsidR="007C5C7C">
        <w:t xml:space="preserve"> Since Qlarant starting reviewing </w:t>
      </w:r>
      <w:r>
        <w:t xml:space="preserve">this </w:t>
      </w:r>
      <w:r w:rsidR="007C5C7C">
        <w:t xml:space="preserve">documentation </w:t>
      </w:r>
      <w:r>
        <w:t>in 2010, results have improved significantly. For example, scores for background screening have increased from approximately 36 percent to the current rate of 81 percent. However, this indicator has typically been one of the lowest scoring areas for Representatives and has not shown much improvement for several years. The lowest scoring area for Representatives indi</w:t>
      </w:r>
      <w:r w:rsidR="00682328">
        <w:t>cated</w:t>
      </w:r>
      <w:r>
        <w:t xml:space="preserve"> approximately 15 percent did not have documentation to support reconciliation of monthly billing statements.  </w:t>
      </w:r>
    </w:p>
    <w:p w14:paraId="23346DF2" w14:textId="77777777" w:rsidR="005A6961" w:rsidRDefault="005A6961" w:rsidP="00F34C75"/>
    <w:p w14:paraId="0BCB1BEF" w14:textId="171920D2" w:rsidR="007C5C7C" w:rsidRDefault="005A6961" w:rsidP="00F34C75">
      <w:r>
        <w:t xml:space="preserve">Recommendation 8: </w:t>
      </w:r>
      <w:r w:rsidR="00157EE2">
        <w:t xml:space="preserve">Training for CDC+ Representatives may need to be reviewed and possibly revised to include additional education about maintaining documentation for background screening for people providing services to the person and how to reconcile monthly statements and keep that in the documentation. Perhaps this training could include some examples from Representatives who have good systems in place to achieve either of these requirements. </w:t>
      </w:r>
      <w:r>
        <w:t xml:space="preserve">  </w:t>
      </w:r>
    </w:p>
    <w:p w14:paraId="38FC8291" w14:textId="77777777" w:rsidR="007C5C7C" w:rsidRDefault="007C5C7C" w:rsidP="00F34C75"/>
    <w:p w14:paraId="37D08F68" w14:textId="4B786F4B" w:rsidR="00F34C75" w:rsidRPr="000E5CAB" w:rsidRDefault="00F34C75" w:rsidP="00F34C75">
      <w:pPr>
        <w:pStyle w:val="Heading3"/>
      </w:pPr>
      <w:bookmarkStart w:id="68" w:name="_Toc64285553"/>
      <w:r>
        <w:t>Potential Billing Discrepancies</w:t>
      </w:r>
      <w:bookmarkEnd w:id="68"/>
    </w:p>
    <w:p w14:paraId="34F9F102" w14:textId="7D4AA5F1" w:rsidR="003D76BE" w:rsidRDefault="00F34C75" w:rsidP="00F34C75">
      <w:r w:rsidRPr="008B1072">
        <w:t>During the</w:t>
      </w:r>
      <w:r w:rsidRPr="00730D5B">
        <w:t xml:space="preserve"> PDR, many standards are used to assess the accuracy of the provider’s billing in the claims data. </w:t>
      </w:r>
      <w:r w:rsidR="003D76BE">
        <w:t>Service providers perform considerably worse than WSCs</w:t>
      </w:r>
      <w:r w:rsidR="00206052">
        <w:t xml:space="preserve"> and </w:t>
      </w:r>
      <w:r w:rsidR="003D76BE">
        <w:t>small providers have a higher billing discrepancy rate than medium or large provider</w:t>
      </w:r>
      <w:r w:rsidR="00206052">
        <w:t>s</w:t>
      </w:r>
      <w:r w:rsidR="003D76BE">
        <w:t>. The smaller providers may not have the ability to keep up with paper work, especially if working alone.</w:t>
      </w:r>
      <w:r w:rsidR="00077A33">
        <w:t xml:space="preserve"> </w:t>
      </w:r>
      <w:r w:rsidR="00F57BAD">
        <w:t>T</w:t>
      </w:r>
      <w:r w:rsidR="00F57BAD" w:rsidRPr="00A40F3B">
        <w:t xml:space="preserve">he lowest compliance </w:t>
      </w:r>
      <w:r w:rsidR="00F57BAD">
        <w:t xml:space="preserve">was </w:t>
      </w:r>
      <w:r w:rsidR="00077A33">
        <w:t xml:space="preserve">for providers offering </w:t>
      </w:r>
      <w:r w:rsidR="00F57BAD">
        <w:t>Personal Supports (</w:t>
      </w:r>
      <w:r w:rsidR="00157EE2">
        <w:t>68.2</w:t>
      </w:r>
      <w:r w:rsidR="00F57BAD">
        <w:t>%), Respite (</w:t>
      </w:r>
      <w:r w:rsidR="00D243D7">
        <w:t>72.0</w:t>
      </w:r>
      <w:r w:rsidR="00F57BAD">
        <w:t xml:space="preserve">%), and </w:t>
      </w:r>
      <w:r w:rsidR="00F57BAD" w:rsidRPr="00A40F3B">
        <w:t>Supported Living Coaching (</w:t>
      </w:r>
      <w:r w:rsidR="00D243D7">
        <w:t>67.6</w:t>
      </w:r>
      <w:r w:rsidR="00F57BAD">
        <w:t>%).</w:t>
      </w:r>
    </w:p>
    <w:p w14:paraId="6D0C3586" w14:textId="77777777" w:rsidR="00077A33" w:rsidRDefault="00077A33" w:rsidP="00F34C75"/>
    <w:p w14:paraId="0B31538E" w14:textId="10BF932B" w:rsidR="00206052" w:rsidRDefault="00F34C75" w:rsidP="00F34C75">
      <w:r w:rsidRPr="00730D5B">
        <w:t xml:space="preserve">Recommendation </w:t>
      </w:r>
      <w:r w:rsidR="00157EE2">
        <w:t>9</w:t>
      </w:r>
      <w:r w:rsidR="00D8090B">
        <w:t>:</w:t>
      </w:r>
      <w:r w:rsidR="00A177DF">
        <w:t xml:space="preserve">  </w:t>
      </w:r>
      <w:r w:rsidR="00D243D7">
        <w:t>Qlarant could work with APD and AHCA to organize a web-based focus group discussion with providers who offer these three services (Personal Supports, Respite and Support Living Coaching) to discuss the billing discrepancy indicators and identify barriers to meeting these standards. Subsequent to this meeting, a t</w:t>
      </w:r>
      <w:r w:rsidR="00A177DF">
        <w:t xml:space="preserve">raining could be developed that targets specific issues for </w:t>
      </w:r>
      <w:r w:rsidR="00D243D7">
        <w:t xml:space="preserve">providers of these </w:t>
      </w:r>
      <w:r w:rsidR="00A177DF">
        <w:t xml:space="preserve">three services.  </w:t>
      </w:r>
      <w:r w:rsidR="00D8090B">
        <w:t xml:space="preserve"> </w:t>
      </w:r>
    </w:p>
    <w:p w14:paraId="4C6EFF4E" w14:textId="5A084AFB" w:rsidR="00F34C75" w:rsidRPr="00730D5B" w:rsidRDefault="00206052" w:rsidP="00F34C75">
      <w:r>
        <w:t xml:space="preserve"> </w:t>
      </w:r>
      <w:r w:rsidR="008B1072">
        <w:t xml:space="preserve">  </w:t>
      </w:r>
    </w:p>
    <w:p w14:paraId="4F897602" w14:textId="77777777" w:rsidR="00F34C75" w:rsidRPr="00730D5B" w:rsidRDefault="00F34C75" w:rsidP="00F34C75">
      <w:pPr>
        <w:keepNext/>
        <w:keepLines/>
        <w:spacing w:before="200"/>
        <w:outlineLvl w:val="1"/>
        <w:rPr>
          <w:rFonts w:asciiTheme="majorHAnsi" w:eastAsiaTheme="majorEastAsia" w:hAnsiTheme="majorHAnsi" w:cstheme="majorBidi"/>
          <w:b/>
          <w:bCs/>
          <w:color w:val="833C0B" w:themeColor="accent2" w:themeShade="80"/>
          <w:sz w:val="26"/>
          <w:szCs w:val="26"/>
        </w:rPr>
      </w:pPr>
      <w:bookmarkStart w:id="69" w:name="_Toc530060387"/>
      <w:bookmarkStart w:id="70" w:name="_Toc64285554"/>
      <w:r w:rsidRPr="00730D5B">
        <w:rPr>
          <w:rFonts w:asciiTheme="majorHAnsi" w:eastAsiaTheme="majorEastAsia" w:hAnsiTheme="majorHAnsi" w:cstheme="majorBidi"/>
          <w:b/>
          <w:bCs/>
          <w:color w:val="833C0B" w:themeColor="accent2" w:themeShade="80"/>
          <w:sz w:val="26"/>
          <w:szCs w:val="26"/>
        </w:rPr>
        <w:t>S</w:t>
      </w:r>
      <w:r w:rsidRPr="00F14329">
        <w:rPr>
          <w:rStyle w:val="Heading2Char"/>
        </w:rPr>
        <w:t>ummary</w:t>
      </w:r>
      <w:bookmarkEnd w:id="69"/>
      <w:bookmarkEnd w:id="70"/>
    </w:p>
    <w:p w14:paraId="59F16E95" w14:textId="7BDACFAA" w:rsidR="003B61B0" w:rsidRDefault="00F34C75" w:rsidP="00AE5516">
      <w:r>
        <w:t>F</w:t>
      </w:r>
      <w:r w:rsidRPr="00730D5B">
        <w:t xml:space="preserve">indings from reviews completed during the </w:t>
      </w:r>
      <w:r w:rsidR="00A177DF">
        <w:t>1</w:t>
      </w:r>
      <w:r w:rsidR="00A177DF" w:rsidRPr="00A177DF">
        <w:rPr>
          <w:vertAlign w:val="superscript"/>
        </w:rPr>
        <w:t>st</w:t>
      </w:r>
      <w:r w:rsidR="00A177DF">
        <w:t xml:space="preserve"> </w:t>
      </w:r>
      <w:r w:rsidR="00A72208">
        <w:t xml:space="preserve">two </w:t>
      </w:r>
      <w:r w:rsidR="00A177DF">
        <w:t>quarter</w:t>
      </w:r>
      <w:r w:rsidR="00A72208">
        <w:t>s</w:t>
      </w:r>
      <w:r w:rsidR="00A177DF">
        <w:t xml:space="preserve"> of FY</w:t>
      </w:r>
      <w:r w:rsidR="0037076B">
        <w:t xml:space="preserve"> 20</w:t>
      </w:r>
      <w:r w:rsidR="00A177DF">
        <w:t>21</w:t>
      </w:r>
      <w:r w:rsidR="00A90642">
        <w:t xml:space="preserve"> </w:t>
      </w:r>
      <w:r w:rsidRPr="00730D5B">
        <w:t>were generally positive</w:t>
      </w:r>
      <w:r>
        <w:t xml:space="preserve">. </w:t>
      </w:r>
      <w:r w:rsidRPr="00E6619D">
        <w:t xml:space="preserve">Compliance rates on average </w:t>
      </w:r>
      <w:r>
        <w:t>remain</w:t>
      </w:r>
      <w:r w:rsidR="00A177DF">
        <w:t>ed</w:t>
      </w:r>
      <w:r w:rsidRPr="00E6619D">
        <w:t xml:space="preserve"> high</w:t>
      </w:r>
      <w:r w:rsidR="00A177DF">
        <w:t xml:space="preserve">, even in the midst of a global pandemic.  </w:t>
      </w:r>
      <w:r w:rsidR="003B61B0">
        <w:t xml:space="preserve">Qlarant, AHCA and </w:t>
      </w:r>
      <w:r w:rsidR="00A90642">
        <w:t xml:space="preserve">APD </w:t>
      </w:r>
      <w:r w:rsidR="00A72208">
        <w:t xml:space="preserve">continue to revise and update process to help </w:t>
      </w:r>
      <w:r w:rsidR="00A90642">
        <w:t xml:space="preserve">keep providers, individuals receiving services, and Qlarant’s reviewers safe and healthy. Through </w:t>
      </w:r>
      <w:r w:rsidR="00A72208">
        <w:t xml:space="preserve">these </w:t>
      </w:r>
      <w:r w:rsidR="00A90642">
        <w:t>effort</w:t>
      </w:r>
      <w:r w:rsidR="00A72208">
        <w:t>s</w:t>
      </w:r>
      <w:r w:rsidR="00A90642">
        <w:t xml:space="preserve"> the state </w:t>
      </w:r>
      <w:r w:rsidR="00A72208">
        <w:t xml:space="preserve">has been </w:t>
      </w:r>
      <w:r w:rsidR="00A90642">
        <w:t xml:space="preserve">able to continue oversight of this important program and at the same time help providers continue to offer critical services to a vulnerable population. </w:t>
      </w:r>
      <w:r w:rsidR="003B61B0">
        <w:t>While there is some indication that satisfaction with community connections is being impacted</w:t>
      </w:r>
      <w:r w:rsidR="00A72208">
        <w:t xml:space="preserve"> and medication use in group home settings has increased</w:t>
      </w:r>
      <w:r w:rsidR="003B61B0">
        <w:t xml:space="preserve">, providers continue to </w:t>
      </w:r>
      <w:r w:rsidR="00A72208">
        <w:t>offer</w:t>
      </w:r>
      <w:r w:rsidR="003B61B0">
        <w:t xml:space="preserve"> support for the people they serve. </w:t>
      </w:r>
    </w:p>
    <w:p w14:paraId="4C48A262" w14:textId="77777777" w:rsidR="003B61B0" w:rsidRDefault="003B61B0" w:rsidP="00AE5516"/>
    <w:p w14:paraId="5CBB5349" w14:textId="77777777" w:rsidR="00F34C75" w:rsidRPr="00730D5B" w:rsidRDefault="00F34C75" w:rsidP="006D14AB">
      <w:pPr>
        <w:spacing w:line="276" w:lineRule="auto"/>
      </w:pPr>
      <w:r w:rsidRPr="00730D5B">
        <w:br w:type="page"/>
      </w:r>
    </w:p>
    <w:p w14:paraId="1976F6AE" w14:textId="77777777" w:rsidR="00F34C75" w:rsidRPr="00AE6B59" w:rsidRDefault="00F34C75" w:rsidP="00F34C75">
      <w:pPr>
        <w:pStyle w:val="Heading1"/>
      </w:pPr>
      <w:bookmarkStart w:id="71" w:name="_Toc64285555"/>
      <w:r w:rsidRPr="00AE6B59">
        <w:lastRenderedPageBreak/>
        <w:t xml:space="preserve">Attachment </w:t>
      </w:r>
      <w:r>
        <w:t>1</w:t>
      </w:r>
      <w:r w:rsidRPr="00AE6B59">
        <w:t>:  Customer Service Activity</w:t>
      </w:r>
      <w:bookmarkEnd w:id="71"/>
    </w:p>
    <w:p w14:paraId="03E23EEA" w14:textId="0F64C090" w:rsidR="00F34C75" w:rsidRDefault="00F446A2" w:rsidP="00F34C75">
      <w:pPr>
        <w:rPr>
          <w:b/>
          <w:szCs w:val="24"/>
        </w:rPr>
      </w:pPr>
      <w:r>
        <w:rPr>
          <w:b/>
          <w:szCs w:val="24"/>
        </w:rPr>
        <w:t>October - December</w:t>
      </w:r>
      <w:r w:rsidR="00F34C75" w:rsidRPr="00BB1793">
        <w:rPr>
          <w:b/>
          <w:szCs w:val="24"/>
        </w:rPr>
        <w:t xml:space="preserve"> 20</w:t>
      </w:r>
      <w:r w:rsidR="00542F62" w:rsidRPr="00BB1793">
        <w:rPr>
          <w:b/>
          <w:szCs w:val="24"/>
        </w:rPr>
        <w:t>20</w:t>
      </w:r>
      <w:r w:rsidR="003B61B0" w:rsidRPr="00BB1793">
        <w:rPr>
          <w:b/>
          <w:szCs w:val="24"/>
        </w:rPr>
        <w:t xml:space="preserve"> </w:t>
      </w:r>
    </w:p>
    <w:p w14:paraId="5D1346E2" w14:textId="7C82220C" w:rsidR="00F446A2" w:rsidRDefault="00F446A2" w:rsidP="00F34C75">
      <w:pPr>
        <w:rPr>
          <w:b/>
          <w:szCs w:val="24"/>
        </w:rPr>
      </w:pPr>
    </w:p>
    <w:tbl>
      <w:tblPr>
        <w:tblW w:w="9630" w:type="dxa"/>
        <w:tblInd w:w="-280" w:type="dxa"/>
        <w:tblCellMar>
          <w:top w:w="43" w:type="dxa"/>
          <w:left w:w="43" w:type="dxa"/>
          <w:bottom w:w="43" w:type="dxa"/>
          <w:right w:w="43" w:type="dxa"/>
        </w:tblCellMar>
        <w:tblLook w:val="04A0" w:firstRow="1" w:lastRow="0" w:firstColumn="1" w:lastColumn="0" w:noHBand="0" w:noVBand="1"/>
      </w:tblPr>
      <w:tblGrid>
        <w:gridCol w:w="1798"/>
        <w:gridCol w:w="1170"/>
        <w:gridCol w:w="2882"/>
        <w:gridCol w:w="3399"/>
        <w:gridCol w:w="831"/>
      </w:tblGrid>
      <w:tr w:rsidR="00F446A2" w:rsidRPr="00F446A2" w14:paraId="255B1CEC" w14:textId="77777777" w:rsidTr="00F446A2">
        <w:trPr>
          <w:trHeight w:val="819"/>
          <w:tblHeader/>
        </w:trPr>
        <w:tc>
          <w:tcPr>
            <w:tcW w:w="1348" w:type="dxa"/>
            <w:tcBorders>
              <w:top w:val="single" w:sz="8" w:space="0" w:color="000000"/>
              <w:left w:val="single" w:sz="8" w:space="0" w:color="000000"/>
              <w:bottom w:val="single" w:sz="8" w:space="0" w:color="000000"/>
              <w:right w:val="single" w:sz="8" w:space="0" w:color="000000"/>
            </w:tcBorders>
            <w:shd w:val="clear" w:color="000000" w:fill="632423"/>
            <w:vAlign w:val="center"/>
            <w:hideMark/>
          </w:tcPr>
          <w:p w14:paraId="37DBBFDF" w14:textId="77777777" w:rsidR="00F446A2" w:rsidRPr="00F446A2" w:rsidRDefault="00F446A2" w:rsidP="00F446A2">
            <w:pPr>
              <w:spacing w:line="240" w:lineRule="auto"/>
              <w:jc w:val="center"/>
              <w:rPr>
                <w:rFonts w:ascii="Tahoma" w:eastAsia="Times New Roman" w:hAnsi="Tahoma" w:cs="Tahoma"/>
                <w:b/>
                <w:bCs/>
                <w:color w:val="FFFFFF"/>
                <w:szCs w:val="24"/>
              </w:rPr>
            </w:pPr>
            <w:r w:rsidRPr="00F446A2">
              <w:rPr>
                <w:rFonts w:ascii="Tahoma" w:eastAsia="Times New Roman" w:hAnsi="Tahoma" w:cs="Tahoma"/>
                <w:b/>
                <w:bCs/>
                <w:color w:val="FFFFFF"/>
                <w:szCs w:val="24"/>
              </w:rPr>
              <w:t>Customer Service Topic</w:t>
            </w:r>
          </w:p>
        </w:tc>
        <w:tc>
          <w:tcPr>
            <w:tcW w:w="1170" w:type="dxa"/>
            <w:tcBorders>
              <w:top w:val="single" w:sz="8" w:space="0" w:color="000000"/>
              <w:left w:val="nil"/>
              <w:bottom w:val="single" w:sz="8" w:space="0" w:color="000000"/>
              <w:right w:val="single" w:sz="8" w:space="0" w:color="000000"/>
            </w:tcBorders>
            <w:shd w:val="clear" w:color="000000" w:fill="632423"/>
            <w:vAlign w:val="center"/>
            <w:hideMark/>
          </w:tcPr>
          <w:p w14:paraId="045C8D55" w14:textId="77777777" w:rsidR="00F446A2" w:rsidRPr="00F446A2" w:rsidRDefault="00F446A2" w:rsidP="00F446A2">
            <w:pPr>
              <w:spacing w:line="240" w:lineRule="auto"/>
              <w:jc w:val="center"/>
              <w:rPr>
                <w:rFonts w:ascii="Tahoma" w:eastAsia="Times New Roman" w:hAnsi="Tahoma" w:cs="Tahoma"/>
                <w:b/>
                <w:bCs/>
                <w:color w:val="FFFFFF"/>
                <w:szCs w:val="24"/>
              </w:rPr>
            </w:pPr>
            <w:r w:rsidRPr="00F446A2">
              <w:rPr>
                <w:rFonts w:ascii="Tahoma" w:eastAsia="Times New Roman" w:hAnsi="Tahoma" w:cs="Tahoma"/>
                <w:b/>
                <w:bCs/>
                <w:color w:val="FFFFFF"/>
                <w:szCs w:val="24"/>
              </w:rPr>
              <w:t>#</w:t>
            </w:r>
          </w:p>
        </w:tc>
        <w:tc>
          <w:tcPr>
            <w:tcW w:w="2882" w:type="dxa"/>
            <w:tcBorders>
              <w:top w:val="single" w:sz="8" w:space="0" w:color="000000"/>
              <w:left w:val="single" w:sz="4" w:space="0" w:color="auto"/>
              <w:bottom w:val="single" w:sz="8" w:space="0" w:color="000000"/>
              <w:right w:val="single" w:sz="8" w:space="0" w:color="000000"/>
            </w:tcBorders>
            <w:shd w:val="clear" w:color="000000" w:fill="632423"/>
            <w:noWrap/>
            <w:vAlign w:val="center"/>
            <w:hideMark/>
          </w:tcPr>
          <w:p w14:paraId="6DA695A5" w14:textId="77777777" w:rsidR="00F446A2" w:rsidRPr="00F446A2" w:rsidRDefault="00F446A2" w:rsidP="00F446A2">
            <w:pPr>
              <w:spacing w:line="240" w:lineRule="auto"/>
              <w:jc w:val="center"/>
              <w:rPr>
                <w:rFonts w:ascii="Tahoma" w:eastAsia="Times New Roman" w:hAnsi="Tahoma" w:cs="Tahoma"/>
                <w:b/>
                <w:bCs/>
                <w:color w:val="FFFFFF"/>
                <w:szCs w:val="24"/>
              </w:rPr>
            </w:pPr>
            <w:r w:rsidRPr="00F446A2">
              <w:rPr>
                <w:rFonts w:ascii="Tahoma" w:eastAsia="Times New Roman" w:hAnsi="Tahoma" w:cs="Tahoma"/>
                <w:b/>
                <w:bCs/>
                <w:color w:val="FFFFFF"/>
                <w:szCs w:val="24"/>
              </w:rPr>
              <w:t>Description</w:t>
            </w:r>
          </w:p>
        </w:tc>
        <w:tc>
          <w:tcPr>
            <w:tcW w:w="3399" w:type="dxa"/>
            <w:tcBorders>
              <w:top w:val="single" w:sz="8" w:space="0" w:color="000000"/>
              <w:left w:val="nil"/>
              <w:bottom w:val="single" w:sz="8" w:space="0" w:color="000000"/>
              <w:right w:val="single" w:sz="8" w:space="0" w:color="000000"/>
            </w:tcBorders>
            <w:shd w:val="clear" w:color="000000" w:fill="632423"/>
            <w:noWrap/>
            <w:vAlign w:val="center"/>
            <w:hideMark/>
          </w:tcPr>
          <w:p w14:paraId="2AC7DBBF" w14:textId="77777777" w:rsidR="00F446A2" w:rsidRPr="00F446A2" w:rsidRDefault="00F446A2" w:rsidP="00F446A2">
            <w:pPr>
              <w:spacing w:line="240" w:lineRule="auto"/>
              <w:jc w:val="center"/>
              <w:rPr>
                <w:rFonts w:ascii="Tahoma" w:eastAsia="Times New Roman" w:hAnsi="Tahoma" w:cs="Tahoma"/>
                <w:b/>
                <w:bCs/>
                <w:color w:val="FFFFFF"/>
                <w:szCs w:val="24"/>
              </w:rPr>
            </w:pPr>
            <w:r w:rsidRPr="00F446A2">
              <w:rPr>
                <w:rFonts w:ascii="Tahoma" w:eastAsia="Times New Roman" w:hAnsi="Tahoma" w:cs="Tahoma"/>
                <w:b/>
                <w:bCs/>
                <w:color w:val="FFFFFF"/>
                <w:szCs w:val="24"/>
              </w:rPr>
              <w:t>Outcome</w:t>
            </w:r>
          </w:p>
        </w:tc>
        <w:tc>
          <w:tcPr>
            <w:tcW w:w="831" w:type="dxa"/>
            <w:tcBorders>
              <w:top w:val="single" w:sz="8" w:space="0" w:color="000000"/>
              <w:left w:val="nil"/>
              <w:bottom w:val="single" w:sz="8" w:space="0" w:color="000000"/>
              <w:right w:val="single" w:sz="8" w:space="0" w:color="000000"/>
            </w:tcBorders>
            <w:shd w:val="clear" w:color="000000" w:fill="632423"/>
            <w:noWrap/>
            <w:vAlign w:val="center"/>
            <w:hideMark/>
          </w:tcPr>
          <w:p w14:paraId="5045EB27" w14:textId="77777777" w:rsidR="00F446A2" w:rsidRPr="00F446A2" w:rsidRDefault="00F446A2" w:rsidP="00F446A2">
            <w:pPr>
              <w:spacing w:line="240" w:lineRule="auto"/>
              <w:jc w:val="center"/>
              <w:rPr>
                <w:rFonts w:ascii="Tahoma" w:eastAsia="Times New Roman" w:hAnsi="Tahoma" w:cs="Tahoma"/>
                <w:b/>
                <w:bCs/>
                <w:color w:val="FFFFFF"/>
                <w:szCs w:val="24"/>
              </w:rPr>
            </w:pPr>
            <w:r w:rsidRPr="00F446A2">
              <w:rPr>
                <w:rFonts w:ascii="Tahoma" w:eastAsia="Times New Roman" w:hAnsi="Tahoma" w:cs="Tahoma"/>
                <w:b/>
                <w:bCs/>
                <w:color w:val="FFFFFF"/>
                <w:sz w:val="22"/>
                <w:szCs w:val="24"/>
              </w:rPr>
              <w:t>Avg Time</w:t>
            </w:r>
          </w:p>
        </w:tc>
      </w:tr>
      <w:tr w:rsidR="00F446A2" w:rsidRPr="00F446A2" w14:paraId="2F76AA00" w14:textId="77777777" w:rsidTr="00F446A2">
        <w:trPr>
          <w:trHeight w:val="614"/>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337156D6"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hAnsiTheme="minorHAnsi" w:cstheme="minorHAnsi"/>
                <w:sz w:val="20"/>
                <w:szCs w:val="20"/>
              </w:rPr>
              <w:t>Address/ Phone/Name Update</w:t>
            </w:r>
          </w:p>
        </w:tc>
        <w:tc>
          <w:tcPr>
            <w:tcW w:w="1170" w:type="dxa"/>
            <w:tcBorders>
              <w:top w:val="nil"/>
              <w:left w:val="nil"/>
              <w:bottom w:val="single" w:sz="8" w:space="0" w:color="000000"/>
              <w:right w:val="single" w:sz="8" w:space="0" w:color="000000"/>
            </w:tcBorders>
            <w:shd w:val="clear" w:color="auto" w:fill="auto"/>
            <w:noWrap/>
            <w:vAlign w:val="center"/>
          </w:tcPr>
          <w:p w14:paraId="1E1D2610"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eastAsia="Times New Roman" w:hAnsiTheme="minorHAnsi" w:cstheme="minorHAnsi"/>
                <w:sz w:val="20"/>
                <w:szCs w:val="20"/>
              </w:rPr>
              <w:t>31</w:t>
            </w:r>
          </w:p>
        </w:tc>
        <w:tc>
          <w:tcPr>
            <w:tcW w:w="2882" w:type="dxa"/>
            <w:tcBorders>
              <w:top w:val="nil"/>
              <w:left w:val="single" w:sz="4" w:space="0" w:color="auto"/>
              <w:bottom w:val="single" w:sz="8" w:space="0" w:color="000000"/>
              <w:right w:val="single" w:sz="8" w:space="0" w:color="000000"/>
            </w:tcBorders>
            <w:shd w:val="clear" w:color="auto" w:fill="auto"/>
            <w:vAlign w:val="center"/>
            <w:hideMark/>
          </w:tcPr>
          <w:p w14:paraId="5F49F0E1"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called to update their phone numbers/addresses/Names</w:t>
            </w:r>
          </w:p>
        </w:tc>
        <w:tc>
          <w:tcPr>
            <w:tcW w:w="3399" w:type="dxa"/>
            <w:tcBorders>
              <w:top w:val="nil"/>
              <w:left w:val="nil"/>
              <w:bottom w:val="single" w:sz="8" w:space="0" w:color="000000"/>
              <w:right w:val="single" w:sz="8" w:space="0" w:color="000000"/>
            </w:tcBorders>
            <w:shd w:val="clear" w:color="auto" w:fill="auto"/>
            <w:vAlign w:val="center"/>
            <w:hideMark/>
          </w:tcPr>
          <w:p w14:paraId="32AAC301"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Phone numbers/addresses were updated in the Discovery application, and providers were also advised to update contact information with AHCA.</w:t>
            </w:r>
          </w:p>
        </w:tc>
        <w:tc>
          <w:tcPr>
            <w:tcW w:w="831" w:type="dxa"/>
            <w:tcBorders>
              <w:top w:val="nil"/>
              <w:left w:val="nil"/>
              <w:bottom w:val="single" w:sz="8" w:space="0" w:color="000000"/>
              <w:right w:val="single" w:sz="8" w:space="0" w:color="000000"/>
            </w:tcBorders>
            <w:shd w:val="clear" w:color="auto" w:fill="auto"/>
            <w:noWrap/>
            <w:vAlign w:val="center"/>
            <w:hideMark/>
          </w:tcPr>
          <w:p w14:paraId="5C07B9FB"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6CB51111" w14:textId="77777777" w:rsidTr="00F446A2">
        <w:trPr>
          <w:trHeight w:val="700"/>
        </w:trPr>
        <w:tc>
          <w:tcPr>
            <w:tcW w:w="1348" w:type="dxa"/>
            <w:tcBorders>
              <w:top w:val="nil"/>
              <w:left w:val="single" w:sz="8" w:space="0" w:color="000000"/>
              <w:bottom w:val="single" w:sz="8" w:space="0" w:color="000000"/>
              <w:right w:val="single" w:sz="8" w:space="0" w:color="000000"/>
            </w:tcBorders>
            <w:shd w:val="clear" w:color="auto" w:fill="auto"/>
            <w:vAlign w:val="center"/>
          </w:tcPr>
          <w:p w14:paraId="76649757"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Background Screening</w:t>
            </w:r>
          </w:p>
        </w:tc>
        <w:tc>
          <w:tcPr>
            <w:tcW w:w="1170" w:type="dxa"/>
            <w:tcBorders>
              <w:top w:val="nil"/>
              <w:left w:val="nil"/>
              <w:bottom w:val="single" w:sz="8" w:space="0" w:color="000000"/>
              <w:right w:val="single" w:sz="8" w:space="0" w:color="000000"/>
            </w:tcBorders>
            <w:shd w:val="clear" w:color="auto" w:fill="auto"/>
            <w:noWrap/>
            <w:vAlign w:val="center"/>
          </w:tcPr>
          <w:p w14:paraId="0C0EE08A" w14:textId="77777777" w:rsidR="00F446A2" w:rsidRPr="00F446A2" w:rsidRDefault="00F446A2" w:rsidP="00F446A2">
            <w:pPr>
              <w:spacing w:line="240" w:lineRule="auto"/>
              <w:jc w:val="center"/>
              <w:rPr>
                <w:rFonts w:asciiTheme="minorHAnsi" w:hAnsiTheme="minorHAnsi" w:cstheme="minorHAnsi"/>
                <w:sz w:val="20"/>
                <w:szCs w:val="20"/>
                <w:highlight w:val="yellow"/>
              </w:rPr>
            </w:pPr>
            <w:r w:rsidRPr="00F446A2">
              <w:rPr>
                <w:rFonts w:asciiTheme="minorHAnsi" w:hAnsiTheme="minorHAnsi" w:cstheme="minorHAnsi"/>
                <w:sz w:val="20"/>
                <w:szCs w:val="20"/>
              </w:rPr>
              <w:t>2</w:t>
            </w:r>
          </w:p>
        </w:tc>
        <w:tc>
          <w:tcPr>
            <w:tcW w:w="2882" w:type="dxa"/>
            <w:tcBorders>
              <w:top w:val="nil"/>
              <w:left w:val="single" w:sz="4" w:space="0" w:color="auto"/>
              <w:bottom w:val="single" w:sz="8" w:space="0" w:color="000000"/>
              <w:right w:val="single" w:sz="8" w:space="0" w:color="000000"/>
            </w:tcBorders>
            <w:shd w:val="clear" w:color="auto" w:fill="auto"/>
            <w:vAlign w:val="center"/>
          </w:tcPr>
          <w:p w14:paraId="31C8D265" w14:textId="77777777" w:rsidR="00F446A2" w:rsidRPr="00F446A2" w:rsidRDefault="00F446A2" w:rsidP="00F446A2">
            <w:pPr>
              <w:spacing w:line="240" w:lineRule="auto"/>
              <w:rPr>
                <w:rFonts w:asciiTheme="minorHAnsi" w:hAnsiTheme="minorHAnsi" w:cstheme="minorHAnsi"/>
                <w:sz w:val="20"/>
                <w:szCs w:val="20"/>
              </w:rPr>
            </w:pPr>
            <w:r w:rsidRPr="00F446A2">
              <w:rPr>
                <w:rFonts w:asciiTheme="minorHAnsi" w:hAnsiTheme="minorHAnsi" w:cstheme="minorHAnsi"/>
                <w:sz w:val="20"/>
                <w:szCs w:val="20"/>
              </w:rPr>
              <w:t xml:space="preserve">Providers called requesting clarification on the Attestation of Good Moral Character and if it needed to be notarized. </w:t>
            </w:r>
          </w:p>
        </w:tc>
        <w:tc>
          <w:tcPr>
            <w:tcW w:w="3399" w:type="dxa"/>
            <w:tcBorders>
              <w:top w:val="nil"/>
              <w:left w:val="nil"/>
              <w:bottom w:val="single" w:sz="8" w:space="0" w:color="000000"/>
              <w:right w:val="single" w:sz="8" w:space="0" w:color="000000"/>
            </w:tcBorders>
            <w:shd w:val="clear" w:color="auto" w:fill="auto"/>
            <w:vAlign w:val="center"/>
          </w:tcPr>
          <w:p w14:paraId="003C3261" w14:textId="77777777" w:rsidR="00F446A2" w:rsidRPr="00F446A2" w:rsidRDefault="00F446A2" w:rsidP="00F446A2">
            <w:pPr>
              <w:spacing w:line="240" w:lineRule="auto"/>
              <w:rPr>
                <w:rFonts w:asciiTheme="minorHAnsi" w:hAnsiTheme="minorHAnsi" w:cstheme="minorHAnsi"/>
                <w:sz w:val="20"/>
                <w:szCs w:val="20"/>
              </w:rPr>
            </w:pPr>
            <w:r w:rsidRPr="00F446A2">
              <w:rPr>
                <w:rFonts w:asciiTheme="minorHAnsi" w:hAnsiTheme="minorHAnsi" w:cstheme="minorHAnsi"/>
                <w:sz w:val="20"/>
                <w:szCs w:val="20"/>
              </w:rPr>
              <w:t xml:space="preserve">Providers were advised that the Attestation of Good Moral Character is not required to be notarized and referred to the APD website for further information. </w:t>
            </w:r>
          </w:p>
        </w:tc>
        <w:tc>
          <w:tcPr>
            <w:tcW w:w="831" w:type="dxa"/>
            <w:tcBorders>
              <w:top w:val="nil"/>
              <w:left w:val="nil"/>
              <w:bottom w:val="single" w:sz="8" w:space="0" w:color="000000"/>
              <w:right w:val="single" w:sz="8" w:space="0" w:color="000000"/>
            </w:tcBorders>
            <w:shd w:val="clear" w:color="auto" w:fill="auto"/>
            <w:noWrap/>
            <w:vAlign w:val="center"/>
          </w:tcPr>
          <w:p w14:paraId="206563DE"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1 day</w:t>
            </w:r>
          </w:p>
        </w:tc>
      </w:tr>
      <w:tr w:rsidR="00F446A2" w:rsidRPr="00F446A2" w14:paraId="180907B6" w14:textId="77777777" w:rsidTr="00F446A2">
        <w:trPr>
          <w:trHeight w:val="700"/>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795CA418"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Clarification</w:t>
            </w:r>
          </w:p>
        </w:tc>
        <w:tc>
          <w:tcPr>
            <w:tcW w:w="1170" w:type="dxa"/>
            <w:tcBorders>
              <w:top w:val="nil"/>
              <w:left w:val="nil"/>
              <w:bottom w:val="single" w:sz="8" w:space="0" w:color="000000"/>
              <w:right w:val="single" w:sz="8" w:space="0" w:color="000000"/>
            </w:tcBorders>
            <w:shd w:val="clear" w:color="auto" w:fill="auto"/>
            <w:noWrap/>
            <w:vAlign w:val="center"/>
          </w:tcPr>
          <w:p w14:paraId="721034B6" w14:textId="77777777" w:rsidR="00F446A2" w:rsidRPr="00F446A2" w:rsidRDefault="00F446A2" w:rsidP="00F446A2">
            <w:pPr>
              <w:spacing w:line="240" w:lineRule="auto"/>
              <w:jc w:val="center"/>
              <w:rPr>
                <w:rFonts w:asciiTheme="minorHAnsi" w:hAnsiTheme="minorHAnsi" w:cstheme="minorHAnsi"/>
                <w:sz w:val="20"/>
                <w:szCs w:val="20"/>
                <w:highlight w:val="yellow"/>
              </w:rPr>
            </w:pPr>
            <w:r w:rsidRPr="00F446A2">
              <w:rPr>
                <w:rFonts w:asciiTheme="minorHAnsi" w:hAnsiTheme="minorHAnsi" w:cstheme="minorHAnsi"/>
                <w:sz w:val="20"/>
                <w:szCs w:val="20"/>
              </w:rPr>
              <w:t>5</w:t>
            </w:r>
          </w:p>
        </w:tc>
        <w:tc>
          <w:tcPr>
            <w:tcW w:w="2882" w:type="dxa"/>
            <w:tcBorders>
              <w:top w:val="nil"/>
              <w:left w:val="single" w:sz="4" w:space="0" w:color="auto"/>
              <w:bottom w:val="single" w:sz="8" w:space="0" w:color="000000"/>
              <w:right w:val="single" w:sz="8" w:space="0" w:color="000000"/>
            </w:tcBorders>
            <w:shd w:val="clear" w:color="auto" w:fill="auto"/>
            <w:vAlign w:val="center"/>
            <w:hideMark/>
          </w:tcPr>
          <w:p w14:paraId="72C31E07"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 xml:space="preserve">Providers called asking for clarification on topics such as acceptable documentation, service specific requirements, and documentation completion/submission timeframes. Several providers called following the Implementation Plan webinar seeking further clarification on information provided. </w:t>
            </w:r>
          </w:p>
        </w:tc>
        <w:tc>
          <w:tcPr>
            <w:tcW w:w="3399" w:type="dxa"/>
            <w:tcBorders>
              <w:top w:val="nil"/>
              <w:left w:val="nil"/>
              <w:bottom w:val="single" w:sz="8" w:space="0" w:color="000000"/>
              <w:right w:val="single" w:sz="8" w:space="0" w:color="000000"/>
            </w:tcBorders>
            <w:shd w:val="clear" w:color="auto" w:fill="auto"/>
            <w:vAlign w:val="center"/>
            <w:hideMark/>
          </w:tcPr>
          <w:p w14:paraId="4263F2BF"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Questions were answered by CSR or Regional Managers. Callers were referred to the iBudget Handbook, local APD Regional Office and the Qlarant tools posted on our website.</w:t>
            </w:r>
          </w:p>
        </w:tc>
        <w:tc>
          <w:tcPr>
            <w:tcW w:w="831" w:type="dxa"/>
            <w:tcBorders>
              <w:top w:val="nil"/>
              <w:left w:val="nil"/>
              <w:bottom w:val="single" w:sz="8" w:space="0" w:color="000000"/>
              <w:right w:val="single" w:sz="8" w:space="0" w:color="000000"/>
            </w:tcBorders>
            <w:shd w:val="clear" w:color="auto" w:fill="auto"/>
            <w:noWrap/>
            <w:vAlign w:val="center"/>
            <w:hideMark/>
          </w:tcPr>
          <w:p w14:paraId="0F645B23" w14:textId="77777777" w:rsidR="00F446A2" w:rsidRPr="00F446A2" w:rsidRDefault="00F446A2" w:rsidP="00F446A2">
            <w:pPr>
              <w:jc w:val="center"/>
            </w:pPr>
            <w:r w:rsidRPr="00F446A2">
              <w:rPr>
                <w:rFonts w:asciiTheme="minorHAnsi" w:hAnsiTheme="minorHAnsi" w:cstheme="minorHAnsi"/>
                <w:sz w:val="20"/>
                <w:szCs w:val="20"/>
              </w:rPr>
              <w:t>1 day</w:t>
            </w:r>
          </w:p>
        </w:tc>
      </w:tr>
      <w:tr w:rsidR="00F446A2" w:rsidRPr="00F446A2" w14:paraId="542E438B" w14:textId="77777777" w:rsidTr="00F446A2">
        <w:trPr>
          <w:trHeight w:val="619"/>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2D799B39"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hAnsiTheme="minorHAnsi" w:cstheme="minorHAnsi"/>
                <w:sz w:val="20"/>
                <w:szCs w:val="20"/>
              </w:rPr>
              <w:t>Contact QAR</w:t>
            </w:r>
          </w:p>
        </w:tc>
        <w:tc>
          <w:tcPr>
            <w:tcW w:w="1170" w:type="dxa"/>
            <w:tcBorders>
              <w:top w:val="nil"/>
              <w:left w:val="nil"/>
              <w:bottom w:val="single" w:sz="8" w:space="0" w:color="000000"/>
              <w:right w:val="single" w:sz="8" w:space="0" w:color="000000"/>
            </w:tcBorders>
            <w:shd w:val="clear" w:color="auto" w:fill="auto"/>
            <w:noWrap/>
            <w:vAlign w:val="center"/>
          </w:tcPr>
          <w:p w14:paraId="2D44A5D6" w14:textId="77777777" w:rsidR="00F446A2" w:rsidRPr="00F446A2" w:rsidRDefault="00F446A2" w:rsidP="00F446A2">
            <w:pPr>
              <w:spacing w:line="240" w:lineRule="auto"/>
              <w:jc w:val="center"/>
              <w:rPr>
                <w:rFonts w:asciiTheme="minorHAnsi" w:hAnsiTheme="minorHAnsi" w:cstheme="minorHAnsi"/>
                <w:sz w:val="20"/>
                <w:szCs w:val="20"/>
                <w:highlight w:val="yellow"/>
              </w:rPr>
            </w:pPr>
            <w:r w:rsidRPr="00F446A2">
              <w:rPr>
                <w:rFonts w:asciiTheme="minorHAnsi" w:hAnsiTheme="minorHAnsi" w:cstheme="minorHAnsi"/>
                <w:sz w:val="20"/>
                <w:szCs w:val="20"/>
              </w:rPr>
              <w:t>7</w:t>
            </w:r>
          </w:p>
        </w:tc>
        <w:tc>
          <w:tcPr>
            <w:tcW w:w="2882" w:type="dxa"/>
            <w:tcBorders>
              <w:top w:val="nil"/>
              <w:left w:val="single" w:sz="4" w:space="0" w:color="auto"/>
              <w:bottom w:val="single" w:sz="8" w:space="0" w:color="000000"/>
              <w:right w:val="single" w:sz="8" w:space="0" w:color="000000"/>
            </w:tcBorders>
            <w:shd w:val="clear" w:color="auto" w:fill="auto"/>
            <w:vAlign w:val="center"/>
            <w:hideMark/>
          </w:tcPr>
          <w:p w14:paraId="3D9ACB33"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called to contact the QAR assigned to do their review.</w:t>
            </w:r>
          </w:p>
        </w:tc>
        <w:tc>
          <w:tcPr>
            <w:tcW w:w="3399" w:type="dxa"/>
            <w:tcBorders>
              <w:top w:val="nil"/>
              <w:left w:val="nil"/>
              <w:bottom w:val="single" w:sz="8" w:space="0" w:color="000000"/>
              <w:right w:val="single" w:sz="8" w:space="0" w:color="000000"/>
            </w:tcBorders>
            <w:shd w:val="clear" w:color="auto" w:fill="auto"/>
            <w:vAlign w:val="center"/>
            <w:hideMark/>
          </w:tcPr>
          <w:p w14:paraId="76722FCD"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QARs were contacted by office staff and asked to contact the provider.</w:t>
            </w:r>
          </w:p>
        </w:tc>
        <w:tc>
          <w:tcPr>
            <w:tcW w:w="831" w:type="dxa"/>
            <w:tcBorders>
              <w:top w:val="nil"/>
              <w:left w:val="nil"/>
              <w:bottom w:val="single" w:sz="8" w:space="0" w:color="000000"/>
              <w:right w:val="single" w:sz="8" w:space="0" w:color="000000"/>
            </w:tcBorders>
            <w:shd w:val="clear" w:color="auto" w:fill="auto"/>
            <w:noWrap/>
            <w:vAlign w:val="center"/>
            <w:hideMark/>
          </w:tcPr>
          <w:p w14:paraId="15A0C83B" w14:textId="77777777" w:rsidR="00F446A2" w:rsidRPr="00F446A2" w:rsidRDefault="00F446A2" w:rsidP="00F446A2">
            <w:pPr>
              <w:jc w:val="center"/>
            </w:pPr>
            <w:r w:rsidRPr="00F446A2">
              <w:rPr>
                <w:rFonts w:asciiTheme="minorHAnsi" w:hAnsiTheme="minorHAnsi" w:cstheme="minorHAnsi"/>
                <w:sz w:val="20"/>
                <w:szCs w:val="20"/>
              </w:rPr>
              <w:t>1 day</w:t>
            </w:r>
          </w:p>
        </w:tc>
      </w:tr>
      <w:tr w:rsidR="00F446A2" w:rsidRPr="00F446A2" w14:paraId="48BEF34A" w14:textId="77777777" w:rsidTr="00F446A2">
        <w:trPr>
          <w:trHeight w:val="1069"/>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0DE2099C"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hAnsiTheme="minorHAnsi" w:cstheme="minorHAnsi"/>
                <w:sz w:val="20"/>
                <w:szCs w:val="20"/>
              </w:rPr>
              <w:t>Miscellaneous/Other</w:t>
            </w:r>
          </w:p>
        </w:tc>
        <w:tc>
          <w:tcPr>
            <w:tcW w:w="1170" w:type="dxa"/>
            <w:tcBorders>
              <w:top w:val="nil"/>
              <w:left w:val="nil"/>
              <w:bottom w:val="single" w:sz="8" w:space="0" w:color="000000"/>
              <w:right w:val="single" w:sz="4" w:space="0" w:color="auto"/>
            </w:tcBorders>
            <w:shd w:val="clear" w:color="auto" w:fill="auto"/>
            <w:noWrap/>
            <w:vAlign w:val="center"/>
          </w:tcPr>
          <w:p w14:paraId="33975E8B" w14:textId="77777777" w:rsidR="00F446A2" w:rsidRPr="00F446A2" w:rsidRDefault="00F446A2" w:rsidP="00F446A2">
            <w:pPr>
              <w:spacing w:line="240" w:lineRule="auto"/>
              <w:jc w:val="center"/>
              <w:rPr>
                <w:rFonts w:asciiTheme="minorHAnsi" w:hAnsiTheme="minorHAnsi" w:cstheme="minorHAnsi"/>
                <w:sz w:val="20"/>
                <w:szCs w:val="20"/>
                <w:highlight w:val="yellow"/>
              </w:rPr>
            </w:pPr>
            <w:r w:rsidRPr="00F446A2">
              <w:rPr>
                <w:rFonts w:asciiTheme="minorHAnsi" w:hAnsiTheme="minorHAnsi" w:cstheme="minorHAnsi"/>
                <w:sz w:val="20"/>
                <w:szCs w:val="20"/>
              </w:rPr>
              <w:t>23</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2CF2A"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Family stakeholders and providers called with requests unrelated to our Desk Review process, where to send their Plan of Remediation, how to report Abuse.</w:t>
            </w:r>
          </w:p>
        </w:tc>
        <w:tc>
          <w:tcPr>
            <w:tcW w:w="3399" w:type="dxa"/>
            <w:tcBorders>
              <w:top w:val="nil"/>
              <w:left w:val="single" w:sz="4" w:space="0" w:color="auto"/>
              <w:bottom w:val="single" w:sz="8" w:space="0" w:color="000000"/>
              <w:right w:val="single" w:sz="8" w:space="0" w:color="000000"/>
            </w:tcBorders>
            <w:shd w:val="clear" w:color="auto" w:fill="auto"/>
            <w:vAlign w:val="center"/>
            <w:hideMark/>
          </w:tcPr>
          <w:p w14:paraId="59A261D6"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Questions within our scope of work were answered. Where appropriate, callers were referred to APD and AHCA.</w:t>
            </w:r>
          </w:p>
        </w:tc>
        <w:tc>
          <w:tcPr>
            <w:tcW w:w="831" w:type="dxa"/>
            <w:tcBorders>
              <w:top w:val="nil"/>
              <w:left w:val="nil"/>
              <w:bottom w:val="single" w:sz="8" w:space="0" w:color="000000"/>
              <w:right w:val="single" w:sz="8" w:space="0" w:color="000000"/>
            </w:tcBorders>
            <w:shd w:val="clear" w:color="auto" w:fill="auto"/>
            <w:noWrap/>
            <w:vAlign w:val="center"/>
            <w:hideMark/>
          </w:tcPr>
          <w:p w14:paraId="459037F1" w14:textId="77777777" w:rsidR="00F446A2" w:rsidRPr="00F446A2" w:rsidRDefault="00F446A2" w:rsidP="00F446A2">
            <w:pPr>
              <w:jc w:val="center"/>
            </w:pPr>
            <w:r w:rsidRPr="00F446A2">
              <w:rPr>
                <w:rFonts w:asciiTheme="minorHAnsi" w:hAnsiTheme="minorHAnsi" w:cstheme="minorHAnsi"/>
                <w:sz w:val="20"/>
                <w:szCs w:val="20"/>
              </w:rPr>
              <w:t>1 day</w:t>
            </w:r>
          </w:p>
        </w:tc>
      </w:tr>
      <w:tr w:rsidR="00F446A2" w:rsidRPr="00F446A2" w14:paraId="4E56F5DD" w14:textId="77777777" w:rsidTr="00F446A2">
        <w:trPr>
          <w:trHeight w:val="1069"/>
        </w:trPr>
        <w:tc>
          <w:tcPr>
            <w:tcW w:w="1348" w:type="dxa"/>
            <w:tcBorders>
              <w:top w:val="nil"/>
              <w:left w:val="single" w:sz="8" w:space="0" w:color="000000"/>
              <w:bottom w:val="single" w:sz="8" w:space="0" w:color="000000"/>
              <w:right w:val="single" w:sz="8" w:space="0" w:color="000000"/>
            </w:tcBorders>
            <w:shd w:val="clear" w:color="auto" w:fill="auto"/>
            <w:vAlign w:val="center"/>
          </w:tcPr>
          <w:p w14:paraId="60883672"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 xml:space="preserve">Next Review </w:t>
            </w:r>
          </w:p>
        </w:tc>
        <w:tc>
          <w:tcPr>
            <w:tcW w:w="1170" w:type="dxa"/>
            <w:tcBorders>
              <w:top w:val="nil"/>
              <w:left w:val="nil"/>
              <w:bottom w:val="single" w:sz="8" w:space="0" w:color="000000"/>
              <w:right w:val="single" w:sz="4" w:space="0" w:color="auto"/>
            </w:tcBorders>
            <w:shd w:val="clear" w:color="auto" w:fill="auto"/>
            <w:noWrap/>
            <w:vAlign w:val="center"/>
          </w:tcPr>
          <w:p w14:paraId="649DA813"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34</w:t>
            </w:r>
          </w:p>
        </w:tc>
        <w:tc>
          <w:tcPr>
            <w:tcW w:w="2882" w:type="dxa"/>
            <w:tcBorders>
              <w:top w:val="single" w:sz="4" w:space="0" w:color="auto"/>
              <w:left w:val="single" w:sz="4" w:space="0" w:color="auto"/>
              <w:bottom w:val="single" w:sz="8" w:space="0" w:color="000000"/>
              <w:right w:val="single" w:sz="8" w:space="0" w:color="000000"/>
            </w:tcBorders>
            <w:shd w:val="clear" w:color="auto" w:fill="auto"/>
            <w:vAlign w:val="center"/>
          </w:tcPr>
          <w:p w14:paraId="0F45D9FD"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 xml:space="preserve">Providers called asking when their next review will occur. Providers called following receipt of their PDR notification letter to advice of vacation, planned unavailability or resignation in order to avoid possible non-compliance if attempts to contact them while away are made. Providers also called with questions related to the Desk Review process. </w:t>
            </w:r>
          </w:p>
        </w:tc>
        <w:tc>
          <w:tcPr>
            <w:tcW w:w="3399" w:type="dxa"/>
            <w:tcBorders>
              <w:top w:val="nil"/>
              <w:left w:val="nil"/>
              <w:bottom w:val="single" w:sz="8" w:space="0" w:color="000000"/>
              <w:right w:val="single" w:sz="8" w:space="0" w:color="000000"/>
            </w:tcBorders>
            <w:shd w:val="clear" w:color="auto" w:fill="auto"/>
            <w:vAlign w:val="center"/>
          </w:tcPr>
          <w:p w14:paraId="05C886C5"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The review process was explained to the providers, including all the factors that are involved in scheduling. If indicated the assigned reviewer is notified of issues to consider when scheduling or the provider is removed from the schedule.</w:t>
            </w:r>
          </w:p>
        </w:tc>
        <w:tc>
          <w:tcPr>
            <w:tcW w:w="831" w:type="dxa"/>
            <w:tcBorders>
              <w:top w:val="nil"/>
              <w:left w:val="nil"/>
              <w:bottom w:val="single" w:sz="8" w:space="0" w:color="000000"/>
              <w:right w:val="single" w:sz="8" w:space="0" w:color="000000"/>
            </w:tcBorders>
            <w:shd w:val="clear" w:color="auto" w:fill="auto"/>
            <w:noWrap/>
            <w:vAlign w:val="center"/>
          </w:tcPr>
          <w:p w14:paraId="78E6EE75" w14:textId="77777777" w:rsidR="00F446A2" w:rsidRPr="00F446A2" w:rsidRDefault="00F446A2" w:rsidP="00F446A2">
            <w:pPr>
              <w:jc w:val="center"/>
            </w:pPr>
            <w:r w:rsidRPr="00F446A2">
              <w:rPr>
                <w:rFonts w:asciiTheme="minorHAnsi" w:hAnsiTheme="minorHAnsi" w:cstheme="minorHAnsi"/>
                <w:sz w:val="20"/>
                <w:szCs w:val="20"/>
              </w:rPr>
              <w:t>1 day</w:t>
            </w:r>
          </w:p>
        </w:tc>
      </w:tr>
      <w:tr w:rsidR="00F446A2" w:rsidRPr="00F446A2" w14:paraId="1E23A89B" w14:textId="77777777" w:rsidTr="00F446A2">
        <w:trPr>
          <w:trHeight w:val="1069"/>
        </w:trPr>
        <w:tc>
          <w:tcPr>
            <w:tcW w:w="1348" w:type="dxa"/>
            <w:tcBorders>
              <w:top w:val="nil"/>
              <w:left w:val="single" w:sz="8" w:space="0" w:color="000000"/>
              <w:bottom w:val="single" w:sz="8" w:space="0" w:color="000000"/>
              <w:right w:val="single" w:sz="8" w:space="0" w:color="000000"/>
            </w:tcBorders>
            <w:shd w:val="clear" w:color="auto" w:fill="auto"/>
            <w:vAlign w:val="center"/>
          </w:tcPr>
          <w:p w14:paraId="792306C2"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lastRenderedPageBreak/>
              <w:t>Review Tools</w:t>
            </w:r>
          </w:p>
        </w:tc>
        <w:tc>
          <w:tcPr>
            <w:tcW w:w="1170" w:type="dxa"/>
            <w:tcBorders>
              <w:top w:val="nil"/>
              <w:left w:val="nil"/>
              <w:bottom w:val="single" w:sz="8" w:space="0" w:color="000000"/>
              <w:right w:val="single" w:sz="4" w:space="0" w:color="auto"/>
            </w:tcBorders>
            <w:shd w:val="clear" w:color="auto" w:fill="auto"/>
            <w:noWrap/>
            <w:vAlign w:val="center"/>
          </w:tcPr>
          <w:p w14:paraId="4FC73AC2"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2</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tcPr>
          <w:p w14:paraId="29260F1A"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called with questions regarding where to find the most review tools, most specifically the Desk Review Checklists. Providers also called with general tool related questions.</w:t>
            </w:r>
          </w:p>
        </w:tc>
        <w:tc>
          <w:tcPr>
            <w:tcW w:w="3399" w:type="dxa"/>
            <w:tcBorders>
              <w:top w:val="nil"/>
              <w:left w:val="single" w:sz="4" w:space="0" w:color="auto"/>
              <w:bottom w:val="single" w:sz="8" w:space="0" w:color="000000"/>
              <w:right w:val="single" w:sz="8" w:space="0" w:color="000000"/>
            </w:tcBorders>
            <w:shd w:val="clear" w:color="auto" w:fill="auto"/>
            <w:vAlign w:val="center"/>
          </w:tcPr>
          <w:p w14:paraId="341E1E21"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Providers were referred to our website and shown the current tools posted. Questions regarding the tools were answered, with references to the protocols and the not met reasons.</w:t>
            </w:r>
          </w:p>
        </w:tc>
        <w:tc>
          <w:tcPr>
            <w:tcW w:w="831" w:type="dxa"/>
            <w:tcBorders>
              <w:top w:val="nil"/>
              <w:left w:val="nil"/>
              <w:bottom w:val="single" w:sz="8" w:space="0" w:color="000000"/>
              <w:right w:val="single" w:sz="8" w:space="0" w:color="000000"/>
            </w:tcBorders>
            <w:shd w:val="clear" w:color="auto" w:fill="auto"/>
            <w:noWrap/>
            <w:vAlign w:val="center"/>
          </w:tcPr>
          <w:p w14:paraId="0276AEFC"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5B1EAADF" w14:textId="77777777" w:rsidTr="00F446A2">
        <w:trPr>
          <w:trHeight w:val="385"/>
        </w:trPr>
        <w:tc>
          <w:tcPr>
            <w:tcW w:w="1348" w:type="dxa"/>
            <w:tcBorders>
              <w:top w:val="nil"/>
              <w:left w:val="single" w:sz="8" w:space="0" w:color="000000"/>
              <w:bottom w:val="single" w:sz="8" w:space="0" w:color="000000"/>
              <w:right w:val="single" w:sz="8" w:space="0" w:color="000000"/>
            </w:tcBorders>
            <w:shd w:val="clear" w:color="auto" w:fill="auto"/>
            <w:vAlign w:val="center"/>
          </w:tcPr>
          <w:p w14:paraId="5907F87C"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Provider Web Search</w:t>
            </w:r>
          </w:p>
        </w:tc>
        <w:tc>
          <w:tcPr>
            <w:tcW w:w="1170" w:type="dxa"/>
            <w:tcBorders>
              <w:top w:val="nil"/>
              <w:left w:val="nil"/>
              <w:bottom w:val="single" w:sz="8" w:space="0" w:color="000000"/>
              <w:right w:val="single" w:sz="4" w:space="0" w:color="auto"/>
            </w:tcBorders>
            <w:shd w:val="clear" w:color="auto" w:fill="auto"/>
            <w:noWrap/>
            <w:vAlign w:val="center"/>
          </w:tcPr>
          <w:p w14:paraId="21D4840A" w14:textId="77777777" w:rsidR="00F446A2" w:rsidRPr="00F446A2" w:rsidRDefault="00F446A2" w:rsidP="00F446A2">
            <w:pPr>
              <w:spacing w:line="240" w:lineRule="auto"/>
              <w:jc w:val="center"/>
              <w:rPr>
                <w:rFonts w:asciiTheme="minorHAnsi" w:eastAsia="Times New Roman" w:hAnsiTheme="minorHAnsi" w:cstheme="minorHAnsi"/>
                <w:sz w:val="20"/>
                <w:szCs w:val="20"/>
                <w:highlight w:val="yellow"/>
              </w:rPr>
            </w:pPr>
            <w:r w:rsidRPr="00F446A2">
              <w:rPr>
                <w:rFonts w:asciiTheme="minorHAnsi" w:eastAsia="Times New Roman" w:hAnsiTheme="minorHAnsi" w:cstheme="minorHAnsi"/>
                <w:sz w:val="20"/>
                <w:szCs w:val="20"/>
              </w:rPr>
              <w:t>3</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tcPr>
          <w:p w14:paraId="70DA490C" w14:textId="77777777" w:rsidR="00F446A2" w:rsidRPr="00F446A2" w:rsidRDefault="00F446A2" w:rsidP="00F446A2">
            <w:pPr>
              <w:spacing w:line="240" w:lineRule="auto"/>
              <w:rPr>
                <w:rFonts w:asciiTheme="minorHAnsi" w:hAnsiTheme="minorHAnsi" w:cstheme="minorHAnsi"/>
                <w:sz w:val="20"/>
                <w:szCs w:val="20"/>
              </w:rPr>
            </w:pPr>
            <w:r w:rsidRPr="00F446A2">
              <w:rPr>
                <w:rFonts w:asciiTheme="minorHAnsi" w:hAnsiTheme="minorHAnsi" w:cstheme="minorHAnsi"/>
                <w:sz w:val="20"/>
                <w:szCs w:val="20"/>
              </w:rPr>
              <w:t xml:space="preserve">Providers called asking how to find their provider name or get their provider name added to the public reporting website. Other calls were from individuals and families looking to find potential providers. </w:t>
            </w:r>
          </w:p>
        </w:tc>
        <w:tc>
          <w:tcPr>
            <w:tcW w:w="3399" w:type="dxa"/>
            <w:tcBorders>
              <w:top w:val="nil"/>
              <w:left w:val="single" w:sz="4" w:space="0" w:color="auto"/>
              <w:bottom w:val="single" w:sz="8" w:space="0" w:color="000000"/>
              <w:right w:val="single" w:sz="8" w:space="0" w:color="000000"/>
            </w:tcBorders>
            <w:shd w:val="clear" w:color="auto" w:fill="auto"/>
            <w:vAlign w:val="center"/>
          </w:tcPr>
          <w:p w14:paraId="01315443" w14:textId="77777777" w:rsidR="00F446A2" w:rsidRPr="00F446A2" w:rsidRDefault="00F446A2" w:rsidP="00F446A2">
            <w:pPr>
              <w:spacing w:line="240" w:lineRule="auto"/>
              <w:rPr>
                <w:rFonts w:asciiTheme="minorHAnsi" w:hAnsiTheme="minorHAnsi" w:cstheme="minorHAnsi"/>
                <w:sz w:val="20"/>
                <w:szCs w:val="20"/>
              </w:rPr>
            </w:pPr>
            <w:r w:rsidRPr="00F446A2">
              <w:rPr>
                <w:rFonts w:asciiTheme="minorHAnsi" w:hAnsiTheme="minorHAnsi" w:cstheme="minorHAnsi"/>
                <w:sz w:val="20"/>
                <w:szCs w:val="20"/>
              </w:rPr>
              <w:t xml:space="preserve">Providers, individuals and family members were guided through the best way to use the site. </w:t>
            </w:r>
          </w:p>
        </w:tc>
        <w:tc>
          <w:tcPr>
            <w:tcW w:w="831" w:type="dxa"/>
            <w:tcBorders>
              <w:top w:val="nil"/>
              <w:left w:val="nil"/>
              <w:bottom w:val="single" w:sz="8" w:space="0" w:color="000000"/>
              <w:right w:val="single" w:sz="8" w:space="0" w:color="000000"/>
            </w:tcBorders>
            <w:shd w:val="clear" w:color="auto" w:fill="auto"/>
            <w:noWrap/>
            <w:vAlign w:val="center"/>
          </w:tcPr>
          <w:p w14:paraId="5C7A4E67"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1 day</w:t>
            </w:r>
          </w:p>
        </w:tc>
      </w:tr>
      <w:tr w:rsidR="00F446A2" w:rsidRPr="00F446A2" w14:paraId="132E8A52" w14:textId="77777777" w:rsidTr="00F446A2">
        <w:trPr>
          <w:trHeight w:val="533"/>
        </w:trPr>
        <w:tc>
          <w:tcPr>
            <w:tcW w:w="1348" w:type="dxa"/>
            <w:tcBorders>
              <w:top w:val="nil"/>
              <w:left w:val="single" w:sz="8" w:space="0" w:color="000000"/>
              <w:bottom w:val="single" w:sz="8" w:space="0" w:color="000000"/>
              <w:right w:val="single" w:sz="8" w:space="0" w:color="000000"/>
            </w:tcBorders>
            <w:shd w:val="clear" w:color="auto" w:fill="auto"/>
            <w:vAlign w:val="center"/>
          </w:tcPr>
          <w:p w14:paraId="428E1011"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Question</w:t>
            </w:r>
          </w:p>
        </w:tc>
        <w:tc>
          <w:tcPr>
            <w:tcW w:w="1170" w:type="dxa"/>
            <w:tcBorders>
              <w:top w:val="nil"/>
              <w:left w:val="nil"/>
              <w:bottom w:val="single" w:sz="8" w:space="0" w:color="000000"/>
              <w:right w:val="single" w:sz="4" w:space="0" w:color="auto"/>
            </w:tcBorders>
            <w:shd w:val="clear" w:color="auto" w:fill="auto"/>
            <w:noWrap/>
            <w:vAlign w:val="center"/>
          </w:tcPr>
          <w:p w14:paraId="5F0B3AF5" w14:textId="77777777" w:rsidR="00F446A2" w:rsidRPr="00F446A2" w:rsidRDefault="00F446A2" w:rsidP="00F446A2">
            <w:pPr>
              <w:spacing w:line="240" w:lineRule="auto"/>
              <w:jc w:val="center"/>
              <w:rPr>
                <w:rFonts w:asciiTheme="minorHAnsi" w:eastAsia="Times New Roman" w:hAnsiTheme="minorHAnsi" w:cstheme="minorHAnsi"/>
                <w:sz w:val="20"/>
                <w:szCs w:val="20"/>
                <w:highlight w:val="yellow"/>
              </w:rPr>
            </w:pPr>
            <w:r w:rsidRPr="00F446A2">
              <w:rPr>
                <w:rFonts w:asciiTheme="minorHAnsi" w:eastAsia="Times New Roman" w:hAnsiTheme="minorHAnsi" w:cstheme="minorHAnsi"/>
                <w:sz w:val="20"/>
                <w:szCs w:val="20"/>
              </w:rPr>
              <w:t>12</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tcPr>
          <w:p w14:paraId="4CE1C097"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and APD staff call with questions regarding documentation or qualification requirements; for assistance accessing resources on our website; for explanations of the review processes.</w:t>
            </w:r>
          </w:p>
        </w:tc>
        <w:tc>
          <w:tcPr>
            <w:tcW w:w="3399" w:type="dxa"/>
            <w:tcBorders>
              <w:top w:val="nil"/>
              <w:left w:val="single" w:sz="4" w:space="0" w:color="auto"/>
              <w:bottom w:val="single" w:sz="8" w:space="0" w:color="000000"/>
              <w:right w:val="single" w:sz="8" w:space="0" w:color="000000"/>
            </w:tcBorders>
            <w:shd w:val="clear" w:color="auto" w:fill="auto"/>
            <w:vAlign w:val="center"/>
          </w:tcPr>
          <w:p w14:paraId="0BA636CD"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Questions are answered with references to appropriate documents or entities.</w:t>
            </w:r>
          </w:p>
        </w:tc>
        <w:tc>
          <w:tcPr>
            <w:tcW w:w="831" w:type="dxa"/>
            <w:tcBorders>
              <w:top w:val="nil"/>
              <w:left w:val="nil"/>
              <w:bottom w:val="single" w:sz="8" w:space="0" w:color="000000"/>
              <w:right w:val="single" w:sz="8" w:space="0" w:color="000000"/>
            </w:tcBorders>
            <w:shd w:val="clear" w:color="auto" w:fill="auto"/>
            <w:noWrap/>
            <w:vAlign w:val="center"/>
          </w:tcPr>
          <w:p w14:paraId="02911711"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5589EFC1" w14:textId="77777777" w:rsidTr="00F446A2">
        <w:trPr>
          <w:trHeight w:val="533"/>
        </w:trPr>
        <w:tc>
          <w:tcPr>
            <w:tcW w:w="1348" w:type="dxa"/>
            <w:tcBorders>
              <w:top w:val="nil"/>
              <w:left w:val="single" w:sz="8" w:space="0" w:color="000000"/>
              <w:bottom w:val="single" w:sz="8" w:space="0" w:color="000000"/>
              <w:right w:val="single" w:sz="8" w:space="0" w:color="000000"/>
            </w:tcBorders>
            <w:shd w:val="clear" w:color="auto" w:fill="auto"/>
            <w:vAlign w:val="center"/>
          </w:tcPr>
          <w:p w14:paraId="7B7D2688"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Potential Billing Discrepancy</w:t>
            </w:r>
          </w:p>
        </w:tc>
        <w:tc>
          <w:tcPr>
            <w:tcW w:w="1170" w:type="dxa"/>
            <w:tcBorders>
              <w:top w:val="nil"/>
              <w:left w:val="nil"/>
              <w:bottom w:val="single" w:sz="8" w:space="0" w:color="000000"/>
              <w:right w:val="single" w:sz="4" w:space="0" w:color="auto"/>
            </w:tcBorders>
            <w:shd w:val="clear" w:color="auto" w:fill="auto"/>
            <w:noWrap/>
            <w:vAlign w:val="center"/>
          </w:tcPr>
          <w:p w14:paraId="0B3C2FD6" w14:textId="77777777" w:rsidR="00F446A2" w:rsidRPr="00F446A2" w:rsidRDefault="00F446A2" w:rsidP="00F446A2">
            <w:pPr>
              <w:spacing w:line="240" w:lineRule="auto"/>
              <w:jc w:val="center"/>
              <w:rPr>
                <w:rFonts w:asciiTheme="minorHAnsi" w:eastAsia="Times New Roman" w:hAnsiTheme="minorHAnsi" w:cstheme="minorHAnsi"/>
                <w:sz w:val="20"/>
                <w:szCs w:val="20"/>
                <w:highlight w:val="yellow"/>
              </w:rPr>
            </w:pPr>
            <w:r w:rsidRPr="00F446A2">
              <w:rPr>
                <w:rFonts w:asciiTheme="minorHAnsi" w:eastAsia="Times New Roman" w:hAnsiTheme="minorHAnsi" w:cstheme="minorHAnsi"/>
                <w:sz w:val="20"/>
                <w:szCs w:val="20"/>
              </w:rPr>
              <w:t>2</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tcPr>
          <w:p w14:paraId="1F03E51C"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 with questions about how to repay money identified as a potential billing discrepancy in their quality assurance review report.</w:t>
            </w:r>
          </w:p>
        </w:tc>
        <w:tc>
          <w:tcPr>
            <w:tcW w:w="3399" w:type="dxa"/>
            <w:tcBorders>
              <w:top w:val="nil"/>
              <w:left w:val="single" w:sz="4" w:space="0" w:color="auto"/>
              <w:bottom w:val="single" w:sz="8" w:space="0" w:color="000000"/>
              <w:right w:val="single" w:sz="8" w:space="0" w:color="000000"/>
            </w:tcBorders>
            <w:shd w:val="clear" w:color="auto" w:fill="auto"/>
            <w:vAlign w:val="center"/>
          </w:tcPr>
          <w:p w14:paraId="737917C5" w14:textId="77777777" w:rsidR="00F446A2" w:rsidRPr="00F446A2" w:rsidRDefault="00F446A2" w:rsidP="00F446A2">
            <w:pPr>
              <w:spacing w:line="240" w:lineRule="auto"/>
              <w:rPr>
                <w:rFonts w:asciiTheme="minorHAnsi" w:hAnsiTheme="minorHAnsi" w:cstheme="minorHAnsi"/>
                <w:sz w:val="20"/>
                <w:szCs w:val="20"/>
              </w:rPr>
            </w:pPr>
            <w:r w:rsidRPr="00F446A2">
              <w:rPr>
                <w:rFonts w:asciiTheme="minorHAnsi" w:hAnsiTheme="minorHAnsi" w:cstheme="minorHAnsi"/>
                <w:sz w:val="20"/>
                <w:szCs w:val="20"/>
              </w:rPr>
              <w:t xml:space="preserve">Providers are given the AHCA email address for potential billing discrepancy. </w:t>
            </w:r>
            <w:hyperlink r:id="rId90" w:history="1">
              <w:r w:rsidRPr="00F446A2">
                <w:rPr>
                  <w:rFonts w:asciiTheme="minorHAnsi" w:hAnsiTheme="minorHAnsi" w:cstheme="minorHAnsi"/>
                  <w:color w:val="0563C1" w:themeColor="hyperlink"/>
                  <w:sz w:val="20"/>
                  <w:szCs w:val="20"/>
                  <w:u w:val="single"/>
                </w:rPr>
                <w:t>APDProviderBilling@ahca.myflorida.com</w:t>
              </w:r>
            </w:hyperlink>
          </w:p>
          <w:p w14:paraId="0791CE0A" w14:textId="77777777" w:rsidR="00F446A2" w:rsidRPr="00F446A2" w:rsidRDefault="00F446A2" w:rsidP="00F446A2">
            <w:pPr>
              <w:spacing w:line="240" w:lineRule="auto"/>
              <w:rPr>
                <w:rFonts w:asciiTheme="minorHAnsi" w:eastAsia="Times New Roman" w:hAnsiTheme="minorHAnsi" w:cstheme="minorHAnsi"/>
                <w:color w:val="000000"/>
                <w:sz w:val="20"/>
                <w:szCs w:val="20"/>
                <w:highlight w:val="yellow"/>
              </w:rPr>
            </w:pPr>
          </w:p>
        </w:tc>
        <w:tc>
          <w:tcPr>
            <w:tcW w:w="831" w:type="dxa"/>
            <w:tcBorders>
              <w:top w:val="nil"/>
              <w:left w:val="nil"/>
              <w:bottom w:val="single" w:sz="8" w:space="0" w:color="000000"/>
              <w:right w:val="single" w:sz="8" w:space="0" w:color="000000"/>
            </w:tcBorders>
            <w:shd w:val="clear" w:color="auto" w:fill="auto"/>
            <w:noWrap/>
            <w:vAlign w:val="center"/>
          </w:tcPr>
          <w:p w14:paraId="7F9A17A4" w14:textId="77777777" w:rsidR="00F446A2" w:rsidRPr="00F446A2" w:rsidRDefault="00F446A2" w:rsidP="00F446A2">
            <w:pPr>
              <w:spacing w:line="240" w:lineRule="auto"/>
              <w:jc w:val="center"/>
              <w:rPr>
                <w:rFonts w:asciiTheme="minorHAnsi" w:hAnsiTheme="minorHAnsi" w:cstheme="minorHAnsi"/>
                <w:sz w:val="20"/>
                <w:szCs w:val="20"/>
              </w:rPr>
            </w:pPr>
            <w:r w:rsidRPr="00F446A2">
              <w:rPr>
                <w:rFonts w:asciiTheme="minorHAnsi" w:hAnsiTheme="minorHAnsi" w:cstheme="minorHAnsi"/>
                <w:sz w:val="20"/>
                <w:szCs w:val="20"/>
              </w:rPr>
              <w:t>1 day</w:t>
            </w:r>
          </w:p>
        </w:tc>
      </w:tr>
      <w:tr w:rsidR="00F446A2" w:rsidRPr="00F446A2" w14:paraId="348A05AD" w14:textId="77777777" w:rsidTr="00F446A2">
        <w:trPr>
          <w:trHeight w:val="533"/>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27BF9EA6"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hAnsiTheme="minorHAnsi" w:cstheme="minorHAnsi"/>
                <w:sz w:val="20"/>
                <w:szCs w:val="20"/>
              </w:rPr>
              <w:t>Reconsideration</w:t>
            </w:r>
          </w:p>
        </w:tc>
        <w:tc>
          <w:tcPr>
            <w:tcW w:w="1170" w:type="dxa"/>
            <w:tcBorders>
              <w:top w:val="nil"/>
              <w:left w:val="nil"/>
              <w:bottom w:val="single" w:sz="8" w:space="0" w:color="000000"/>
              <w:right w:val="single" w:sz="4" w:space="0" w:color="auto"/>
            </w:tcBorders>
            <w:shd w:val="clear" w:color="auto" w:fill="auto"/>
            <w:noWrap/>
            <w:vAlign w:val="center"/>
          </w:tcPr>
          <w:p w14:paraId="7D36107B" w14:textId="77777777" w:rsidR="00F446A2" w:rsidRPr="00F446A2" w:rsidRDefault="00F446A2" w:rsidP="00F446A2">
            <w:pPr>
              <w:spacing w:line="240" w:lineRule="auto"/>
              <w:jc w:val="center"/>
              <w:rPr>
                <w:rFonts w:asciiTheme="minorHAnsi" w:eastAsia="Times New Roman" w:hAnsiTheme="minorHAnsi" w:cstheme="minorHAnsi"/>
                <w:sz w:val="20"/>
                <w:szCs w:val="20"/>
                <w:highlight w:val="yellow"/>
              </w:rPr>
            </w:pPr>
            <w:r w:rsidRPr="00F446A2">
              <w:rPr>
                <w:rFonts w:asciiTheme="minorHAnsi" w:eastAsia="Times New Roman" w:hAnsiTheme="minorHAnsi" w:cstheme="minorHAnsi"/>
                <w:sz w:val="20"/>
                <w:szCs w:val="20"/>
              </w:rPr>
              <w:t>13</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33825"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 xml:space="preserve">Providers call asking for clarification on the process to submit a request for reconsideration or inquiring as to the status of a request already submitted. </w:t>
            </w:r>
          </w:p>
        </w:tc>
        <w:tc>
          <w:tcPr>
            <w:tcW w:w="3399" w:type="dxa"/>
            <w:tcBorders>
              <w:top w:val="nil"/>
              <w:left w:val="single" w:sz="4" w:space="0" w:color="auto"/>
              <w:bottom w:val="single" w:sz="8" w:space="0" w:color="000000"/>
              <w:right w:val="single" w:sz="8" w:space="0" w:color="000000"/>
            </w:tcBorders>
            <w:shd w:val="clear" w:color="auto" w:fill="auto"/>
            <w:vAlign w:val="center"/>
            <w:hideMark/>
          </w:tcPr>
          <w:p w14:paraId="482DA7DA"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 xml:space="preserve">The reconsideration process is explained to provider, including reference to our Operational Policies and Procedures. The provider is directed to the end of their PDR report and the FSQAP website where they will find detailed instructions on how to submit a request for reconsideration. </w:t>
            </w:r>
          </w:p>
        </w:tc>
        <w:tc>
          <w:tcPr>
            <w:tcW w:w="831" w:type="dxa"/>
            <w:tcBorders>
              <w:top w:val="nil"/>
              <w:left w:val="nil"/>
              <w:bottom w:val="single" w:sz="8" w:space="0" w:color="000000"/>
              <w:right w:val="single" w:sz="8" w:space="0" w:color="000000"/>
            </w:tcBorders>
            <w:shd w:val="clear" w:color="auto" w:fill="auto"/>
            <w:noWrap/>
            <w:vAlign w:val="center"/>
            <w:hideMark/>
          </w:tcPr>
          <w:p w14:paraId="1A8D29D1"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38C2D487" w14:textId="77777777" w:rsidTr="00F446A2">
        <w:trPr>
          <w:trHeight w:val="547"/>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2E089404"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Report Requested</w:t>
            </w:r>
          </w:p>
        </w:tc>
        <w:tc>
          <w:tcPr>
            <w:tcW w:w="1170" w:type="dxa"/>
            <w:tcBorders>
              <w:top w:val="nil"/>
              <w:left w:val="nil"/>
              <w:bottom w:val="single" w:sz="8" w:space="0" w:color="000000"/>
              <w:right w:val="single" w:sz="8" w:space="0" w:color="000000"/>
            </w:tcBorders>
            <w:shd w:val="clear" w:color="auto" w:fill="auto"/>
            <w:noWrap/>
            <w:vAlign w:val="center"/>
          </w:tcPr>
          <w:p w14:paraId="1A2332F3"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eastAsia="Times New Roman" w:hAnsiTheme="minorHAnsi" w:cstheme="minorHAnsi"/>
                <w:sz w:val="20"/>
                <w:szCs w:val="20"/>
              </w:rPr>
              <w:t>10</w:t>
            </w:r>
          </w:p>
        </w:tc>
        <w:tc>
          <w:tcPr>
            <w:tcW w:w="2882" w:type="dxa"/>
            <w:tcBorders>
              <w:top w:val="single" w:sz="4" w:space="0" w:color="auto"/>
              <w:left w:val="single" w:sz="4" w:space="0" w:color="auto"/>
              <w:bottom w:val="single" w:sz="8" w:space="0" w:color="000000"/>
              <w:right w:val="single" w:sz="8" w:space="0" w:color="000000"/>
            </w:tcBorders>
            <w:shd w:val="clear" w:color="auto" w:fill="auto"/>
            <w:vAlign w:val="center"/>
            <w:hideMark/>
          </w:tcPr>
          <w:p w14:paraId="5366516B"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 or email requesting their report be re-sent.</w:t>
            </w:r>
          </w:p>
        </w:tc>
        <w:tc>
          <w:tcPr>
            <w:tcW w:w="3399" w:type="dxa"/>
            <w:tcBorders>
              <w:top w:val="nil"/>
              <w:left w:val="nil"/>
              <w:bottom w:val="single" w:sz="8" w:space="0" w:color="000000"/>
              <w:right w:val="single" w:sz="8" w:space="0" w:color="000000"/>
            </w:tcBorders>
            <w:shd w:val="clear" w:color="auto" w:fill="auto"/>
            <w:vAlign w:val="center"/>
            <w:hideMark/>
          </w:tcPr>
          <w:p w14:paraId="174E581B"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Mailing addresses are confirmed and reports are re-sent.</w:t>
            </w:r>
          </w:p>
        </w:tc>
        <w:tc>
          <w:tcPr>
            <w:tcW w:w="831" w:type="dxa"/>
            <w:tcBorders>
              <w:top w:val="nil"/>
              <w:left w:val="nil"/>
              <w:bottom w:val="single" w:sz="8" w:space="0" w:color="000000"/>
              <w:right w:val="single" w:sz="8" w:space="0" w:color="000000"/>
            </w:tcBorders>
            <w:shd w:val="clear" w:color="auto" w:fill="auto"/>
            <w:noWrap/>
            <w:vAlign w:val="center"/>
            <w:hideMark/>
          </w:tcPr>
          <w:p w14:paraId="3396BC4E"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6F03D305" w14:textId="77777777" w:rsidTr="00F446A2">
        <w:trPr>
          <w:trHeight w:val="790"/>
        </w:trPr>
        <w:tc>
          <w:tcPr>
            <w:tcW w:w="1348" w:type="dxa"/>
            <w:tcBorders>
              <w:top w:val="nil"/>
              <w:left w:val="single" w:sz="8" w:space="0" w:color="000000"/>
              <w:bottom w:val="single" w:sz="8" w:space="0" w:color="000000"/>
              <w:right w:val="single" w:sz="8" w:space="0" w:color="000000"/>
            </w:tcBorders>
            <w:shd w:val="clear" w:color="auto" w:fill="auto"/>
            <w:vAlign w:val="center"/>
          </w:tcPr>
          <w:p w14:paraId="256010DE"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hAnsiTheme="minorHAnsi" w:cstheme="minorHAnsi"/>
                <w:sz w:val="20"/>
                <w:szCs w:val="20"/>
              </w:rPr>
              <w:t>Review</w:t>
            </w:r>
          </w:p>
        </w:tc>
        <w:tc>
          <w:tcPr>
            <w:tcW w:w="1170" w:type="dxa"/>
            <w:tcBorders>
              <w:top w:val="nil"/>
              <w:left w:val="nil"/>
              <w:bottom w:val="single" w:sz="8" w:space="0" w:color="000000"/>
              <w:right w:val="single" w:sz="8" w:space="0" w:color="000000"/>
            </w:tcBorders>
            <w:shd w:val="clear" w:color="auto" w:fill="auto"/>
            <w:noWrap/>
            <w:vAlign w:val="center"/>
          </w:tcPr>
          <w:p w14:paraId="7173D59C" w14:textId="77777777" w:rsidR="00F446A2" w:rsidRPr="00F446A2" w:rsidRDefault="00F446A2" w:rsidP="00F446A2">
            <w:pPr>
              <w:spacing w:line="240" w:lineRule="auto"/>
              <w:jc w:val="center"/>
              <w:rPr>
                <w:rFonts w:asciiTheme="minorHAnsi" w:eastAsia="Times New Roman" w:hAnsiTheme="minorHAnsi" w:cstheme="minorHAnsi"/>
                <w:sz w:val="20"/>
                <w:szCs w:val="20"/>
              </w:rPr>
            </w:pPr>
            <w:r w:rsidRPr="00F446A2">
              <w:rPr>
                <w:rFonts w:asciiTheme="minorHAnsi" w:eastAsia="Times New Roman" w:hAnsiTheme="minorHAnsi" w:cstheme="minorHAnsi"/>
                <w:sz w:val="20"/>
                <w:szCs w:val="20"/>
              </w:rPr>
              <w:t>32</w:t>
            </w:r>
          </w:p>
        </w:tc>
        <w:tc>
          <w:tcPr>
            <w:tcW w:w="2882" w:type="dxa"/>
            <w:tcBorders>
              <w:top w:val="nil"/>
              <w:left w:val="single" w:sz="4" w:space="0" w:color="auto"/>
              <w:bottom w:val="single" w:sz="8" w:space="0" w:color="000000"/>
              <w:right w:val="single" w:sz="8" w:space="0" w:color="000000"/>
            </w:tcBorders>
            <w:shd w:val="clear" w:color="auto" w:fill="auto"/>
            <w:vAlign w:val="center"/>
          </w:tcPr>
          <w:p w14:paraId="03D6AE06" w14:textId="77777777" w:rsidR="00F446A2" w:rsidRPr="00F446A2" w:rsidRDefault="00F446A2" w:rsidP="00F446A2">
            <w:pPr>
              <w:spacing w:line="240" w:lineRule="auto"/>
              <w:rPr>
                <w:rFonts w:asciiTheme="minorHAnsi" w:eastAsia="Times New Roman" w:hAnsiTheme="minorHAnsi" w:cstheme="minorHAnsi"/>
                <w:sz w:val="20"/>
                <w:szCs w:val="20"/>
              </w:rPr>
            </w:pPr>
            <w:r w:rsidRPr="00F446A2">
              <w:rPr>
                <w:rFonts w:asciiTheme="minorHAnsi" w:hAnsiTheme="minorHAnsi" w:cstheme="minorHAnsi"/>
                <w:sz w:val="20"/>
                <w:szCs w:val="20"/>
              </w:rPr>
              <w:t>Providers call asking for an explanation of their reports.</w:t>
            </w:r>
          </w:p>
        </w:tc>
        <w:tc>
          <w:tcPr>
            <w:tcW w:w="3399" w:type="dxa"/>
            <w:tcBorders>
              <w:top w:val="nil"/>
              <w:left w:val="nil"/>
              <w:bottom w:val="single" w:sz="8" w:space="0" w:color="000000"/>
              <w:right w:val="single" w:sz="8" w:space="0" w:color="000000"/>
            </w:tcBorders>
            <w:shd w:val="clear" w:color="auto" w:fill="auto"/>
            <w:vAlign w:val="center"/>
          </w:tcPr>
          <w:p w14:paraId="5DDEC277" w14:textId="77777777" w:rsidR="00F446A2" w:rsidRPr="00F446A2" w:rsidRDefault="00F446A2" w:rsidP="00F446A2">
            <w:pPr>
              <w:spacing w:line="240" w:lineRule="auto"/>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Reports are reviewed and explained; providers are referred to their local APD office for technical assistance.</w:t>
            </w:r>
          </w:p>
        </w:tc>
        <w:tc>
          <w:tcPr>
            <w:tcW w:w="831" w:type="dxa"/>
            <w:tcBorders>
              <w:top w:val="nil"/>
              <w:left w:val="nil"/>
              <w:bottom w:val="single" w:sz="8" w:space="0" w:color="000000"/>
              <w:right w:val="single" w:sz="8" w:space="0" w:color="000000"/>
            </w:tcBorders>
            <w:shd w:val="clear" w:color="auto" w:fill="auto"/>
            <w:noWrap/>
            <w:vAlign w:val="center"/>
          </w:tcPr>
          <w:p w14:paraId="45D74877" w14:textId="77777777" w:rsidR="00F446A2" w:rsidRPr="00F446A2" w:rsidRDefault="00F446A2" w:rsidP="00F446A2">
            <w:pPr>
              <w:spacing w:line="240" w:lineRule="auto"/>
              <w:jc w:val="center"/>
              <w:rPr>
                <w:rFonts w:asciiTheme="minorHAnsi" w:eastAsia="Times New Roman" w:hAnsiTheme="minorHAnsi" w:cstheme="minorHAnsi"/>
                <w:color w:val="000000"/>
                <w:sz w:val="20"/>
                <w:szCs w:val="20"/>
              </w:rPr>
            </w:pPr>
            <w:r w:rsidRPr="00F446A2">
              <w:rPr>
                <w:rFonts w:asciiTheme="minorHAnsi" w:hAnsiTheme="minorHAnsi" w:cstheme="minorHAnsi"/>
                <w:sz w:val="20"/>
                <w:szCs w:val="20"/>
              </w:rPr>
              <w:t>1 day</w:t>
            </w:r>
          </w:p>
        </w:tc>
      </w:tr>
      <w:tr w:rsidR="00F446A2" w:rsidRPr="00F446A2" w14:paraId="280629AE" w14:textId="77777777" w:rsidTr="00F446A2">
        <w:trPr>
          <w:trHeight w:val="520"/>
        </w:trPr>
        <w:tc>
          <w:tcPr>
            <w:tcW w:w="1348" w:type="dxa"/>
            <w:tcBorders>
              <w:top w:val="nil"/>
              <w:left w:val="single" w:sz="8" w:space="0" w:color="000000"/>
              <w:bottom w:val="single" w:sz="8" w:space="0" w:color="000000"/>
              <w:right w:val="single" w:sz="8" w:space="0" w:color="000000"/>
            </w:tcBorders>
            <w:shd w:val="clear" w:color="auto" w:fill="auto"/>
            <w:vAlign w:val="center"/>
            <w:hideMark/>
          </w:tcPr>
          <w:p w14:paraId="00C36633" w14:textId="77777777" w:rsidR="00F446A2" w:rsidRPr="00F446A2" w:rsidRDefault="00F446A2" w:rsidP="00F446A2">
            <w:pPr>
              <w:spacing w:line="240" w:lineRule="auto"/>
              <w:rPr>
                <w:rFonts w:asciiTheme="minorHAnsi" w:eastAsia="Times New Roman" w:hAnsiTheme="minorHAnsi" w:cs="Times New Roman"/>
                <w:b/>
                <w:color w:val="000000"/>
                <w:sz w:val="20"/>
                <w:szCs w:val="20"/>
              </w:rPr>
            </w:pPr>
            <w:r w:rsidRPr="00F446A2">
              <w:rPr>
                <w:rFonts w:asciiTheme="minorHAnsi" w:eastAsia="Times New Roman" w:hAnsiTheme="minorHAnsi" w:cs="Times New Roman"/>
                <w:b/>
                <w:color w:val="000000"/>
                <w:sz w:val="20"/>
                <w:szCs w:val="20"/>
              </w:rPr>
              <w:t>Total Number of Calls</w:t>
            </w:r>
          </w:p>
        </w:tc>
        <w:tc>
          <w:tcPr>
            <w:tcW w:w="1170" w:type="dxa"/>
            <w:tcBorders>
              <w:top w:val="nil"/>
              <w:left w:val="nil"/>
              <w:bottom w:val="single" w:sz="8" w:space="0" w:color="auto"/>
              <w:right w:val="single" w:sz="8" w:space="0" w:color="auto"/>
            </w:tcBorders>
            <w:shd w:val="clear" w:color="auto" w:fill="auto"/>
            <w:vAlign w:val="center"/>
          </w:tcPr>
          <w:p w14:paraId="63345DE9" w14:textId="77777777" w:rsidR="00F446A2" w:rsidRPr="00F446A2" w:rsidRDefault="00F446A2" w:rsidP="00F446A2">
            <w:pPr>
              <w:spacing w:line="240" w:lineRule="auto"/>
              <w:jc w:val="center"/>
              <w:rPr>
                <w:rFonts w:asciiTheme="minorHAnsi" w:eastAsia="Times New Roman" w:hAnsiTheme="minorHAnsi" w:cstheme="minorHAnsi"/>
                <w:b/>
                <w:color w:val="000000"/>
                <w:sz w:val="20"/>
                <w:szCs w:val="20"/>
              </w:rPr>
            </w:pPr>
            <w:r w:rsidRPr="00F446A2">
              <w:rPr>
                <w:rFonts w:asciiTheme="minorHAnsi" w:eastAsia="Times New Roman" w:hAnsiTheme="minorHAnsi" w:cstheme="minorHAnsi"/>
                <w:b/>
                <w:color w:val="000000"/>
                <w:sz w:val="20"/>
                <w:szCs w:val="20"/>
              </w:rPr>
              <w:t>176</w:t>
            </w:r>
          </w:p>
        </w:tc>
        <w:tc>
          <w:tcPr>
            <w:tcW w:w="2882" w:type="dxa"/>
            <w:tcBorders>
              <w:top w:val="nil"/>
              <w:left w:val="single" w:sz="4" w:space="0" w:color="auto"/>
              <w:bottom w:val="single" w:sz="8" w:space="0" w:color="000000"/>
              <w:right w:val="single" w:sz="8" w:space="0" w:color="000000"/>
            </w:tcBorders>
            <w:shd w:val="clear" w:color="auto" w:fill="auto"/>
            <w:vAlign w:val="center"/>
            <w:hideMark/>
          </w:tcPr>
          <w:p w14:paraId="6B039400" w14:textId="77777777" w:rsidR="00F446A2" w:rsidRPr="00F446A2" w:rsidRDefault="00F446A2" w:rsidP="00F446A2">
            <w:pPr>
              <w:spacing w:line="240" w:lineRule="auto"/>
              <w:rPr>
                <w:rFonts w:asciiTheme="minorHAnsi" w:eastAsia="Times New Roman" w:hAnsiTheme="minorHAnsi" w:cs="Times New Roman"/>
                <w:color w:val="000000"/>
                <w:sz w:val="20"/>
                <w:szCs w:val="20"/>
              </w:rPr>
            </w:pPr>
            <w:r w:rsidRPr="00F446A2">
              <w:rPr>
                <w:rFonts w:asciiTheme="minorHAnsi" w:eastAsia="Times New Roman" w:hAnsiTheme="minorHAnsi" w:cs="Times New Roman"/>
                <w:color w:val="000000"/>
                <w:sz w:val="20"/>
                <w:szCs w:val="20"/>
              </w:rPr>
              <w:t> </w:t>
            </w:r>
          </w:p>
        </w:tc>
        <w:tc>
          <w:tcPr>
            <w:tcW w:w="3399" w:type="dxa"/>
            <w:tcBorders>
              <w:top w:val="nil"/>
              <w:left w:val="nil"/>
              <w:bottom w:val="single" w:sz="8" w:space="0" w:color="000000"/>
              <w:right w:val="single" w:sz="8" w:space="0" w:color="000000"/>
            </w:tcBorders>
            <w:shd w:val="clear" w:color="auto" w:fill="auto"/>
            <w:vAlign w:val="center"/>
            <w:hideMark/>
          </w:tcPr>
          <w:p w14:paraId="0351BFEF" w14:textId="77777777" w:rsidR="00F446A2" w:rsidRPr="00F446A2" w:rsidRDefault="00F446A2" w:rsidP="00F446A2">
            <w:pPr>
              <w:spacing w:line="240" w:lineRule="auto"/>
              <w:rPr>
                <w:rFonts w:asciiTheme="minorHAnsi" w:eastAsia="Times New Roman" w:hAnsiTheme="minorHAnsi" w:cs="Times New Roman"/>
                <w:color w:val="000000"/>
                <w:sz w:val="20"/>
                <w:szCs w:val="20"/>
              </w:rPr>
            </w:pPr>
            <w:r w:rsidRPr="00F446A2">
              <w:rPr>
                <w:rFonts w:asciiTheme="minorHAnsi" w:eastAsia="Times New Roman" w:hAnsiTheme="minorHAnsi" w:cs="Times New Roman"/>
                <w:color w:val="000000"/>
                <w:sz w:val="20"/>
                <w:szCs w:val="20"/>
              </w:rPr>
              <w:t> </w:t>
            </w:r>
          </w:p>
        </w:tc>
        <w:tc>
          <w:tcPr>
            <w:tcW w:w="831" w:type="dxa"/>
            <w:tcBorders>
              <w:top w:val="nil"/>
              <w:left w:val="nil"/>
              <w:bottom w:val="single" w:sz="8" w:space="0" w:color="000000"/>
              <w:right w:val="single" w:sz="8" w:space="0" w:color="000000"/>
            </w:tcBorders>
            <w:shd w:val="clear" w:color="auto" w:fill="auto"/>
            <w:noWrap/>
            <w:vAlign w:val="center"/>
            <w:hideMark/>
          </w:tcPr>
          <w:p w14:paraId="723CF815" w14:textId="77777777" w:rsidR="00F446A2" w:rsidRPr="00F446A2" w:rsidRDefault="00F446A2" w:rsidP="00F446A2">
            <w:pPr>
              <w:spacing w:line="240" w:lineRule="auto"/>
              <w:jc w:val="center"/>
              <w:rPr>
                <w:rFonts w:asciiTheme="minorHAnsi" w:eastAsia="Times New Roman" w:hAnsiTheme="minorHAnsi" w:cs="Times New Roman"/>
                <w:color w:val="000000"/>
                <w:sz w:val="20"/>
                <w:szCs w:val="20"/>
              </w:rPr>
            </w:pPr>
            <w:r w:rsidRPr="00F446A2">
              <w:rPr>
                <w:rFonts w:asciiTheme="minorHAnsi" w:eastAsia="Times New Roman" w:hAnsiTheme="minorHAnsi" w:cs="Times New Roman"/>
                <w:color w:val="000000"/>
                <w:sz w:val="20"/>
                <w:szCs w:val="20"/>
              </w:rPr>
              <w:t> </w:t>
            </w:r>
          </w:p>
        </w:tc>
      </w:tr>
    </w:tbl>
    <w:p w14:paraId="276127D6" w14:textId="6371769F" w:rsidR="00F446A2" w:rsidRDefault="00F446A2" w:rsidP="00F34C75">
      <w:pPr>
        <w:rPr>
          <w:b/>
          <w:szCs w:val="24"/>
        </w:rPr>
      </w:pPr>
    </w:p>
    <w:p w14:paraId="12E0A275" w14:textId="1C5A7E21" w:rsidR="00F446A2" w:rsidRDefault="00F446A2" w:rsidP="00F34C75">
      <w:pPr>
        <w:rPr>
          <w:b/>
          <w:szCs w:val="24"/>
        </w:rPr>
      </w:pPr>
    </w:p>
    <w:sectPr w:rsidR="00F446A2" w:rsidSect="00D710C0">
      <w:headerReference w:type="default" r:id="rId91"/>
      <w:footerReference w:type="default" r:id="rId9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678EFC" w14:textId="77777777" w:rsidR="00F94347" w:rsidRDefault="00F94347" w:rsidP="009C520E">
      <w:pPr>
        <w:spacing w:line="240" w:lineRule="auto"/>
      </w:pPr>
      <w:r>
        <w:separator/>
      </w:r>
    </w:p>
    <w:p w14:paraId="4CE526B9" w14:textId="77777777" w:rsidR="00F94347" w:rsidRDefault="00F94347"/>
  </w:endnote>
  <w:endnote w:type="continuationSeparator" w:id="0">
    <w:p w14:paraId="661B1515" w14:textId="77777777" w:rsidR="00F94347" w:rsidRDefault="00F94347" w:rsidP="009C520E">
      <w:pPr>
        <w:spacing w:line="240" w:lineRule="auto"/>
      </w:pPr>
      <w:r>
        <w:continuationSeparator/>
      </w:r>
    </w:p>
    <w:p w14:paraId="3804A244" w14:textId="77777777" w:rsidR="00F94347" w:rsidRDefault="00F94347"/>
  </w:endnote>
  <w:endnote w:type="continuationNotice" w:id="1">
    <w:p w14:paraId="24111078" w14:textId="77777777" w:rsidR="00F94347" w:rsidRDefault="00F9434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Italic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2D29C" w14:textId="603BE286" w:rsidR="00F94347" w:rsidRDefault="00F94347" w:rsidP="00CF18BC">
    <w:pPr>
      <w:pStyle w:val="Footer"/>
    </w:pPr>
    <w:r w:rsidRPr="00250EBE">
      <w:rPr>
        <w:noProof/>
      </w:rPr>
      <w:drawing>
        <wp:inline distT="0" distB="0" distL="0" distR="0" wp14:anchorId="618517C3" wp14:editId="61DE1248">
          <wp:extent cx="530352" cy="128016"/>
          <wp:effectExtent l="0" t="0" r="3175" b="5715"/>
          <wp:docPr id="36" name="Picture 36" descr="C:\Users\allenk\Desktop\Misc\Logo Files\Logo_400x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lenk\Desktop\Misc\Logo Files\Logo_400x9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0352" cy="128016"/>
                  </a:xfrm>
                  <a:prstGeom prst="rect">
                    <a:avLst/>
                  </a:prstGeom>
                  <a:noFill/>
                  <a:ln>
                    <a:noFill/>
                  </a:ln>
                </pic:spPr>
              </pic:pic>
            </a:graphicData>
          </a:graphic>
        </wp:inline>
      </w:drawing>
    </w:r>
    <w:r>
      <w:tab/>
      <w:t>February 15, 2021</w:t>
    </w:r>
    <w:r>
      <w:tab/>
    </w:r>
    <w:sdt>
      <w:sdtPr>
        <w:id w:val="16263395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C05150">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BF79CF" w14:textId="77777777" w:rsidR="00F94347" w:rsidRDefault="00F94347" w:rsidP="009C520E">
      <w:pPr>
        <w:spacing w:line="240" w:lineRule="auto"/>
      </w:pPr>
    </w:p>
    <w:p w14:paraId="10B0B133" w14:textId="77777777" w:rsidR="00F94347" w:rsidRDefault="00F94347" w:rsidP="009C520E">
      <w:pPr>
        <w:spacing w:line="240" w:lineRule="auto"/>
      </w:pPr>
      <w:r>
        <w:separator/>
      </w:r>
    </w:p>
  </w:footnote>
  <w:footnote w:type="continuationSeparator" w:id="0">
    <w:p w14:paraId="14C61392" w14:textId="77777777" w:rsidR="00F94347" w:rsidRDefault="00F94347" w:rsidP="009C520E">
      <w:pPr>
        <w:spacing w:line="240" w:lineRule="auto"/>
      </w:pPr>
      <w:r>
        <w:continuationSeparator/>
      </w:r>
    </w:p>
    <w:p w14:paraId="0DE98183" w14:textId="77777777" w:rsidR="00F94347" w:rsidRDefault="00F94347"/>
  </w:footnote>
  <w:footnote w:type="continuationNotice" w:id="1">
    <w:p w14:paraId="53D412C4" w14:textId="77777777" w:rsidR="00F94347" w:rsidRDefault="00F94347">
      <w:pPr>
        <w:spacing w:line="240" w:lineRule="auto"/>
      </w:pPr>
    </w:p>
  </w:footnote>
  <w:footnote w:id="2">
    <w:p w14:paraId="7E5F2C77" w14:textId="569BEDA5" w:rsidR="00F94347" w:rsidRDefault="00F94347">
      <w:pPr>
        <w:pStyle w:val="FootnoteText"/>
      </w:pPr>
      <w:r>
        <w:rPr>
          <w:rStyle w:val="FootnoteReference"/>
        </w:rPr>
        <w:footnoteRef/>
      </w:r>
      <w:r>
        <w:t xml:space="preserve"> Also referred to just as regions in the report.</w:t>
      </w:r>
    </w:p>
  </w:footnote>
  <w:footnote w:id="3">
    <w:p w14:paraId="5B1A7766" w14:textId="15A547D1" w:rsidR="00F94347" w:rsidRDefault="00F94347" w:rsidP="009C520E">
      <w:pPr>
        <w:pStyle w:val="FootnoteText"/>
      </w:pPr>
      <w:r>
        <w:rPr>
          <w:rStyle w:val="FootnoteReference"/>
        </w:rPr>
        <w:footnoteRef/>
      </w:r>
      <w:r>
        <w:t xml:space="preserve"> Minutes for each meeting are on the FSQAP Portal Client Site and available to AHCA and APD (</w:t>
      </w:r>
      <w:hyperlink r:id="rId1" w:history="1">
        <w:r w:rsidRPr="00F27ECA">
          <w:rPr>
            <w:rStyle w:val="Hyperlink"/>
          </w:rPr>
          <w:t>https://florida.qlarant.com/Public2/qualityCouncil/archive.html</w:t>
        </w:r>
      </w:hyperlink>
      <w:r>
        <w:t>).</w:t>
      </w:r>
    </w:p>
  </w:footnote>
  <w:footnote w:id="4">
    <w:p w14:paraId="10F70D4C" w14:textId="77777777" w:rsidR="00F94347" w:rsidRDefault="00F94347" w:rsidP="009C520E">
      <w:pPr>
        <w:pStyle w:val="FootnoteText"/>
      </w:pPr>
      <w:r>
        <w:rPr>
          <w:rStyle w:val="FootnoteReference"/>
        </w:rPr>
        <w:footnoteRef/>
      </w:r>
      <w:r>
        <w:t xml:space="preserve"> </w:t>
      </w:r>
      <w:r w:rsidRPr="00396AB9">
        <w:t xml:space="preserve">The list of topics and number of calls per topic are presented in Attachment </w:t>
      </w:r>
      <w:r>
        <w:t>1</w:t>
      </w:r>
      <w:r w:rsidRPr="00396AB9">
        <w:t>.</w:t>
      </w:r>
    </w:p>
  </w:footnote>
  <w:footnote w:id="5">
    <w:p w14:paraId="70C5E344" w14:textId="4D7A50FD" w:rsidR="00F94347" w:rsidRDefault="00F94347" w:rsidP="009C520E">
      <w:pPr>
        <w:pStyle w:val="FootnoteText"/>
      </w:pPr>
      <w:r>
        <w:rPr>
          <w:rStyle w:val="FootnoteReference"/>
        </w:rPr>
        <w:footnoteRef/>
      </w:r>
      <w:r>
        <w:t xml:space="preserve"> All review tools are posted on the FSQAP website (</w:t>
      </w:r>
      <w:r w:rsidRPr="00CC5BBD">
        <w:t>https://florida.qlarant.com/</w:t>
      </w:r>
      <w:r>
        <w:t>).</w:t>
      </w:r>
    </w:p>
  </w:footnote>
  <w:footnote w:id="6">
    <w:p w14:paraId="25B3ED5E" w14:textId="7A0D1078" w:rsidR="00F94347" w:rsidRDefault="00F94347" w:rsidP="00956AE3">
      <w:pPr>
        <w:pStyle w:val="FootnoteText"/>
      </w:pPr>
      <w:r>
        <w:rPr>
          <w:rStyle w:val="FootnoteReference"/>
        </w:rPr>
        <w:footnoteRef/>
      </w:r>
      <w:r>
        <w:t xml:space="preserve"> </w:t>
      </w:r>
      <w:r w:rsidRPr="00F56D78">
        <w:t xml:space="preserve">The Other category for Residential </w:t>
      </w:r>
      <w:r>
        <w:t>Setting</w:t>
      </w:r>
      <w:r w:rsidRPr="00F56D78">
        <w:t xml:space="preserve"> for the Waiver include</w:t>
      </w:r>
      <w:r>
        <w:t>d</w:t>
      </w:r>
      <w:r w:rsidRPr="00F56D78">
        <w:t xml:space="preserve"> </w:t>
      </w:r>
      <w:r>
        <w:t xml:space="preserve">a total of nine in Assisted Living Facility, one in a Foster Home, two AHCA Adult Family Care home and one other. </w:t>
      </w:r>
      <w:r w:rsidRPr="00F56D78">
        <w:t>The Other category</w:t>
      </w:r>
      <w:r>
        <w:t xml:space="preserve"> for Primary Disability for the Waiver</w:t>
      </w:r>
      <w:r w:rsidRPr="00F56D78">
        <w:t xml:space="preserve"> include</w:t>
      </w:r>
      <w:r>
        <w:t>d</w:t>
      </w:r>
      <w:r w:rsidRPr="00F56D78">
        <w:t xml:space="preserve"> </w:t>
      </w:r>
      <w:r>
        <w:t xml:space="preserve">Down Syndrome (23) and </w:t>
      </w:r>
      <w:r w:rsidRPr="00F56D78">
        <w:t xml:space="preserve">Spina </w:t>
      </w:r>
      <w:r w:rsidRPr="006253DD">
        <w:t>Bifida (</w:t>
      </w:r>
      <w:r>
        <w:t>7), Prader Willi, and Phelan-McDermid Syndrome (2)</w:t>
      </w:r>
      <w:r w:rsidRPr="006253DD">
        <w:t>)</w:t>
      </w:r>
      <w:r>
        <w:t>. For CDC+ “Other” included Spina Bifida (1) and Down Syndrome (1).</w:t>
      </w:r>
    </w:p>
  </w:footnote>
  <w:footnote w:id="7">
    <w:p w14:paraId="3C92F84B" w14:textId="77777777" w:rsidR="00F94347" w:rsidRDefault="00F94347" w:rsidP="004D7C61">
      <w:pPr>
        <w:pStyle w:val="FootnoteText"/>
      </w:pPr>
      <w:r>
        <w:rPr>
          <w:rStyle w:val="FootnoteReference"/>
        </w:rPr>
        <w:footnoteRef/>
      </w:r>
      <w:r>
        <w:t xml:space="preserve"> Some standards are weighted for calculating the overall provider’s score. For example, standards measuring health and safety items are generally more important and therefore weigh heavier when calculating the provider’s score.  In this report, unless otherwise noted, unweighted results are shown (Percent Met). This provides an accurate reflection of the number and percent of providers who have the standards scored as present.</w:t>
      </w:r>
    </w:p>
  </w:footnote>
  <w:footnote w:id="8">
    <w:p w14:paraId="6A565457" w14:textId="77777777" w:rsidR="00F94347" w:rsidRDefault="00F94347" w:rsidP="00B71C89">
      <w:pPr>
        <w:pStyle w:val="FootnoteText"/>
      </w:pPr>
      <w:r>
        <w:rPr>
          <w:rStyle w:val="FootnoteReference"/>
        </w:rPr>
        <w:footnoteRef/>
      </w:r>
      <w:r>
        <w:t xml:space="preserve"> The list of medications captured in the Health Summary was revised July 1, 2018. Dozens of medications which were previously captured in the ‘Other’ category were added to the list of medications in the Health Summary. List includes over the counter medications prescribed for the person.</w:t>
      </w:r>
    </w:p>
  </w:footnote>
  <w:footnote w:id="9">
    <w:p w14:paraId="0CEE79BB" w14:textId="77777777" w:rsidR="00F94347" w:rsidRDefault="00F94347" w:rsidP="00B71C89">
      <w:pPr>
        <w:pStyle w:val="FootnoteText"/>
      </w:pPr>
      <w:r>
        <w:rPr>
          <w:rStyle w:val="FootnoteReference"/>
        </w:rPr>
        <w:footnoteRef/>
      </w:r>
      <w:r>
        <w:t xml:space="preserve"> Recall the N sizes within different demographic categories, particularly for CDC+, are relatively small. For example, the “other” disability category had an n size of only two for CDC+. </w:t>
      </w:r>
    </w:p>
  </w:footnote>
  <w:footnote w:id="10">
    <w:p w14:paraId="63B31CC6" w14:textId="0C72A90C" w:rsidR="00F94347" w:rsidRDefault="00F94347" w:rsidP="009C520E">
      <w:pPr>
        <w:pStyle w:val="FootnoteText"/>
      </w:pPr>
      <w:r>
        <w:rPr>
          <w:rStyle w:val="FootnoteReference"/>
        </w:rPr>
        <w:footnoteRef/>
      </w:r>
      <w:r w:rsidRPr="003439C9">
        <w:t xml:space="preserve"> All review tools are posted on the FSQAP website</w:t>
      </w:r>
      <w:r>
        <w:t xml:space="preserve"> 67</w:t>
      </w:r>
      <w:hyperlink r:id="rId2" w:history="1">
        <w:r w:rsidRPr="00F27ECA">
          <w:rPr>
            <w:rStyle w:val="Hyperlink"/>
          </w:rPr>
          <w:t>https://florida.qlarant.com/Public2/resourceCenter/providers/discoveryReviewTools/index.html</w:t>
        </w:r>
      </w:hyperlink>
      <w:r>
        <w:fldChar w:fldCharType="begin"/>
      </w:r>
      <w:r>
        <w:fldChar w:fldCharType="end"/>
      </w:r>
      <w:hyperlink w:history="1"/>
      <w:r>
        <w:t xml:space="preserve"> </w:t>
      </w:r>
    </w:p>
  </w:footnote>
  <w:footnote w:id="11">
    <w:p w14:paraId="6963B3DD" w14:textId="786014B9" w:rsidR="00F94347" w:rsidRDefault="00F94347" w:rsidP="00B30056">
      <w:pPr>
        <w:pStyle w:val="FootnoteText"/>
      </w:pPr>
      <w:r>
        <w:rPr>
          <w:rStyle w:val="FootnoteReference"/>
        </w:rPr>
        <w:footnoteRef/>
      </w:r>
      <w:r>
        <w:t xml:space="preserve"> Deemed providers are permitted to skip one year for the PDR. Deemed is currently defined as an Overall PDR Score of 95% or higher for Service Providers and 99% or higher for WSCs, with no alerts and no potential billing discrepancies for which the total reimbursement amount is five percent or greater.</w:t>
      </w:r>
    </w:p>
  </w:footnote>
  <w:footnote w:id="12">
    <w:p w14:paraId="71C612E7" w14:textId="715E0BBD" w:rsidR="00F94347" w:rsidRDefault="00F94347" w:rsidP="00ED51D5">
      <w:pPr>
        <w:pStyle w:val="FootnoteText"/>
      </w:pPr>
      <w:r>
        <w:rPr>
          <w:rStyle w:val="FootnoteReference"/>
        </w:rPr>
        <w:footnoteRef/>
      </w:r>
      <w:r>
        <w:t xml:space="preserve"> All PCR and PDR tools can be viewed on the Qlarant website:  </w:t>
      </w:r>
      <w:hyperlink r:id="rId3" w:history="1">
        <w:r w:rsidRPr="001D7629">
          <w:rPr>
            <w:rStyle w:val="Hyperlink"/>
          </w:rPr>
          <w:t>https://florida.qlarant.com/Public2/resourceCenter/providers/discoveryReviewTools/index.html</w:t>
        </w:r>
      </w:hyperlink>
    </w:p>
  </w:footnote>
  <w:footnote w:id="13">
    <w:p w14:paraId="56D01C21" w14:textId="3716271C" w:rsidR="00F94347" w:rsidRDefault="00F94347" w:rsidP="00ED51D5">
      <w:pPr>
        <w:pStyle w:val="FootnoteText"/>
      </w:pPr>
      <w:r>
        <w:rPr>
          <w:rStyle w:val="FootnoteReference"/>
        </w:rPr>
        <w:footnoteRef/>
      </w:r>
      <w:r>
        <w:t xml:space="preserve"> See the PCR My Life Interview Section for a more detailed description of the interview standards. Some standards do not apply to all services reviewed during the PDR.</w:t>
      </w:r>
    </w:p>
  </w:footnote>
  <w:footnote w:id="14">
    <w:p w14:paraId="695506E7" w14:textId="77777777" w:rsidR="00F94347" w:rsidRDefault="00F94347" w:rsidP="00F34C75">
      <w:pPr>
        <w:pStyle w:val="FootnoteText"/>
      </w:pPr>
      <w:r>
        <w:rPr>
          <w:rStyle w:val="FootnoteReference"/>
        </w:rPr>
        <w:footnoteRef/>
      </w:r>
      <w:r>
        <w:t xml:space="preserve"> N sizes may vary throughout the report due to missing and/or not applicable data.</w:t>
      </w:r>
    </w:p>
  </w:footnote>
  <w:footnote w:id="15">
    <w:p w14:paraId="6B174882" w14:textId="5368530F" w:rsidR="00F94347" w:rsidRDefault="00F94347">
      <w:pPr>
        <w:pStyle w:val="FootnoteText"/>
      </w:pPr>
      <w:r>
        <w:rPr>
          <w:rStyle w:val="FootnoteReference"/>
        </w:rPr>
        <w:footnoteRef/>
      </w:r>
      <w:r>
        <w:t xml:space="preserve"> The list of medications includes vitamins and over the counter medications that may have been prescribed to the person.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5A3CB" w14:textId="19A1265A" w:rsidR="00F94347" w:rsidRDefault="00F94347">
    <w:pPr>
      <w:pStyle w:val="Header"/>
    </w:pPr>
    <w:r>
      <w:t>FSQAP FY 2021 Quarter 2</w:t>
    </w:r>
    <w:r>
      <w:tab/>
    </w:r>
    <w:r>
      <w:tab/>
      <w:t>Version 1</w:t>
    </w:r>
  </w:p>
  <w:p w14:paraId="1CA96F40" w14:textId="3A432F76" w:rsidR="00F94347" w:rsidRDefault="00F94347">
    <w:pPr>
      <w:pStyle w:val="Header"/>
    </w:pPr>
    <w:r>
      <w:t>October - December 2020</w:t>
    </w:r>
  </w:p>
  <w:p w14:paraId="395DB1C2" w14:textId="77777777" w:rsidR="00F94347" w:rsidRDefault="00F94347"/>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55E20B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D577D5"/>
    <w:multiLevelType w:val="hybridMultilevel"/>
    <w:tmpl w:val="CB040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1F6689"/>
    <w:multiLevelType w:val="hybridMultilevel"/>
    <w:tmpl w:val="DFC4E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893607"/>
    <w:multiLevelType w:val="hybridMultilevel"/>
    <w:tmpl w:val="B970B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A728BE"/>
    <w:multiLevelType w:val="hybridMultilevel"/>
    <w:tmpl w:val="98D25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4158BE"/>
    <w:multiLevelType w:val="hybridMultilevel"/>
    <w:tmpl w:val="89EA78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A859EE"/>
    <w:multiLevelType w:val="hybridMultilevel"/>
    <w:tmpl w:val="47B41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F3515E"/>
    <w:multiLevelType w:val="hybridMultilevel"/>
    <w:tmpl w:val="B1EEA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3F258B"/>
    <w:multiLevelType w:val="multilevel"/>
    <w:tmpl w:val="F85A2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AC6952"/>
    <w:multiLevelType w:val="hybridMultilevel"/>
    <w:tmpl w:val="02502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EC33D7"/>
    <w:multiLevelType w:val="hybridMultilevel"/>
    <w:tmpl w:val="F25A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94400E"/>
    <w:multiLevelType w:val="hybridMultilevel"/>
    <w:tmpl w:val="35822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81071"/>
    <w:multiLevelType w:val="multilevel"/>
    <w:tmpl w:val="D7767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ED523C"/>
    <w:multiLevelType w:val="hybridMultilevel"/>
    <w:tmpl w:val="14DCA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423261"/>
    <w:multiLevelType w:val="multilevel"/>
    <w:tmpl w:val="E2BAB1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0E1378"/>
    <w:multiLevelType w:val="hybridMultilevel"/>
    <w:tmpl w:val="373696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B010D39"/>
    <w:multiLevelType w:val="hybridMultilevel"/>
    <w:tmpl w:val="062AB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CE20AC"/>
    <w:multiLevelType w:val="hybridMultilevel"/>
    <w:tmpl w:val="5EF8C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3468D5"/>
    <w:multiLevelType w:val="hybridMultilevel"/>
    <w:tmpl w:val="23BEA0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683251"/>
    <w:multiLevelType w:val="hybridMultilevel"/>
    <w:tmpl w:val="150E0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6B2AAB"/>
    <w:multiLevelType w:val="hybridMultilevel"/>
    <w:tmpl w:val="3ACAA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661E68"/>
    <w:multiLevelType w:val="hybridMultilevel"/>
    <w:tmpl w:val="64600D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73239C6"/>
    <w:multiLevelType w:val="hybridMultilevel"/>
    <w:tmpl w:val="22A8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C965BE"/>
    <w:multiLevelType w:val="hybridMultilevel"/>
    <w:tmpl w:val="CB507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221BB7"/>
    <w:multiLevelType w:val="hybridMultilevel"/>
    <w:tmpl w:val="E8A482B0"/>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25" w15:restartNumberingAfterBreak="0">
    <w:nsid w:val="3F8873EC"/>
    <w:multiLevelType w:val="hybridMultilevel"/>
    <w:tmpl w:val="E1089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8C4A66"/>
    <w:multiLevelType w:val="hybridMultilevel"/>
    <w:tmpl w:val="F1ECA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995C6D"/>
    <w:multiLevelType w:val="hybridMultilevel"/>
    <w:tmpl w:val="05526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69F781B"/>
    <w:multiLevelType w:val="hybridMultilevel"/>
    <w:tmpl w:val="49582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093495"/>
    <w:multiLevelType w:val="hybridMultilevel"/>
    <w:tmpl w:val="C5FC0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C838B8"/>
    <w:multiLevelType w:val="hybridMultilevel"/>
    <w:tmpl w:val="C46E4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C8E1995"/>
    <w:multiLevelType w:val="hybridMultilevel"/>
    <w:tmpl w:val="297E0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936EDA"/>
    <w:multiLevelType w:val="hybridMultilevel"/>
    <w:tmpl w:val="0096D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FB2223E"/>
    <w:multiLevelType w:val="hybridMultilevel"/>
    <w:tmpl w:val="D3C00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DA1B46"/>
    <w:multiLevelType w:val="hybridMultilevel"/>
    <w:tmpl w:val="66787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8B7A80"/>
    <w:multiLevelType w:val="hybridMultilevel"/>
    <w:tmpl w:val="8DF2F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8C0F0B"/>
    <w:multiLevelType w:val="hybridMultilevel"/>
    <w:tmpl w:val="80C6C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8F500F"/>
    <w:multiLevelType w:val="hybridMultilevel"/>
    <w:tmpl w:val="201C1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A80347"/>
    <w:multiLevelType w:val="hybridMultilevel"/>
    <w:tmpl w:val="DC847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78262F"/>
    <w:multiLevelType w:val="hybridMultilevel"/>
    <w:tmpl w:val="751C4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5B10F1"/>
    <w:multiLevelType w:val="hybridMultilevel"/>
    <w:tmpl w:val="5F4E9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8CC1A9C"/>
    <w:multiLevelType w:val="hybridMultilevel"/>
    <w:tmpl w:val="12047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A660D6A"/>
    <w:multiLevelType w:val="hybridMultilevel"/>
    <w:tmpl w:val="B3B26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3D6402"/>
    <w:multiLevelType w:val="hybridMultilevel"/>
    <w:tmpl w:val="D2E42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0B3864"/>
    <w:multiLevelType w:val="hybridMultilevel"/>
    <w:tmpl w:val="1CF08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661CF6"/>
    <w:multiLevelType w:val="hybridMultilevel"/>
    <w:tmpl w:val="51CA4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5B0E18"/>
    <w:multiLevelType w:val="hybridMultilevel"/>
    <w:tmpl w:val="B8424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586359"/>
    <w:multiLevelType w:val="hybridMultilevel"/>
    <w:tmpl w:val="252EA07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7"/>
  </w:num>
  <w:num w:numId="2">
    <w:abstractNumId w:val="38"/>
  </w:num>
  <w:num w:numId="3">
    <w:abstractNumId w:val="22"/>
  </w:num>
  <w:num w:numId="4">
    <w:abstractNumId w:val="3"/>
  </w:num>
  <w:num w:numId="5">
    <w:abstractNumId w:val="4"/>
  </w:num>
  <w:num w:numId="6">
    <w:abstractNumId w:val="42"/>
  </w:num>
  <w:num w:numId="7">
    <w:abstractNumId w:val="6"/>
  </w:num>
  <w:num w:numId="8">
    <w:abstractNumId w:val="26"/>
  </w:num>
  <w:num w:numId="9">
    <w:abstractNumId w:val="40"/>
  </w:num>
  <w:num w:numId="10">
    <w:abstractNumId w:val="43"/>
  </w:num>
  <w:num w:numId="11">
    <w:abstractNumId w:val="32"/>
  </w:num>
  <w:num w:numId="12">
    <w:abstractNumId w:val="16"/>
  </w:num>
  <w:num w:numId="13">
    <w:abstractNumId w:val="0"/>
  </w:num>
  <w:num w:numId="14">
    <w:abstractNumId w:val="46"/>
  </w:num>
  <w:num w:numId="15">
    <w:abstractNumId w:val="29"/>
  </w:num>
  <w:num w:numId="16">
    <w:abstractNumId w:val="24"/>
  </w:num>
  <w:num w:numId="17">
    <w:abstractNumId w:val="41"/>
  </w:num>
  <w:num w:numId="18">
    <w:abstractNumId w:val="5"/>
  </w:num>
  <w:num w:numId="19">
    <w:abstractNumId w:val="45"/>
  </w:num>
  <w:num w:numId="20">
    <w:abstractNumId w:val="36"/>
  </w:num>
  <w:num w:numId="21">
    <w:abstractNumId w:val="10"/>
  </w:num>
  <w:num w:numId="22">
    <w:abstractNumId w:val="1"/>
  </w:num>
  <w:num w:numId="23">
    <w:abstractNumId w:val="21"/>
  </w:num>
  <w:num w:numId="24">
    <w:abstractNumId w:val="30"/>
  </w:num>
  <w:num w:numId="25">
    <w:abstractNumId w:val="15"/>
  </w:num>
  <w:num w:numId="26">
    <w:abstractNumId w:val="33"/>
  </w:num>
  <w:num w:numId="27">
    <w:abstractNumId w:val="7"/>
  </w:num>
  <w:num w:numId="28">
    <w:abstractNumId w:val="25"/>
  </w:num>
  <w:num w:numId="29">
    <w:abstractNumId w:val="17"/>
  </w:num>
  <w:num w:numId="30">
    <w:abstractNumId w:val="9"/>
  </w:num>
  <w:num w:numId="31">
    <w:abstractNumId w:val="35"/>
  </w:num>
  <w:num w:numId="32">
    <w:abstractNumId w:val="18"/>
  </w:num>
  <w:num w:numId="33">
    <w:abstractNumId w:val="44"/>
  </w:num>
  <w:num w:numId="34">
    <w:abstractNumId w:val="37"/>
  </w:num>
  <w:num w:numId="35">
    <w:abstractNumId w:val="31"/>
  </w:num>
  <w:num w:numId="36">
    <w:abstractNumId w:val="34"/>
  </w:num>
  <w:num w:numId="37">
    <w:abstractNumId w:val="20"/>
  </w:num>
  <w:num w:numId="38">
    <w:abstractNumId w:val="13"/>
  </w:num>
  <w:num w:numId="39">
    <w:abstractNumId w:val="39"/>
  </w:num>
  <w:num w:numId="40">
    <w:abstractNumId w:val="11"/>
  </w:num>
  <w:num w:numId="41">
    <w:abstractNumId w:val="19"/>
  </w:num>
  <w:num w:numId="42">
    <w:abstractNumId w:val="28"/>
  </w:num>
  <w:num w:numId="43">
    <w:abstractNumId w:val="8"/>
  </w:num>
  <w:num w:numId="44">
    <w:abstractNumId w:val="12"/>
  </w:num>
  <w:num w:numId="45">
    <w:abstractNumId w:val="2"/>
  </w:num>
  <w:num w:numId="46">
    <w:abstractNumId w:val="14"/>
  </w:num>
  <w:num w:numId="47">
    <w:abstractNumId w:val="27"/>
  </w:num>
  <w:num w:numId="48">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doNotTrackFormatting/>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20E"/>
    <w:rsid w:val="00000224"/>
    <w:rsid w:val="00000383"/>
    <w:rsid w:val="00000C38"/>
    <w:rsid w:val="00002A0D"/>
    <w:rsid w:val="00002BA3"/>
    <w:rsid w:val="0000336A"/>
    <w:rsid w:val="00004231"/>
    <w:rsid w:val="00004388"/>
    <w:rsid w:val="000051EE"/>
    <w:rsid w:val="000054D7"/>
    <w:rsid w:val="00010953"/>
    <w:rsid w:val="000109F1"/>
    <w:rsid w:val="00010E44"/>
    <w:rsid w:val="00011650"/>
    <w:rsid w:val="00011FF4"/>
    <w:rsid w:val="00012543"/>
    <w:rsid w:val="00012A7A"/>
    <w:rsid w:val="00014B92"/>
    <w:rsid w:val="00015420"/>
    <w:rsid w:val="00015BCC"/>
    <w:rsid w:val="00015C79"/>
    <w:rsid w:val="00015D9C"/>
    <w:rsid w:val="00015FB2"/>
    <w:rsid w:val="00016F78"/>
    <w:rsid w:val="0001768D"/>
    <w:rsid w:val="0002005A"/>
    <w:rsid w:val="00020822"/>
    <w:rsid w:val="0002184C"/>
    <w:rsid w:val="00022882"/>
    <w:rsid w:val="00022EAF"/>
    <w:rsid w:val="000238E2"/>
    <w:rsid w:val="00023D5D"/>
    <w:rsid w:val="000246B2"/>
    <w:rsid w:val="00024AD5"/>
    <w:rsid w:val="0002565F"/>
    <w:rsid w:val="00025FAD"/>
    <w:rsid w:val="000260B4"/>
    <w:rsid w:val="000262EA"/>
    <w:rsid w:val="0002658B"/>
    <w:rsid w:val="00026A77"/>
    <w:rsid w:val="0002759A"/>
    <w:rsid w:val="0002788E"/>
    <w:rsid w:val="000316B3"/>
    <w:rsid w:val="00032695"/>
    <w:rsid w:val="00032E49"/>
    <w:rsid w:val="00035061"/>
    <w:rsid w:val="000353D0"/>
    <w:rsid w:val="00035DD5"/>
    <w:rsid w:val="00037E90"/>
    <w:rsid w:val="000416BE"/>
    <w:rsid w:val="00042DD2"/>
    <w:rsid w:val="000444FE"/>
    <w:rsid w:val="00045A86"/>
    <w:rsid w:val="00050369"/>
    <w:rsid w:val="0005083F"/>
    <w:rsid w:val="00050A6E"/>
    <w:rsid w:val="00050E9D"/>
    <w:rsid w:val="00052A17"/>
    <w:rsid w:val="000532E3"/>
    <w:rsid w:val="00053309"/>
    <w:rsid w:val="00053597"/>
    <w:rsid w:val="00054F10"/>
    <w:rsid w:val="00056105"/>
    <w:rsid w:val="00056415"/>
    <w:rsid w:val="0005738D"/>
    <w:rsid w:val="000603E7"/>
    <w:rsid w:val="000608C1"/>
    <w:rsid w:val="00060E9D"/>
    <w:rsid w:val="00061826"/>
    <w:rsid w:val="00061F05"/>
    <w:rsid w:val="00062769"/>
    <w:rsid w:val="00062919"/>
    <w:rsid w:val="00062D6B"/>
    <w:rsid w:val="0006356E"/>
    <w:rsid w:val="00063A5B"/>
    <w:rsid w:val="00063DC0"/>
    <w:rsid w:val="00064448"/>
    <w:rsid w:val="0006569D"/>
    <w:rsid w:val="00065BD8"/>
    <w:rsid w:val="000706A5"/>
    <w:rsid w:val="00070C35"/>
    <w:rsid w:val="00071EFB"/>
    <w:rsid w:val="00072BF3"/>
    <w:rsid w:val="00072DFB"/>
    <w:rsid w:val="00073525"/>
    <w:rsid w:val="00073DD1"/>
    <w:rsid w:val="000741DB"/>
    <w:rsid w:val="000743B5"/>
    <w:rsid w:val="000745CA"/>
    <w:rsid w:val="00074DC0"/>
    <w:rsid w:val="000754CD"/>
    <w:rsid w:val="00075528"/>
    <w:rsid w:val="0007614F"/>
    <w:rsid w:val="00077A33"/>
    <w:rsid w:val="00080448"/>
    <w:rsid w:val="000820C3"/>
    <w:rsid w:val="000821DD"/>
    <w:rsid w:val="0008225C"/>
    <w:rsid w:val="000825D4"/>
    <w:rsid w:val="00082D04"/>
    <w:rsid w:val="00083031"/>
    <w:rsid w:val="00085799"/>
    <w:rsid w:val="00086A31"/>
    <w:rsid w:val="0008741D"/>
    <w:rsid w:val="000879EC"/>
    <w:rsid w:val="0009055A"/>
    <w:rsid w:val="00090D21"/>
    <w:rsid w:val="00091FB0"/>
    <w:rsid w:val="000929B8"/>
    <w:rsid w:val="000932DB"/>
    <w:rsid w:val="0009360B"/>
    <w:rsid w:val="00094048"/>
    <w:rsid w:val="0009444F"/>
    <w:rsid w:val="00094DE5"/>
    <w:rsid w:val="0009666E"/>
    <w:rsid w:val="0009698A"/>
    <w:rsid w:val="000969B0"/>
    <w:rsid w:val="00097459"/>
    <w:rsid w:val="00097D2B"/>
    <w:rsid w:val="000A0723"/>
    <w:rsid w:val="000A0807"/>
    <w:rsid w:val="000A4618"/>
    <w:rsid w:val="000A4E14"/>
    <w:rsid w:val="000A6339"/>
    <w:rsid w:val="000A68E9"/>
    <w:rsid w:val="000A6B87"/>
    <w:rsid w:val="000A6C1B"/>
    <w:rsid w:val="000A75A7"/>
    <w:rsid w:val="000A7791"/>
    <w:rsid w:val="000A79E2"/>
    <w:rsid w:val="000B0954"/>
    <w:rsid w:val="000B15BE"/>
    <w:rsid w:val="000B2241"/>
    <w:rsid w:val="000B3136"/>
    <w:rsid w:val="000B3153"/>
    <w:rsid w:val="000B3BDE"/>
    <w:rsid w:val="000B3D88"/>
    <w:rsid w:val="000B4FF1"/>
    <w:rsid w:val="000B6022"/>
    <w:rsid w:val="000B60F5"/>
    <w:rsid w:val="000B7405"/>
    <w:rsid w:val="000B792B"/>
    <w:rsid w:val="000C0F60"/>
    <w:rsid w:val="000C127D"/>
    <w:rsid w:val="000C189E"/>
    <w:rsid w:val="000C24D2"/>
    <w:rsid w:val="000C25A2"/>
    <w:rsid w:val="000C2777"/>
    <w:rsid w:val="000C28A3"/>
    <w:rsid w:val="000C306A"/>
    <w:rsid w:val="000C358A"/>
    <w:rsid w:val="000C3901"/>
    <w:rsid w:val="000C3D92"/>
    <w:rsid w:val="000C3E4A"/>
    <w:rsid w:val="000C3EC4"/>
    <w:rsid w:val="000C455D"/>
    <w:rsid w:val="000C47D1"/>
    <w:rsid w:val="000C4885"/>
    <w:rsid w:val="000C4C5A"/>
    <w:rsid w:val="000C55D3"/>
    <w:rsid w:val="000C5B63"/>
    <w:rsid w:val="000C5C6F"/>
    <w:rsid w:val="000C5E2F"/>
    <w:rsid w:val="000C62DB"/>
    <w:rsid w:val="000C655C"/>
    <w:rsid w:val="000C65DA"/>
    <w:rsid w:val="000C68DC"/>
    <w:rsid w:val="000C6A2F"/>
    <w:rsid w:val="000C6CDD"/>
    <w:rsid w:val="000C6E44"/>
    <w:rsid w:val="000C772F"/>
    <w:rsid w:val="000D07B1"/>
    <w:rsid w:val="000D09FA"/>
    <w:rsid w:val="000D13A7"/>
    <w:rsid w:val="000D1936"/>
    <w:rsid w:val="000D1E6F"/>
    <w:rsid w:val="000D2EB0"/>
    <w:rsid w:val="000D30CE"/>
    <w:rsid w:val="000D3228"/>
    <w:rsid w:val="000D3689"/>
    <w:rsid w:val="000D3F37"/>
    <w:rsid w:val="000D4197"/>
    <w:rsid w:val="000D49D9"/>
    <w:rsid w:val="000D5F37"/>
    <w:rsid w:val="000D626C"/>
    <w:rsid w:val="000D645B"/>
    <w:rsid w:val="000D6631"/>
    <w:rsid w:val="000D6F76"/>
    <w:rsid w:val="000D749F"/>
    <w:rsid w:val="000D7A46"/>
    <w:rsid w:val="000E00D0"/>
    <w:rsid w:val="000E0599"/>
    <w:rsid w:val="000E0904"/>
    <w:rsid w:val="000E0AE1"/>
    <w:rsid w:val="000E0DA4"/>
    <w:rsid w:val="000E1DF1"/>
    <w:rsid w:val="000E272D"/>
    <w:rsid w:val="000E2A34"/>
    <w:rsid w:val="000E3920"/>
    <w:rsid w:val="000E41A5"/>
    <w:rsid w:val="000E458A"/>
    <w:rsid w:val="000E48C0"/>
    <w:rsid w:val="000E4994"/>
    <w:rsid w:val="000E4D38"/>
    <w:rsid w:val="000E54D7"/>
    <w:rsid w:val="000E5CAB"/>
    <w:rsid w:val="000E6501"/>
    <w:rsid w:val="000E66E8"/>
    <w:rsid w:val="000E772C"/>
    <w:rsid w:val="000E7D1F"/>
    <w:rsid w:val="000F0C3C"/>
    <w:rsid w:val="000F1403"/>
    <w:rsid w:val="000F16C0"/>
    <w:rsid w:val="000F2538"/>
    <w:rsid w:val="000F2F48"/>
    <w:rsid w:val="000F3825"/>
    <w:rsid w:val="000F504A"/>
    <w:rsid w:val="000F5FBE"/>
    <w:rsid w:val="000F66A3"/>
    <w:rsid w:val="000F6796"/>
    <w:rsid w:val="000F694C"/>
    <w:rsid w:val="000F71AF"/>
    <w:rsid w:val="000F7382"/>
    <w:rsid w:val="000F7641"/>
    <w:rsid w:val="000F7664"/>
    <w:rsid w:val="000F7B66"/>
    <w:rsid w:val="00100061"/>
    <w:rsid w:val="001016E0"/>
    <w:rsid w:val="001016E1"/>
    <w:rsid w:val="00102BDE"/>
    <w:rsid w:val="00104275"/>
    <w:rsid w:val="00104428"/>
    <w:rsid w:val="00105449"/>
    <w:rsid w:val="00105D6E"/>
    <w:rsid w:val="00105D8F"/>
    <w:rsid w:val="00106950"/>
    <w:rsid w:val="00111451"/>
    <w:rsid w:val="00111785"/>
    <w:rsid w:val="00111EB7"/>
    <w:rsid w:val="001132B9"/>
    <w:rsid w:val="00114047"/>
    <w:rsid w:val="00114B58"/>
    <w:rsid w:val="0011595D"/>
    <w:rsid w:val="00115E72"/>
    <w:rsid w:val="00120631"/>
    <w:rsid w:val="0012257D"/>
    <w:rsid w:val="0012336A"/>
    <w:rsid w:val="0012366B"/>
    <w:rsid w:val="00123E63"/>
    <w:rsid w:val="00124557"/>
    <w:rsid w:val="00124DBE"/>
    <w:rsid w:val="00125129"/>
    <w:rsid w:val="0012561D"/>
    <w:rsid w:val="00125C35"/>
    <w:rsid w:val="0012603D"/>
    <w:rsid w:val="001265FA"/>
    <w:rsid w:val="00126AEA"/>
    <w:rsid w:val="00126E69"/>
    <w:rsid w:val="001276BD"/>
    <w:rsid w:val="00127A6B"/>
    <w:rsid w:val="00127F68"/>
    <w:rsid w:val="0013206E"/>
    <w:rsid w:val="00133304"/>
    <w:rsid w:val="001367F6"/>
    <w:rsid w:val="00137C6A"/>
    <w:rsid w:val="001401A7"/>
    <w:rsid w:val="00140229"/>
    <w:rsid w:val="00141C9B"/>
    <w:rsid w:val="00141DDE"/>
    <w:rsid w:val="001429FC"/>
    <w:rsid w:val="00144F03"/>
    <w:rsid w:val="00147142"/>
    <w:rsid w:val="00147483"/>
    <w:rsid w:val="00150D14"/>
    <w:rsid w:val="00152F12"/>
    <w:rsid w:val="00154289"/>
    <w:rsid w:val="001543CD"/>
    <w:rsid w:val="00154424"/>
    <w:rsid w:val="00154ACE"/>
    <w:rsid w:val="00154C17"/>
    <w:rsid w:val="00155892"/>
    <w:rsid w:val="00155FBD"/>
    <w:rsid w:val="001562E6"/>
    <w:rsid w:val="0015643F"/>
    <w:rsid w:val="001564CE"/>
    <w:rsid w:val="0015791D"/>
    <w:rsid w:val="00157EE2"/>
    <w:rsid w:val="001602D3"/>
    <w:rsid w:val="001608A0"/>
    <w:rsid w:val="00160D44"/>
    <w:rsid w:val="00161093"/>
    <w:rsid w:val="00161BC4"/>
    <w:rsid w:val="00162252"/>
    <w:rsid w:val="001630DB"/>
    <w:rsid w:val="0016323C"/>
    <w:rsid w:val="00163F3F"/>
    <w:rsid w:val="001655D8"/>
    <w:rsid w:val="00165756"/>
    <w:rsid w:val="00165AF8"/>
    <w:rsid w:val="00166206"/>
    <w:rsid w:val="00166290"/>
    <w:rsid w:val="00166E49"/>
    <w:rsid w:val="00167292"/>
    <w:rsid w:val="00171DC6"/>
    <w:rsid w:val="0017221A"/>
    <w:rsid w:val="0017245F"/>
    <w:rsid w:val="00173112"/>
    <w:rsid w:val="001737EA"/>
    <w:rsid w:val="00173834"/>
    <w:rsid w:val="001740D7"/>
    <w:rsid w:val="001746C2"/>
    <w:rsid w:val="0017737F"/>
    <w:rsid w:val="00177822"/>
    <w:rsid w:val="00177C9D"/>
    <w:rsid w:val="00180769"/>
    <w:rsid w:val="001814F6"/>
    <w:rsid w:val="0018206C"/>
    <w:rsid w:val="001828D3"/>
    <w:rsid w:val="00182CD2"/>
    <w:rsid w:val="0018418A"/>
    <w:rsid w:val="00184299"/>
    <w:rsid w:val="00184CBB"/>
    <w:rsid w:val="00184FF0"/>
    <w:rsid w:val="00185F47"/>
    <w:rsid w:val="00186485"/>
    <w:rsid w:val="001869E0"/>
    <w:rsid w:val="00186F1C"/>
    <w:rsid w:val="0018769A"/>
    <w:rsid w:val="00190EF6"/>
    <w:rsid w:val="00191119"/>
    <w:rsid w:val="001915BF"/>
    <w:rsid w:val="0019187F"/>
    <w:rsid w:val="001928BA"/>
    <w:rsid w:val="00192B19"/>
    <w:rsid w:val="00192D39"/>
    <w:rsid w:val="0019378A"/>
    <w:rsid w:val="00193C99"/>
    <w:rsid w:val="00193CE3"/>
    <w:rsid w:val="0019405D"/>
    <w:rsid w:val="001940FE"/>
    <w:rsid w:val="00194A49"/>
    <w:rsid w:val="00194BDE"/>
    <w:rsid w:val="00195402"/>
    <w:rsid w:val="00195424"/>
    <w:rsid w:val="0019576E"/>
    <w:rsid w:val="001965B2"/>
    <w:rsid w:val="00196F16"/>
    <w:rsid w:val="001970F5"/>
    <w:rsid w:val="0019756A"/>
    <w:rsid w:val="00197B51"/>
    <w:rsid w:val="001A1020"/>
    <w:rsid w:val="001A19B0"/>
    <w:rsid w:val="001A259B"/>
    <w:rsid w:val="001A2743"/>
    <w:rsid w:val="001A2BF6"/>
    <w:rsid w:val="001A3535"/>
    <w:rsid w:val="001A506B"/>
    <w:rsid w:val="001A5A36"/>
    <w:rsid w:val="001A5D10"/>
    <w:rsid w:val="001A5E9A"/>
    <w:rsid w:val="001A6082"/>
    <w:rsid w:val="001A6273"/>
    <w:rsid w:val="001A6E15"/>
    <w:rsid w:val="001A6FD6"/>
    <w:rsid w:val="001A6FF0"/>
    <w:rsid w:val="001A7814"/>
    <w:rsid w:val="001A7F5D"/>
    <w:rsid w:val="001B00E3"/>
    <w:rsid w:val="001B0651"/>
    <w:rsid w:val="001B1249"/>
    <w:rsid w:val="001B13FF"/>
    <w:rsid w:val="001B18FE"/>
    <w:rsid w:val="001B195B"/>
    <w:rsid w:val="001B1A94"/>
    <w:rsid w:val="001B1BD9"/>
    <w:rsid w:val="001B1D4B"/>
    <w:rsid w:val="001B2339"/>
    <w:rsid w:val="001B23D6"/>
    <w:rsid w:val="001B24D4"/>
    <w:rsid w:val="001B2FED"/>
    <w:rsid w:val="001B3746"/>
    <w:rsid w:val="001B3903"/>
    <w:rsid w:val="001B4977"/>
    <w:rsid w:val="001B5014"/>
    <w:rsid w:val="001B55C6"/>
    <w:rsid w:val="001B59A8"/>
    <w:rsid w:val="001B5FC2"/>
    <w:rsid w:val="001B797D"/>
    <w:rsid w:val="001C0085"/>
    <w:rsid w:val="001C04B9"/>
    <w:rsid w:val="001C04BB"/>
    <w:rsid w:val="001C0B25"/>
    <w:rsid w:val="001C18AE"/>
    <w:rsid w:val="001C202D"/>
    <w:rsid w:val="001C2524"/>
    <w:rsid w:val="001C2A97"/>
    <w:rsid w:val="001C3134"/>
    <w:rsid w:val="001C3D6D"/>
    <w:rsid w:val="001C41D0"/>
    <w:rsid w:val="001C458F"/>
    <w:rsid w:val="001C5523"/>
    <w:rsid w:val="001C5AAF"/>
    <w:rsid w:val="001C61DF"/>
    <w:rsid w:val="001C633F"/>
    <w:rsid w:val="001C6463"/>
    <w:rsid w:val="001C6B90"/>
    <w:rsid w:val="001C6BF5"/>
    <w:rsid w:val="001C6EC2"/>
    <w:rsid w:val="001C708C"/>
    <w:rsid w:val="001C749C"/>
    <w:rsid w:val="001D0121"/>
    <w:rsid w:val="001D0CB2"/>
    <w:rsid w:val="001D0FAD"/>
    <w:rsid w:val="001D29DE"/>
    <w:rsid w:val="001D2C1A"/>
    <w:rsid w:val="001D2F7E"/>
    <w:rsid w:val="001D3240"/>
    <w:rsid w:val="001D3458"/>
    <w:rsid w:val="001D3494"/>
    <w:rsid w:val="001D434C"/>
    <w:rsid w:val="001D5DEE"/>
    <w:rsid w:val="001D6F19"/>
    <w:rsid w:val="001D7629"/>
    <w:rsid w:val="001D7D65"/>
    <w:rsid w:val="001E03E9"/>
    <w:rsid w:val="001E07FA"/>
    <w:rsid w:val="001E0F32"/>
    <w:rsid w:val="001E154C"/>
    <w:rsid w:val="001E1A0A"/>
    <w:rsid w:val="001E2217"/>
    <w:rsid w:val="001E27E4"/>
    <w:rsid w:val="001E3A44"/>
    <w:rsid w:val="001E4B02"/>
    <w:rsid w:val="001E59BE"/>
    <w:rsid w:val="001E77E2"/>
    <w:rsid w:val="001F1064"/>
    <w:rsid w:val="001F1FEE"/>
    <w:rsid w:val="001F2D60"/>
    <w:rsid w:val="001F30D9"/>
    <w:rsid w:val="001F3A79"/>
    <w:rsid w:val="001F40D3"/>
    <w:rsid w:val="001F62A7"/>
    <w:rsid w:val="001F62DC"/>
    <w:rsid w:val="001F6A6D"/>
    <w:rsid w:val="001F73A7"/>
    <w:rsid w:val="001F7923"/>
    <w:rsid w:val="001F7F19"/>
    <w:rsid w:val="00200174"/>
    <w:rsid w:val="00200804"/>
    <w:rsid w:val="00200826"/>
    <w:rsid w:val="002018CA"/>
    <w:rsid w:val="00201B13"/>
    <w:rsid w:val="00201EA2"/>
    <w:rsid w:val="00202140"/>
    <w:rsid w:val="00203E52"/>
    <w:rsid w:val="002041C7"/>
    <w:rsid w:val="00204A78"/>
    <w:rsid w:val="00204BCD"/>
    <w:rsid w:val="002053A6"/>
    <w:rsid w:val="00206052"/>
    <w:rsid w:val="002060AC"/>
    <w:rsid w:val="00206281"/>
    <w:rsid w:val="002062B4"/>
    <w:rsid w:val="00210194"/>
    <w:rsid w:val="002116D3"/>
    <w:rsid w:val="00211A20"/>
    <w:rsid w:val="002122B5"/>
    <w:rsid w:val="00212C0C"/>
    <w:rsid w:val="002135E1"/>
    <w:rsid w:val="00213C4F"/>
    <w:rsid w:val="002142EC"/>
    <w:rsid w:val="00214C8C"/>
    <w:rsid w:val="00215A65"/>
    <w:rsid w:val="00215A83"/>
    <w:rsid w:val="00216C18"/>
    <w:rsid w:val="00216DC2"/>
    <w:rsid w:val="00216DF5"/>
    <w:rsid w:val="002171F7"/>
    <w:rsid w:val="00217597"/>
    <w:rsid w:val="00217A68"/>
    <w:rsid w:val="00220397"/>
    <w:rsid w:val="00220B97"/>
    <w:rsid w:val="00220E7B"/>
    <w:rsid w:val="00220F7A"/>
    <w:rsid w:val="00221003"/>
    <w:rsid w:val="002227C7"/>
    <w:rsid w:val="00222EDA"/>
    <w:rsid w:val="002234A3"/>
    <w:rsid w:val="002248B5"/>
    <w:rsid w:val="00224AE0"/>
    <w:rsid w:val="00225EF8"/>
    <w:rsid w:val="0022639E"/>
    <w:rsid w:val="0022641B"/>
    <w:rsid w:val="00227E7E"/>
    <w:rsid w:val="00230215"/>
    <w:rsid w:val="002305DC"/>
    <w:rsid w:val="002306F7"/>
    <w:rsid w:val="00231286"/>
    <w:rsid w:val="002318A1"/>
    <w:rsid w:val="002324DC"/>
    <w:rsid w:val="00232A47"/>
    <w:rsid w:val="00232F62"/>
    <w:rsid w:val="00233969"/>
    <w:rsid w:val="00233B2A"/>
    <w:rsid w:val="00233E56"/>
    <w:rsid w:val="00234354"/>
    <w:rsid w:val="0023460E"/>
    <w:rsid w:val="00234813"/>
    <w:rsid w:val="002358C8"/>
    <w:rsid w:val="002363B5"/>
    <w:rsid w:val="002365B5"/>
    <w:rsid w:val="00236E5C"/>
    <w:rsid w:val="00236EE5"/>
    <w:rsid w:val="00237144"/>
    <w:rsid w:val="00237A6A"/>
    <w:rsid w:val="00237CA7"/>
    <w:rsid w:val="00237FE9"/>
    <w:rsid w:val="00241CDB"/>
    <w:rsid w:val="00242C40"/>
    <w:rsid w:val="00243EE0"/>
    <w:rsid w:val="0024448E"/>
    <w:rsid w:val="00244801"/>
    <w:rsid w:val="00244B7D"/>
    <w:rsid w:val="00244BA1"/>
    <w:rsid w:val="00246474"/>
    <w:rsid w:val="002472D0"/>
    <w:rsid w:val="00247489"/>
    <w:rsid w:val="0024781B"/>
    <w:rsid w:val="00247988"/>
    <w:rsid w:val="00250E20"/>
    <w:rsid w:val="00250EBE"/>
    <w:rsid w:val="00250F8F"/>
    <w:rsid w:val="0025190C"/>
    <w:rsid w:val="00251C01"/>
    <w:rsid w:val="002527BE"/>
    <w:rsid w:val="00253146"/>
    <w:rsid w:val="0025357C"/>
    <w:rsid w:val="00253F95"/>
    <w:rsid w:val="0025499D"/>
    <w:rsid w:val="002555E4"/>
    <w:rsid w:val="002562B7"/>
    <w:rsid w:val="002567EB"/>
    <w:rsid w:val="00257AE1"/>
    <w:rsid w:val="002602F2"/>
    <w:rsid w:val="002612F9"/>
    <w:rsid w:val="00261D42"/>
    <w:rsid w:val="002625FB"/>
    <w:rsid w:val="00263563"/>
    <w:rsid w:val="00263F51"/>
    <w:rsid w:val="00264A78"/>
    <w:rsid w:val="002652F4"/>
    <w:rsid w:val="00265B59"/>
    <w:rsid w:val="00266533"/>
    <w:rsid w:val="002665ED"/>
    <w:rsid w:val="00266667"/>
    <w:rsid w:val="0026731C"/>
    <w:rsid w:val="0026748A"/>
    <w:rsid w:val="002674C0"/>
    <w:rsid w:val="0026787D"/>
    <w:rsid w:val="00267E19"/>
    <w:rsid w:val="002704E2"/>
    <w:rsid w:val="00270CBC"/>
    <w:rsid w:val="002711C7"/>
    <w:rsid w:val="00271400"/>
    <w:rsid w:val="0027244E"/>
    <w:rsid w:val="00272684"/>
    <w:rsid w:val="00272C04"/>
    <w:rsid w:val="00273869"/>
    <w:rsid w:val="00274B19"/>
    <w:rsid w:val="00275CF7"/>
    <w:rsid w:val="00280419"/>
    <w:rsid w:val="00281B89"/>
    <w:rsid w:val="002824F8"/>
    <w:rsid w:val="00282F87"/>
    <w:rsid w:val="00282FA9"/>
    <w:rsid w:val="002831E3"/>
    <w:rsid w:val="00284907"/>
    <w:rsid w:val="00284A1B"/>
    <w:rsid w:val="00285006"/>
    <w:rsid w:val="00285460"/>
    <w:rsid w:val="0028580A"/>
    <w:rsid w:val="00285BF8"/>
    <w:rsid w:val="00285C81"/>
    <w:rsid w:val="002860FA"/>
    <w:rsid w:val="0028617B"/>
    <w:rsid w:val="00286422"/>
    <w:rsid w:val="002864D8"/>
    <w:rsid w:val="00287111"/>
    <w:rsid w:val="00287D58"/>
    <w:rsid w:val="00290610"/>
    <w:rsid w:val="00291D4B"/>
    <w:rsid w:val="00291FAA"/>
    <w:rsid w:val="002926A2"/>
    <w:rsid w:val="00292737"/>
    <w:rsid w:val="00293022"/>
    <w:rsid w:val="00293ED4"/>
    <w:rsid w:val="0029404D"/>
    <w:rsid w:val="00294D0D"/>
    <w:rsid w:val="0029647A"/>
    <w:rsid w:val="0029671F"/>
    <w:rsid w:val="00296781"/>
    <w:rsid w:val="00297F62"/>
    <w:rsid w:val="002A09B3"/>
    <w:rsid w:val="002A1169"/>
    <w:rsid w:val="002A19AC"/>
    <w:rsid w:val="002A1E13"/>
    <w:rsid w:val="002A2E96"/>
    <w:rsid w:val="002A3A99"/>
    <w:rsid w:val="002A3E29"/>
    <w:rsid w:val="002A4518"/>
    <w:rsid w:val="002A4E2F"/>
    <w:rsid w:val="002A5415"/>
    <w:rsid w:val="002A5872"/>
    <w:rsid w:val="002A5C5E"/>
    <w:rsid w:val="002A63F3"/>
    <w:rsid w:val="002A6B25"/>
    <w:rsid w:val="002A6FCD"/>
    <w:rsid w:val="002A7900"/>
    <w:rsid w:val="002B10B9"/>
    <w:rsid w:val="002B1520"/>
    <w:rsid w:val="002B16A6"/>
    <w:rsid w:val="002B1BD9"/>
    <w:rsid w:val="002B2277"/>
    <w:rsid w:val="002B2DB7"/>
    <w:rsid w:val="002B35E5"/>
    <w:rsid w:val="002B401C"/>
    <w:rsid w:val="002B4FD5"/>
    <w:rsid w:val="002B7C4E"/>
    <w:rsid w:val="002C0075"/>
    <w:rsid w:val="002C0325"/>
    <w:rsid w:val="002C0A87"/>
    <w:rsid w:val="002C0D33"/>
    <w:rsid w:val="002C181D"/>
    <w:rsid w:val="002C1E7F"/>
    <w:rsid w:val="002C2AFB"/>
    <w:rsid w:val="002C5ADF"/>
    <w:rsid w:val="002C64C3"/>
    <w:rsid w:val="002C7D44"/>
    <w:rsid w:val="002D0516"/>
    <w:rsid w:val="002D1F9B"/>
    <w:rsid w:val="002D265A"/>
    <w:rsid w:val="002D26B9"/>
    <w:rsid w:val="002D283D"/>
    <w:rsid w:val="002D28CB"/>
    <w:rsid w:val="002D2C82"/>
    <w:rsid w:val="002D3571"/>
    <w:rsid w:val="002D4028"/>
    <w:rsid w:val="002D40E2"/>
    <w:rsid w:val="002D4141"/>
    <w:rsid w:val="002D5398"/>
    <w:rsid w:val="002D6C4E"/>
    <w:rsid w:val="002D6E02"/>
    <w:rsid w:val="002D6FCC"/>
    <w:rsid w:val="002D7423"/>
    <w:rsid w:val="002D7636"/>
    <w:rsid w:val="002D7F7C"/>
    <w:rsid w:val="002E1FEA"/>
    <w:rsid w:val="002E363F"/>
    <w:rsid w:val="002E46B0"/>
    <w:rsid w:val="002E4DE6"/>
    <w:rsid w:val="002E504D"/>
    <w:rsid w:val="002E59BA"/>
    <w:rsid w:val="002E7E81"/>
    <w:rsid w:val="002F103F"/>
    <w:rsid w:val="002F16BD"/>
    <w:rsid w:val="002F253C"/>
    <w:rsid w:val="002F26CC"/>
    <w:rsid w:val="002F479D"/>
    <w:rsid w:val="002F492A"/>
    <w:rsid w:val="002F57DE"/>
    <w:rsid w:val="002F5AB4"/>
    <w:rsid w:val="002F5CBA"/>
    <w:rsid w:val="002F66C3"/>
    <w:rsid w:val="002F6837"/>
    <w:rsid w:val="002F6868"/>
    <w:rsid w:val="00300FAB"/>
    <w:rsid w:val="00302982"/>
    <w:rsid w:val="00302FDE"/>
    <w:rsid w:val="00303378"/>
    <w:rsid w:val="00303C5C"/>
    <w:rsid w:val="00304BE7"/>
    <w:rsid w:val="003052BA"/>
    <w:rsid w:val="00305B54"/>
    <w:rsid w:val="00305BA0"/>
    <w:rsid w:val="00306002"/>
    <w:rsid w:val="003060A6"/>
    <w:rsid w:val="00307310"/>
    <w:rsid w:val="00307581"/>
    <w:rsid w:val="0030763C"/>
    <w:rsid w:val="00307E46"/>
    <w:rsid w:val="00310043"/>
    <w:rsid w:val="00311514"/>
    <w:rsid w:val="0031209F"/>
    <w:rsid w:val="00312C78"/>
    <w:rsid w:val="00313434"/>
    <w:rsid w:val="003134B4"/>
    <w:rsid w:val="00313926"/>
    <w:rsid w:val="00314103"/>
    <w:rsid w:val="00314341"/>
    <w:rsid w:val="00314FB0"/>
    <w:rsid w:val="003152AD"/>
    <w:rsid w:val="00315CC8"/>
    <w:rsid w:val="00315E05"/>
    <w:rsid w:val="00315E2B"/>
    <w:rsid w:val="0031710F"/>
    <w:rsid w:val="00317515"/>
    <w:rsid w:val="00317729"/>
    <w:rsid w:val="00317C57"/>
    <w:rsid w:val="0032063F"/>
    <w:rsid w:val="003208EB"/>
    <w:rsid w:val="00320EFB"/>
    <w:rsid w:val="003217DF"/>
    <w:rsid w:val="0032371C"/>
    <w:rsid w:val="00323A07"/>
    <w:rsid w:val="00323BDE"/>
    <w:rsid w:val="00324040"/>
    <w:rsid w:val="003247E4"/>
    <w:rsid w:val="00324812"/>
    <w:rsid w:val="0032491C"/>
    <w:rsid w:val="00325569"/>
    <w:rsid w:val="00325CE6"/>
    <w:rsid w:val="00326828"/>
    <w:rsid w:val="00326A9D"/>
    <w:rsid w:val="00327B73"/>
    <w:rsid w:val="00327B9C"/>
    <w:rsid w:val="003302B1"/>
    <w:rsid w:val="00330494"/>
    <w:rsid w:val="00330A3C"/>
    <w:rsid w:val="00331B1E"/>
    <w:rsid w:val="00331C49"/>
    <w:rsid w:val="00332777"/>
    <w:rsid w:val="00332801"/>
    <w:rsid w:val="00333465"/>
    <w:rsid w:val="00333F01"/>
    <w:rsid w:val="00334478"/>
    <w:rsid w:val="00334A47"/>
    <w:rsid w:val="003356C7"/>
    <w:rsid w:val="00335FBC"/>
    <w:rsid w:val="003375FE"/>
    <w:rsid w:val="00337A54"/>
    <w:rsid w:val="00337F7C"/>
    <w:rsid w:val="00340127"/>
    <w:rsid w:val="0034113A"/>
    <w:rsid w:val="00342275"/>
    <w:rsid w:val="00342DC1"/>
    <w:rsid w:val="00343085"/>
    <w:rsid w:val="00343495"/>
    <w:rsid w:val="00343C92"/>
    <w:rsid w:val="00344CC4"/>
    <w:rsid w:val="0034531A"/>
    <w:rsid w:val="0034631C"/>
    <w:rsid w:val="00346CAF"/>
    <w:rsid w:val="00346CDE"/>
    <w:rsid w:val="00346F92"/>
    <w:rsid w:val="0034718C"/>
    <w:rsid w:val="00350403"/>
    <w:rsid w:val="00350560"/>
    <w:rsid w:val="00351256"/>
    <w:rsid w:val="003512CD"/>
    <w:rsid w:val="003512F0"/>
    <w:rsid w:val="003516FD"/>
    <w:rsid w:val="003530D1"/>
    <w:rsid w:val="003540B5"/>
    <w:rsid w:val="00354296"/>
    <w:rsid w:val="00355DAE"/>
    <w:rsid w:val="00356353"/>
    <w:rsid w:val="00356386"/>
    <w:rsid w:val="003568D2"/>
    <w:rsid w:val="00356C2B"/>
    <w:rsid w:val="00356EE3"/>
    <w:rsid w:val="00357B8D"/>
    <w:rsid w:val="00360512"/>
    <w:rsid w:val="0036062C"/>
    <w:rsid w:val="00361331"/>
    <w:rsid w:val="00361A99"/>
    <w:rsid w:val="0036205B"/>
    <w:rsid w:val="00362888"/>
    <w:rsid w:val="003629D1"/>
    <w:rsid w:val="003629F6"/>
    <w:rsid w:val="00363CA6"/>
    <w:rsid w:val="00363F66"/>
    <w:rsid w:val="00364478"/>
    <w:rsid w:val="00364AD4"/>
    <w:rsid w:val="00364C81"/>
    <w:rsid w:val="003655B8"/>
    <w:rsid w:val="00367626"/>
    <w:rsid w:val="0037076B"/>
    <w:rsid w:val="00370D7E"/>
    <w:rsid w:val="00371359"/>
    <w:rsid w:val="00371364"/>
    <w:rsid w:val="003713E1"/>
    <w:rsid w:val="00371800"/>
    <w:rsid w:val="00372F43"/>
    <w:rsid w:val="0037371D"/>
    <w:rsid w:val="003739A7"/>
    <w:rsid w:val="003740B1"/>
    <w:rsid w:val="00375618"/>
    <w:rsid w:val="003770B9"/>
    <w:rsid w:val="00380744"/>
    <w:rsid w:val="00380CB4"/>
    <w:rsid w:val="00380E0A"/>
    <w:rsid w:val="00382706"/>
    <w:rsid w:val="0038317A"/>
    <w:rsid w:val="00383622"/>
    <w:rsid w:val="003839B8"/>
    <w:rsid w:val="00384B61"/>
    <w:rsid w:val="00384C4F"/>
    <w:rsid w:val="00385367"/>
    <w:rsid w:val="00385461"/>
    <w:rsid w:val="003854B9"/>
    <w:rsid w:val="0038577A"/>
    <w:rsid w:val="0038589B"/>
    <w:rsid w:val="003865AC"/>
    <w:rsid w:val="00387616"/>
    <w:rsid w:val="00390CDC"/>
    <w:rsid w:val="003910A6"/>
    <w:rsid w:val="00391558"/>
    <w:rsid w:val="00391E53"/>
    <w:rsid w:val="003921B1"/>
    <w:rsid w:val="00392504"/>
    <w:rsid w:val="0039417A"/>
    <w:rsid w:val="00394391"/>
    <w:rsid w:val="0039475C"/>
    <w:rsid w:val="00394952"/>
    <w:rsid w:val="00396486"/>
    <w:rsid w:val="00396CED"/>
    <w:rsid w:val="00397B2A"/>
    <w:rsid w:val="003A064E"/>
    <w:rsid w:val="003A0924"/>
    <w:rsid w:val="003A2239"/>
    <w:rsid w:val="003A2767"/>
    <w:rsid w:val="003A277D"/>
    <w:rsid w:val="003A3006"/>
    <w:rsid w:val="003A3071"/>
    <w:rsid w:val="003A3562"/>
    <w:rsid w:val="003A3630"/>
    <w:rsid w:val="003A3906"/>
    <w:rsid w:val="003A4780"/>
    <w:rsid w:val="003A49D3"/>
    <w:rsid w:val="003A4E3D"/>
    <w:rsid w:val="003A5057"/>
    <w:rsid w:val="003A6534"/>
    <w:rsid w:val="003A666B"/>
    <w:rsid w:val="003A6CEC"/>
    <w:rsid w:val="003B1023"/>
    <w:rsid w:val="003B1670"/>
    <w:rsid w:val="003B1783"/>
    <w:rsid w:val="003B1881"/>
    <w:rsid w:val="003B1D65"/>
    <w:rsid w:val="003B2419"/>
    <w:rsid w:val="003B2EC3"/>
    <w:rsid w:val="003B4663"/>
    <w:rsid w:val="003B5067"/>
    <w:rsid w:val="003B611E"/>
    <w:rsid w:val="003B61B0"/>
    <w:rsid w:val="003B6976"/>
    <w:rsid w:val="003B6B46"/>
    <w:rsid w:val="003B6BF6"/>
    <w:rsid w:val="003B79F9"/>
    <w:rsid w:val="003C0855"/>
    <w:rsid w:val="003C08F9"/>
    <w:rsid w:val="003C091E"/>
    <w:rsid w:val="003C0B9B"/>
    <w:rsid w:val="003C1979"/>
    <w:rsid w:val="003C1C5C"/>
    <w:rsid w:val="003C1FCF"/>
    <w:rsid w:val="003C241A"/>
    <w:rsid w:val="003C268A"/>
    <w:rsid w:val="003C344C"/>
    <w:rsid w:val="003C392E"/>
    <w:rsid w:val="003C4528"/>
    <w:rsid w:val="003C4964"/>
    <w:rsid w:val="003C4A6B"/>
    <w:rsid w:val="003C5954"/>
    <w:rsid w:val="003C665C"/>
    <w:rsid w:val="003C6896"/>
    <w:rsid w:val="003C766E"/>
    <w:rsid w:val="003D0FEC"/>
    <w:rsid w:val="003D21D7"/>
    <w:rsid w:val="003D30EF"/>
    <w:rsid w:val="003D4572"/>
    <w:rsid w:val="003D518F"/>
    <w:rsid w:val="003D543A"/>
    <w:rsid w:val="003D5B57"/>
    <w:rsid w:val="003D5BC1"/>
    <w:rsid w:val="003D76BE"/>
    <w:rsid w:val="003E0CFC"/>
    <w:rsid w:val="003E0E6F"/>
    <w:rsid w:val="003E0FA9"/>
    <w:rsid w:val="003E1195"/>
    <w:rsid w:val="003E293D"/>
    <w:rsid w:val="003E503A"/>
    <w:rsid w:val="003E56B1"/>
    <w:rsid w:val="003E5C90"/>
    <w:rsid w:val="003E6074"/>
    <w:rsid w:val="003E6712"/>
    <w:rsid w:val="003E7FDC"/>
    <w:rsid w:val="003F05BA"/>
    <w:rsid w:val="003F08C1"/>
    <w:rsid w:val="003F143B"/>
    <w:rsid w:val="003F256B"/>
    <w:rsid w:val="003F28E6"/>
    <w:rsid w:val="003F34DF"/>
    <w:rsid w:val="003F3675"/>
    <w:rsid w:val="003F5C80"/>
    <w:rsid w:val="003F6E5E"/>
    <w:rsid w:val="00400609"/>
    <w:rsid w:val="004006DD"/>
    <w:rsid w:val="004015D6"/>
    <w:rsid w:val="00403403"/>
    <w:rsid w:val="004036FA"/>
    <w:rsid w:val="00404CBB"/>
    <w:rsid w:val="00405136"/>
    <w:rsid w:val="00405681"/>
    <w:rsid w:val="004058D2"/>
    <w:rsid w:val="004061EE"/>
    <w:rsid w:val="004065DE"/>
    <w:rsid w:val="00406A2D"/>
    <w:rsid w:val="00406D2A"/>
    <w:rsid w:val="00407321"/>
    <w:rsid w:val="00407625"/>
    <w:rsid w:val="0040766E"/>
    <w:rsid w:val="00407BC2"/>
    <w:rsid w:val="00407E57"/>
    <w:rsid w:val="00410336"/>
    <w:rsid w:val="004104AD"/>
    <w:rsid w:val="004107AE"/>
    <w:rsid w:val="00410D89"/>
    <w:rsid w:val="00411276"/>
    <w:rsid w:val="00411AB3"/>
    <w:rsid w:val="00412626"/>
    <w:rsid w:val="004126EE"/>
    <w:rsid w:val="00412928"/>
    <w:rsid w:val="00412EB2"/>
    <w:rsid w:val="00413CB4"/>
    <w:rsid w:val="00413DCD"/>
    <w:rsid w:val="00413F2A"/>
    <w:rsid w:val="0041550E"/>
    <w:rsid w:val="00415ABC"/>
    <w:rsid w:val="0041677B"/>
    <w:rsid w:val="00417191"/>
    <w:rsid w:val="00417271"/>
    <w:rsid w:val="0041743A"/>
    <w:rsid w:val="00417C2C"/>
    <w:rsid w:val="00420F6D"/>
    <w:rsid w:val="00421642"/>
    <w:rsid w:val="0042169C"/>
    <w:rsid w:val="00421915"/>
    <w:rsid w:val="00421A04"/>
    <w:rsid w:val="00421C5C"/>
    <w:rsid w:val="0042213E"/>
    <w:rsid w:val="00422677"/>
    <w:rsid w:val="00422F5A"/>
    <w:rsid w:val="00423F01"/>
    <w:rsid w:val="0042402B"/>
    <w:rsid w:val="00424031"/>
    <w:rsid w:val="00425DC8"/>
    <w:rsid w:val="004274A2"/>
    <w:rsid w:val="00427C45"/>
    <w:rsid w:val="0043226D"/>
    <w:rsid w:val="004325E6"/>
    <w:rsid w:val="00432835"/>
    <w:rsid w:val="0043287E"/>
    <w:rsid w:val="00433F5D"/>
    <w:rsid w:val="00434A33"/>
    <w:rsid w:val="00435304"/>
    <w:rsid w:val="004366B5"/>
    <w:rsid w:val="0044146B"/>
    <w:rsid w:val="00441D2F"/>
    <w:rsid w:val="00441D36"/>
    <w:rsid w:val="00442642"/>
    <w:rsid w:val="00442785"/>
    <w:rsid w:val="0044280B"/>
    <w:rsid w:val="00442BCE"/>
    <w:rsid w:val="00442EB3"/>
    <w:rsid w:val="00442F86"/>
    <w:rsid w:val="00445623"/>
    <w:rsid w:val="00446C8F"/>
    <w:rsid w:val="00450D18"/>
    <w:rsid w:val="00452E6B"/>
    <w:rsid w:val="00453110"/>
    <w:rsid w:val="004532DB"/>
    <w:rsid w:val="0045344D"/>
    <w:rsid w:val="0045373C"/>
    <w:rsid w:val="0045447B"/>
    <w:rsid w:val="004548BE"/>
    <w:rsid w:val="0045523B"/>
    <w:rsid w:val="0045602E"/>
    <w:rsid w:val="00456C25"/>
    <w:rsid w:val="00457652"/>
    <w:rsid w:val="00457ACB"/>
    <w:rsid w:val="00457ECB"/>
    <w:rsid w:val="0046043C"/>
    <w:rsid w:val="0046043E"/>
    <w:rsid w:val="0046052E"/>
    <w:rsid w:val="004608A7"/>
    <w:rsid w:val="0046101A"/>
    <w:rsid w:val="004612FA"/>
    <w:rsid w:val="00461732"/>
    <w:rsid w:val="00461903"/>
    <w:rsid w:val="00462531"/>
    <w:rsid w:val="00462B07"/>
    <w:rsid w:val="004631B2"/>
    <w:rsid w:val="00463222"/>
    <w:rsid w:val="00463708"/>
    <w:rsid w:val="0046371D"/>
    <w:rsid w:val="004655AB"/>
    <w:rsid w:val="00465A02"/>
    <w:rsid w:val="00466037"/>
    <w:rsid w:val="00467F9B"/>
    <w:rsid w:val="004726D9"/>
    <w:rsid w:val="00473AA2"/>
    <w:rsid w:val="00474C3A"/>
    <w:rsid w:val="0047514B"/>
    <w:rsid w:val="004757D6"/>
    <w:rsid w:val="00475DBD"/>
    <w:rsid w:val="00476AB3"/>
    <w:rsid w:val="0047754C"/>
    <w:rsid w:val="004776FF"/>
    <w:rsid w:val="004779A3"/>
    <w:rsid w:val="0048022F"/>
    <w:rsid w:val="00481840"/>
    <w:rsid w:val="00481B0A"/>
    <w:rsid w:val="004821CF"/>
    <w:rsid w:val="0048232B"/>
    <w:rsid w:val="004825FE"/>
    <w:rsid w:val="00482DD6"/>
    <w:rsid w:val="00483351"/>
    <w:rsid w:val="004854EB"/>
    <w:rsid w:val="00485649"/>
    <w:rsid w:val="00485941"/>
    <w:rsid w:val="00485B8A"/>
    <w:rsid w:val="00485E11"/>
    <w:rsid w:val="004863AC"/>
    <w:rsid w:val="00486EC9"/>
    <w:rsid w:val="00490B2F"/>
    <w:rsid w:val="00490C2A"/>
    <w:rsid w:val="00490DE0"/>
    <w:rsid w:val="00491BA7"/>
    <w:rsid w:val="00491F57"/>
    <w:rsid w:val="004921DC"/>
    <w:rsid w:val="00492587"/>
    <w:rsid w:val="00492E02"/>
    <w:rsid w:val="004943CD"/>
    <w:rsid w:val="00494CBF"/>
    <w:rsid w:val="00494DE5"/>
    <w:rsid w:val="00494F6F"/>
    <w:rsid w:val="004954CD"/>
    <w:rsid w:val="00495DD9"/>
    <w:rsid w:val="00495E86"/>
    <w:rsid w:val="004967DD"/>
    <w:rsid w:val="004A03EC"/>
    <w:rsid w:val="004A0478"/>
    <w:rsid w:val="004A138B"/>
    <w:rsid w:val="004A14A6"/>
    <w:rsid w:val="004A3579"/>
    <w:rsid w:val="004A3D85"/>
    <w:rsid w:val="004A422B"/>
    <w:rsid w:val="004A4FD9"/>
    <w:rsid w:val="004A57EC"/>
    <w:rsid w:val="004A5C38"/>
    <w:rsid w:val="004A622A"/>
    <w:rsid w:val="004A681E"/>
    <w:rsid w:val="004A6B7D"/>
    <w:rsid w:val="004A7069"/>
    <w:rsid w:val="004A7D8D"/>
    <w:rsid w:val="004B0EFB"/>
    <w:rsid w:val="004B1F7A"/>
    <w:rsid w:val="004B280D"/>
    <w:rsid w:val="004B28CE"/>
    <w:rsid w:val="004B2B8C"/>
    <w:rsid w:val="004B36BF"/>
    <w:rsid w:val="004B394A"/>
    <w:rsid w:val="004B4634"/>
    <w:rsid w:val="004B5163"/>
    <w:rsid w:val="004B51D0"/>
    <w:rsid w:val="004B668E"/>
    <w:rsid w:val="004B7464"/>
    <w:rsid w:val="004C0161"/>
    <w:rsid w:val="004C03BD"/>
    <w:rsid w:val="004C0EF4"/>
    <w:rsid w:val="004C15A1"/>
    <w:rsid w:val="004C1A0D"/>
    <w:rsid w:val="004C2B34"/>
    <w:rsid w:val="004C2CAE"/>
    <w:rsid w:val="004C2D88"/>
    <w:rsid w:val="004C37B8"/>
    <w:rsid w:val="004C419B"/>
    <w:rsid w:val="004C4479"/>
    <w:rsid w:val="004C6B6F"/>
    <w:rsid w:val="004C7445"/>
    <w:rsid w:val="004C768B"/>
    <w:rsid w:val="004D0F2F"/>
    <w:rsid w:val="004D1ECD"/>
    <w:rsid w:val="004D3164"/>
    <w:rsid w:val="004D38CC"/>
    <w:rsid w:val="004D4475"/>
    <w:rsid w:val="004D45CF"/>
    <w:rsid w:val="004D49E9"/>
    <w:rsid w:val="004D4A11"/>
    <w:rsid w:val="004D4ACA"/>
    <w:rsid w:val="004D4D3B"/>
    <w:rsid w:val="004D5AC9"/>
    <w:rsid w:val="004D61B3"/>
    <w:rsid w:val="004D6A17"/>
    <w:rsid w:val="004D6D5C"/>
    <w:rsid w:val="004D7114"/>
    <w:rsid w:val="004D75F7"/>
    <w:rsid w:val="004D7855"/>
    <w:rsid w:val="004D7C61"/>
    <w:rsid w:val="004E05BC"/>
    <w:rsid w:val="004E0664"/>
    <w:rsid w:val="004E089C"/>
    <w:rsid w:val="004E0A76"/>
    <w:rsid w:val="004E0E60"/>
    <w:rsid w:val="004E196E"/>
    <w:rsid w:val="004E27B6"/>
    <w:rsid w:val="004E3D74"/>
    <w:rsid w:val="004E4143"/>
    <w:rsid w:val="004E4675"/>
    <w:rsid w:val="004E4FD7"/>
    <w:rsid w:val="004E560F"/>
    <w:rsid w:val="004E5A37"/>
    <w:rsid w:val="004E69E1"/>
    <w:rsid w:val="004E7AE3"/>
    <w:rsid w:val="004F10FE"/>
    <w:rsid w:val="004F1DBA"/>
    <w:rsid w:val="004F2A04"/>
    <w:rsid w:val="004F2B98"/>
    <w:rsid w:val="004F30BF"/>
    <w:rsid w:val="004F37DB"/>
    <w:rsid w:val="004F3CC7"/>
    <w:rsid w:val="004F42D5"/>
    <w:rsid w:val="004F53EA"/>
    <w:rsid w:val="004F5BFA"/>
    <w:rsid w:val="004F5CE5"/>
    <w:rsid w:val="004F6C69"/>
    <w:rsid w:val="004F71B0"/>
    <w:rsid w:val="004F79CD"/>
    <w:rsid w:val="004F7BEE"/>
    <w:rsid w:val="0050036B"/>
    <w:rsid w:val="00500B7E"/>
    <w:rsid w:val="00502183"/>
    <w:rsid w:val="00502E4D"/>
    <w:rsid w:val="00503856"/>
    <w:rsid w:val="00503D9B"/>
    <w:rsid w:val="00504111"/>
    <w:rsid w:val="005042D8"/>
    <w:rsid w:val="00506748"/>
    <w:rsid w:val="00511787"/>
    <w:rsid w:val="00512C05"/>
    <w:rsid w:val="005130B6"/>
    <w:rsid w:val="005137E4"/>
    <w:rsid w:val="00515193"/>
    <w:rsid w:val="00515706"/>
    <w:rsid w:val="00515BB8"/>
    <w:rsid w:val="00515FF4"/>
    <w:rsid w:val="00516260"/>
    <w:rsid w:val="005168D1"/>
    <w:rsid w:val="0052019D"/>
    <w:rsid w:val="005202F8"/>
    <w:rsid w:val="00520EEA"/>
    <w:rsid w:val="00520FB4"/>
    <w:rsid w:val="00521DF4"/>
    <w:rsid w:val="00523106"/>
    <w:rsid w:val="005237BA"/>
    <w:rsid w:val="005238B4"/>
    <w:rsid w:val="005238DB"/>
    <w:rsid w:val="00523DB0"/>
    <w:rsid w:val="00523F88"/>
    <w:rsid w:val="005242DE"/>
    <w:rsid w:val="00525686"/>
    <w:rsid w:val="00525CA1"/>
    <w:rsid w:val="005268AF"/>
    <w:rsid w:val="00527580"/>
    <w:rsid w:val="00530302"/>
    <w:rsid w:val="00530770"/>
    <w:rsid w:val="00531249"/>
    <w:rsid w:val="0053168C"/>
    <w:rsid w:val="005317B4"/>
    <w:rsid w:val="005323C1"/>
    <w:rsid w:val="005326B3"/>
    <w:rsid w:val="005333AD"/>
    <w:rsid w:val="0053448E"/>
    <w:rsid w:val="00534BF4"/>
    <w:rsid w:val="00535135"/>
    <w:rsid w:val="0053583C"/>
    <w:rsid w:val="00535F3B"/>
    <w:rsid w:val="00536A61"/>
    <w:rsid w:val="00536B01"/>
    <w:rsid w:val="0053749B"/>
    <w:rsid w:val="00540842"/>
    <w:rsid w:val="00540880"/>
    <w:rsid w:val="00540BE8"/>
    <w:rsid w:val="00541153"/>
    <w:rsid w:val="0054154A"/>
    <w:rsid w:val="00541BC4"/>
    <w:rsid w:val="00541E36"/>
    <w:rsid w:val="0054208E"/>
    <w:rsid w:val="00542F62"/>
    <w:rsid w:val="005437B0"/>
    <w:rsid w:val="00543D82"/>
    <w:rsid w:val="00543F6C"/>
    <w:rsid w:val="00545016"/>
    <w:rsid w:val="005457EE"/>
    <w:rsid w:val="00545C98"/>
    <w:rsid w:val="00545E3A"/>
    <w:rsid w:val="005470D1"/>
    <w:rsid w:val="0054757B"/>
    <w:rsid w:val="00547696"/>
    <w:rsid w:val="00551571"/>
    <w:rsid w:val="005522B3"/>
    <w:rsid w:val="00552784"/>
    <w:rsid w:val="00552804"/>
    <w:rsid w:val="00552DD0"/>
    <w:rsid w:val="00552E30"/>
    <w:rsid w:val="00553415"/>
    <w:rsid w:val="00553A78"/>
    <w:rsid w:val="00554316"/>
    <w:rsid w:val="005553A9"/>
    <w:rsid w:val="00555868"/>
    <w:rsid w:val="005559EF"/>
    <w:rsid w:val="00557457"/>
    <w:rsid w:val="00557E70"/>
    <w:rsid w:val="00557F9D"/>
    <w:rsid w:val="005600C7"/>
    <w:rsid w:val="00560275"/>
    <w:rsid w:val="0056096C"/>
    <w:rsid w:val="00560E04"/>
    <w:rsid w:val="00560F85"/>
    <w:rsid w:val="00561118"/>
    <w:rsid w:val="00561675"/>
    <w:rsid w:val="005629AC"/>
    <w:rsid w:val="00562B69"/>
    <w:rsid w:val="00564052"/>
    <w:rsid w:val="005659BE"/>
    <w:rsid w:val="00565A89"/>
    <w:rsid w:val="00565EFB"/>
    <w:rsid w:val="005671F5"/>
    <w:rsid w:val="00571428"/>
    <w:rsid w:val="005719E5"/>
    <w:rsid w:val="00571D48"/>
    <w:rsid w:val="00571DEF"/>
    <w:rsid w:val="00572826"/>
    <w:rsid w:val="0057300B"/>
    <w:rsid w:val="005730A0"/>
    <w:rsid w:val="00576343"/>
    <w:rsid w:val="00576A75"/>
    <w:rsid w:val="00576AED"/>
    <w:rsid w:val="00580884"/>
    <w:rsid w:val="00580B9D"/>
    <w:rsid w:val="00580BD6"/>
    <w:rsid w:val="00581BCF"/>
    <w:rsid w:val="0058273F"/>
    <w:rsid w:val="0058285C"/>
    <w:rsid w:val="00582946"/>
    <w:rsid w:val="00582B65"/>
    <w:rsid w:val="00583262"/>
    <w:rsid w:val="00583301"/>
    <w:rsid w:val="00584825"/>
    <w:rsid w:val="00584C5F"/>
    <w:rsid w:val="0058573C"/>
    <w:rsid w:val="00585809"/>
    <w:rsid w:val="0058607D"/>
    <w:rsid w:val="00586115"/>
    <w:rsid w:val="005871FD"/>
    <w:rsid w:val="00590435"/>
    <w:rsid w:val="00590E33"/>
    <w:rsid w:val="005914C2"/>
    <w:rsid w:val="005923A4"/>
    <w:rsid w:val="005927AE"/>
    <w:rsid w:val="00593BA2"/>
    <w:rsid w:val="00593EE1"/>
    <w:rsid w:val="00594536"/>
    <w:rsid w:val="00594DC2"/>
    <w:rsid w:val="005953C1"/>
    <w:rsid w:val="005954D2"/>
    <w:rsid w:val="00595935"/>
    <w:rsid w:val="00595B3A"/>
    <w:rsid w:val="00595F64"/>
    <w:rsid w:val="005966C7"/>
    <w:rsid w:val="0059694F"/>
    <w:rsid w:val="005969B4"/>
    <w:rsid w:val="00596DB7"/>
    <w:rsid w:val="00597C65"/>
    <w:rsid w:val="00597EAA"/>
    <w:rsid w:val="005A1487"/>
    <w:rsid w:val="005A2705"/>
    <w:rsid w:val="005A344F"/>
    <w:rsid w:val="005A3E0B"/>
    <w:rsid w:val="005A3F0F"/>
    <w:rsid w:val="005A41C2"/>
    <w:rsid w:val="005A4E4A"/>
    <w:rsid w:val="005A4EF0"/>
    <w:rsid w:val="005A51F8"/>
    <w:rsid w:val="005A566C"/>
    <w:rsid w:val="005A5AFD"/>
    <w:rsid w:val="005A5B33"/>
    <w:rsid w:val="005A6961"/>
    <w:rsid w:val="005B1AB2"/>
    <w:rsid w:val="005B1DAA"/>
    <w:rsid w:val="005B2137"/>
    <w:rsid w:val="005B2854"/>
    <w:rsid w:val="005B5217"/>
    <w:rsid w:val="005B52AC"/>
    <w:rsid w:val="005B530A"/>
    <w:rsid w:val="005B539E"/>
    <w:rsid w:val="005B5511"/>
    <w:rsid w:val="005B7304"/>
    <w:rsid w:val="005C0069"/>
    <w:rsid w:val="005C0C46"/>
    <w:rsid w:val="005C1220"/>
    <w:rsid w:val="005C1643"/>
    <w:rsid w:val="005C1C67"/>
    <w:rsid w:val="005C2861"/>
    <w:rsid w:val="005C2D8D"/>
    <w:rsid w:val="005C2EEF"/>
    <w:rsid w:val="005C3C42"/>
    <w:rsid w:val="005C3D36"/>
    <w:rsid w:val="005C3FEC"/>
    <w:rsid w:val="005C5AC1"/>
    <w:rsid w:val="005C7BF0"/>
    <w:rsid w:val="005D07A2"/>
    <w:rsid w:val="005D0A25"/>
    <w:rsid w:val="005D0E76"/>
    <w:rsid w:val="005D20CD"/>
    <w:rsid w:val="005D2658"/>
    <w:rsid w:val="005D38F4"/>
    <w:rsid w:val="005D4115"/>
    <w:rsid w:val="005D5186"/>
    <w:rsid w:val="005D52F0"/>
    <w:rsid w:val="005D53AE"/>
    <w:rsid w:val="005D57D5"/>
    <w:rsid w:val="005D5B4C"/>
    <w:rsid w:val="005D5CB2"/>
    <w:rsid w:val="005D5F56"/>
    <w:rsid w:val="005D6402"/>
    <w:rsid w:val="005D640A"/>
    <w:rsid w:val="005D6F81"/>
    <w:rsid w:val="005D7791"/>
    <w:rsid w:val="005E1015"/>
    <w:rsid w:val="005E2D88"/>
    <w:rsid w:val="005E30EB"/>
    <w:rsid w:val="005E64EA"/>
    <w:rsid w:val="005E6642"/>
    <w:rsid w:val="005E722E"/>
    <w:rsid w:val="005E724A"/>
    <w:rsid w:val="005E756A"/>
    <w:rsid w:val="005E7BB2"/>
    <w:rsid w:val="005F1200"/>
    <w:rsid w:val="005F15AC"/>
    <w:rsid w:val="005F1784"/>
    <w:rsid w:val="005F1DE4"/>
    <w:rsid w:val="005F3AFA"/>
    <w:rsid w:val="005F4326"/>
    <w:rsid w:val="005F46E1"/>
    <w:rsid w:val="005F495F"/>
    <w:rsid w:val="005F55BD"/>
    <w:rsid w:val="005F5A69"/>
    <w:rsid w:val="005F7C32"/>
    <w:rsid w:val="005F7F83"/>
    <w:rsid w:val="0060013C"/>
    <w:rsid w:val="00600DF0"/>
    <w:rsid w:val="00601D71"/>
    <w:rsid w:val="00601E6A"/>
    <w:rsid w:val="00601F96"/>
    <w:rsid w:val="006023A7"/>
    <w:rsid w:val="0060324B"/>
    <w:rsid w:val="00603DDA"/>
    <w:rsid w:val="0060533B"/>
    <w:rsid w:val="00605590"/>
    <w:rsid w:val="00605F72"/>
    <w:rsid w:val="006060B6"/>
    <w:rsid w:val="006061BD"/>
    <w:rsid w:val="006068C3"/>
    <w:rsid w:val="00606E50"/>
    <w:rsid w:val="0061019F"/>
    <w:rsid w:val="0061097C"/>
    <w:rsid w:val="00610F8F"/>
    <w:rsid w:val="00613090"/>
    <w:rsid w:val="00613546"/>
    <w:rsid w:val="00613D90"/>
    <w:rsid w:val="006147F9"/>
    <w:rsid w:val="006149C2"/>
    <w:rsid w:val="006151B1"/>
    <w:rsid w:val="00615D4D"/>
    <w:rsid w:val="00617108"/>
    <w:rsid w:val="00617633"/>
    <w:rsid w:val="00617F20"/>
    <w:rsid w:val="006200ED"/>
    <w:rsid w:val="00620D73"/>
    <w:rsid w:val="00621ABE"/>
    <w:rsid w:val="006227A1"/>
    <w:rsid w:val="00622D64"/>
    <w:rsid w:val="00622E10"/>
    <w:rsid w:val="00623B14"/>
    <w:rsid w:val="00623F4D"/>
    <w:rsid w:val="006253DD"/>
    <w:rsid w:val="006265E3"/>
    <w:rsid w:val="00626F89"/>
    <w:rsid w:val="00627030"/>
    <w:rsid w:val="00627613"/>
    <w:rsid w:val="0063006C"/>
    <w:rsid w:val="006303E2"/>
    <w:rsid w:val="0063140F"/>
    <w:rsid w:val="0063192B"/>
    <w:rsid w:val="00631E1C"/>
    <w:rsid w:val="0063206D"/>
    <w:rsid w:val="0063228F"/>
    <w:rsid w:val="00633114"/>
    <w:rsid w:val="006332D9"/>
    <w:rsid w:val="00633707"/>
    <w:rsid w:val="00633E38"/>
    <w:rsid w:val="00634379"/>
    <w:rsid w:val="006347AD"/>
    <w:rsid w:val="00634B48"/>
    <w:rsid w:val="00634BF5"/>
    <w:rsid w:val="00635186"/>
    <w:rsid w:val="006352B9"/>
    <w:rsid w:val="006354F5"/>
    <w:rsid w:val="006362A4"/>
    <w:rsid w:val="00636320"/>
    <w:rsid w:val="006363A3"/>
    <w:rsid w:val="00636D7B"/>
    <w:rsid w:val="00636F5C"/>
    <w:rsid w:val="006371D3"/>
    <w:rsid w:val="00637731"/>
    <w:rsid w:val="00640FA2"/>
    <w:rsid w:val="006416F9"/>
    <w:rsid w:val="00642A89"/>
    <w:rsid w:val="0064338C"/>
    <w:rsid w:val="00643652"/>
    <w:rsid w:val="00644B38"/>
    <w:rsid w:val="006453F5"/>
    <w:rsid w:val="00645F34"/>
    <w:rsid w:val="00646EB5"/>
    <w:rsid w:val="0064723B"/>
    <w:rsid w:val="00647C74"/>
    <w:rsid w:val="00650234"/>
    <w:rsid w:val="00650C9C"/>
    <w:rsid w:val="00650E32"/>
    <w:rsid w:val="006519C3"/>
    <w:rsid w:val="00651ABF"/>
    <w:rsid w:val="00651B6B"/>
    <w:rsid w:val="0065248A"/>
    <w:rsid w:val="00652A7E"/>
    <w:rsid w:val="00652B24"/>
    <w:rsid w:val="00653370"/>
    <w:rsid w:val="006539E5"/>
    <w:rsid w:val="00654854"/>
    <w:rsid w:val="00654A5F"/>
    <w:rsid w:val="006559EC"/>
    <w:rsid w:val="0065612B"/>
    <w:rsid w:val="006565AD"/>
    <w:rsid w:val="00656D88"/>
    <w:rsid w:val="0065785C"/>
    <w:rsid w:val="00657E84"/>
    <w:rsid w:val="00660060"/>
    <w:rsid w:val="0066094F"/>
    <w:rsid w:val="006622C1"/>
    <w:rsid w:val="006626D4"/>
    <w:rsid w:val="0066320B"/>
    <w:rsid w:val="00663766"/>
    <w:rsid w:val="00663866"/>
    <w:rsid w:val="006640A5"/>
    <w:rsid w:val="006640D4"/>
    <w:rsid w:val="00664741"/>
    <w:rsid w:val="0066494D"/>
    <w:rsid w:val="00664BA3"/>
    <w:rsid w:val="00664E9F"/>
    <w:rsid w:val="00664F74"/>
    <w:rsid w:val="00665592"/>
    <w:rsid w:val="00665C04"/>
    <w:rsid w:val="00667288"/>
    <w:rsid w:val="006674D4"/>
    <w:rsid w:val="0067063D"/>
    <w:rsid w:val="00670DB3"/>
    <w:rsid w:val="00672F94"/>
    <w:rsid w:val="006734CE"/>
    <w:rsid w:val="00673F66"/>
    <w:rsid w:val="006744D8"/>
    <w:rsid w:val="00674D3E"/>
    <w:rsid w:val="006754D3"/>
    <w:rsid w:val="00676056"/>
    <w:rsid w:val="006768B5"/>
    <w:rsid w:val="0067795D"/>
    <w:rsid w:val="006803CE"/>
    <w:rsid w:val="00680B0B"/>
    <w:rsid w:val="00680E66"/>
    <w:rsid w:val="00681103"/>
    <w:rsid w:val="0068194C"/>
    <w:rsid w:val="00682328"/>
    <w:rsid w:val="00683C70"/>
    <w:rsid w:val="0068409C"/>
    <w:rsid w:val="0068447B"/>
    <w:rsid w:val="00684DE5"/>
    <w:rsid w:val="00685C4D"/>
    <w:rsid w:val="00685C73"/>
    <w:rsid w:val="00685D37"/>
    <w:rsid w:val="00685E7A"/>
    <w:rsid w:val="00685F56"/>
    <w:rsid w:val="0068661D"/>
    <w:rsid w:val="0069000E"/>
    <w:rsid w:val="00691B52"/>
    <w:rsid w:val="006920DA"/>
    <w:rsid w:val="00692941"/>
    <w:rsid w:val="0069369F"/>
    <w:rsid w:val="0069383D"/>
    <w:rsid w:val="006941F5"/>
    <w:rsid w:val="00695849"/>
    <w:rsid w:val="00695D54"/>
    <w:rsid w:val="00695E82"/>
    <w:rsid w:val="006961DB"/>
    <w:rsid w:val="0069628A"/>
    <w:rsid w:val="00696292"/>
    <w:rsid w:val="0069719E"/>
    <w:rsid w:val="006A1059"/>
    <w:rsid w:val="006A10E8"/>
    <w:rsid w:val="006A119E"/>
    <w:rsid w:val="006A2A85"/>
    <w:rsid w:val="006A5B14"/>
    <w:rsid w:val="006A6D4D"/>
    <w:rsid w:val="006A6EF0"/>
    <w:rsid w:val="006A7632"/>
    <w:rsid w:val="006A7FC7"/>
    <w:rsid w:val="006B0B6C"/>
    <w:rsid w:val="006B106D"/>
    <w:rsid w:val="006B140A"/>
    <w:rsid w:val="006B20E3"/>
    <w:rsid w:val="006B2246"/>
    <w:rsid w:val="006B2B27"/>
    <w:rsid w:val="006B3D90"/>
    <w:rsid w:val="006B3FDE"/>
    <w:rsid w:val="006B410A"/>
    <w:rsid w:val="006B4368"/>
    <w:rsid w:val="006B651B"/>
    <w:rsid w:val="006B7858"/>
    <w:rsid w:val="006C0283"/>
    <w:rsid w:val="006C0BF0"/>
    <w:rsid w:val="006C1053"/>
    <w:rsid w:val="006C1AFA"/>
    <w:rsid w:val="006C2A71"/>
    <w:rsid w:val="006C3394"/>
    <w:rsid w:val="006C3653"/>
    <w:rsid w:val="006C3C59"/>
    <w:rsid w:val="006C45B3"/>
    <w:rsid w:val="006C4944"/>
    <w:rsid w:val="006C635F"/>
    <w:rsid w:val="006C6C9D"/>
    <w:rsid w:val="006C757F"/>
    <w:rsid w:val="006D1110"/>
    <w:rsid w:val="006D14AB"/>
    <w:rsid w:val="006D17B1"/>
    <w:rsid w:val="006D1ED3"/>
    <w:rsid w:val="006D224D"/>
    <w:rsid w:val="006D2743"/>
    <w:rsid w:val="006D3A5D"/>
    <w:rsid w:val="006D3C0E"/>
    <w:rsid w:val="006D3D64"/>
    <w:rsid w:val="006D4278"/>
    <w:rsid w:val="006D4294"/>
    <w:rsid w:val="006D4D04"/>
    <w:rsid w:val="006D4F39"/>
    <w:rsid w:val="006D4FA3"/>
    <w:rsid w:val="006D52F1"/>
    <w:rsid w:val="006D5CE0"/>
    <w:rsid w:val="006D6E84"/>
    <w:rsid w:val="006D70DD"/>
    <w:rsid w:val="006D715D"/>
    <w:rsid w:val="006D7B53"/>
    <w:rsid w:val="006D7B8D"/>
    <w:rsid w:val="006E0865"/>
    <w:rsid w:val="006E0AB5"/>
    <w:rsid w:val="006E1900"/>
    <w:rsid w:val="006E1A40"/>
    <w:rsid w:val="006E1FEE"/>
    <w:rsid w:val="006E3300"/>
    <w:rsid w:val="006E370B"/>
    <w:rsid w:val="006E5017"/>
    <w:rsid w:val="006E639B"/>
    <w:rsid w:val="006E68D3"/>
    <w:rsid w:val="006E6D1D"/>
    <w:rsid w:val="006E707D"/>
    <w:rsid w:val="006E763E"/>
    <w:rsid w:val="006E7655"/>
    <w:rsid w:val="006F00CA"/>
    <w:rsid w:val="006F1549"/>
    <w:rsid w:val="006F2337"/>
    <w:rsid w:val="006F38CD"/>
    <w:rsid w:val="006F423B"/>
    <w:rsid w:val="006F43C3"/>
    <w:rsid w:val="006F44D8"/>
    <w:rsid w:val="006F5DA5"/>
    <w:rsid w:val="006F7957"/>
    <w:rsid w:val="006F7C6E"/>
    <w:rsid w:val="006F7C7D"/>
    <w:rsid w:val="006F7F2D"/>
    <w:rsid w:val="007012FA"/>
    <w:rsid w:val="00701777"/>
    <w:rsid w:val="0070183E"/>
    <w:rsid w:val="007023F3"/>
    <w:rsid w:val="00703305"/>
    <w:rsid w:val="007044CC"/>
    <w:rsid w:val="00705319"/>
    <w:rsid w:val="007055C8"/>
    <w:rsid w:val="007071CD"/>
    <w:rsid w:val="00707C0A"/>
    <w:rsid w:val="00710187"/>
    <w:rsid w:val="0071063B"/>
    <w:rsid w:val="00710951"/>
    <w:rsid w:val="00710C96"/>
    <w:rsid w:val="007115C4"/>
    <w:rsid w:val="00711DC0"/>
    <w:rsid w:val="007135F7"/>
    <w:rsid w:val="00713686"/>
    <w:rsid w:val="00714917"/>
    <w:rsid w:val="00714C21"/>
    <w:rsid w:val="00715221"/>
    <w:rsid w:val="0071568F"/>
    <w:rsid w:val="00715798"/>
    <w:rsid w:val="00716A9B"/>
    <w:rsid w:val="00717003"/>
    <w:rsid w:val="007175C9"/>
    <w:rsid w:val="00717C54"/>
    <w:rsid w:val="00720D2C"/>
    <w:rsid w:val="0072156D"/>
    <w:rsid w:val="007220E0"/>
    <w:rsid w:val="007228A2"/>
    <w:rsid w:val="00722ACA"/>
    <w:rsid w:val="00722BFE"/>
    <w:rsid w:val="00723153"/>
    <w:rsid w:val="007233A6"/>
    <w:rsid w:val="007238C7"/>
    <w:rsid w:val="007239A3"/>
    <w:rsid w:val="00723B6E"/>
    <w:rsid w:val="00723FD0"/>
    <w:rsid w:val="0072623D"/>
    <w:rsid w:val="00726520"/>
    <w:rsid w:val="00726B45"/>
    <w:rsid w:val="00727310"/>
    <w:rsid w:val="007308C5"/>
    <w:rsid w:val="00730D5B"/>
    <w:rsid w:val="0073158C"/>
    <w:rsid w:val="007320A2"/>
    <w:rsid w:val="00732986"/>
    <w:rsid w:val="00733016"/>
    <w:rsid w:val="0073328A"/>
    <w:rsid w:val="00733B5D"/>
    <w:rsid w:val="00733E18"/>
    <w:rsid w:val="00733E75"/>
    <w:rsid w:val="0073438A"/>
    <w:rsid w:val="00734481"/>
    <w:rsid w:val="007344E0"/>
    <w:rsid w:val="00734A88"/>
    <w:rsid w:val="0073623F"/>
    <w:rsid w:val="00736761"/>
    <w:rsid w:val="0073748A"/>
    <w:rsid w:val="007401DB"/>
    <w:rsid w:val="0074053F"/>
    <w:rsid w:val="00740FEB"/>
    <w:rsid w:val="007415D2"/>
    <w:rsid w:val="00744077"/>
    <w:rsid w:val="007447BD"/>
    <w:rsid w:val="00745084"/>
    <w:rsid w:val="00745A24"/>
    <w:rsid w:val="007464C8"/>
    <w:rsid w:val="007468A0"/>
    <w:rsid w:val="0074796F"/>
    <w:rsid w:val="0075013C"/>
    <w:rsid w:val="00750403"/>
    <w:rsid w:val="007505A5"/>
    <w:rsid w:val="00750C1D"/>
    <w:rsid w:val="00751A74"/>
    <w:rsid w:val="00751D66"/>
    <w:rsid w:val="00752E7E"/>
    <w:rsid w:val="00753E0C"/>
    <w:rsid w:val="00753EDF"/>
    <w:rsid w:val="00754337"/>
    <w:rsid w:val="00754EE9"/>
    <w:rsid w:val="0075519C"/>
    <w:rsid w:val="007562CD"/>
    <w:rsid w:val="007562F1"/>
    <w:rsid w:val="00756D6D"/>
    <w:rsid w:val="00757484"/>
    <w:rsid w:val="007576B8"/>
    <w:rsid w:val="00757B0B"/>
    <w:rsid w:val="00757D7A"/>
    <w:rsid w:val="00760EE7"/>
    <w:rsid w:val="007611F3"/>
    <w:rsid w:val="007628D3"/>
    <w:rsid w:val="00763209"/>
    <w:rsid w:val="00763547"/>
    <w:rsid w:val="00763596"/>
    <w:rsid w:val="0076380F"/>
    <w:rsid w:val="00763DAD"/>
    <w:rsid w:val="00763F42"/>
    <w:rsid w:val="00764DC0"/>
    <w:rsid w:val="00764FE6"/>
    <w:rsid w:val="007652B2"/>
    <w:rsid w:val="00765850"/>
    <w:rsid w:val="00766022"/>
    <w:rsid w:val="0076713A"/>
    <w:rsid w:val="007706BF"/>
    <w:rsid w:val="00771681"/>
    <w:rsid w:val="0077168B"/>
    <w:rsid w:val="007719A8"/>
    <w:rsid w:val="00771FD6"/>
    <w:rsid w:val="007722C9"/>
    <w:rsid w:val="00772AD6"/>
    <w:rsid w:val="00773187"/>
    <w:rsid w:val="00773A47"/>
    <w:rsid w:val="007741C4"/>
    <w:rsid w:val="007743E7"/>
    <w:rsid w:val="00774B28"/>
    <w:rsid w:val="00775A74"/>
    <w:rsid w:val="00775DFC"/>
    <w:rsid w:val="007765CB"/>
    <w:rsid w:val="00780DB1"/>
    <w:rsid w:val="0078149F"/>
    <w:rsid w:val="0078193A"/>
    <w:rsid w:val="007844DC"/>
    <w:rsid w:val="007846CC"/>
    <w:rsid w:val="0078514E"/>
    <w:rsid w:val="00785B8C"/>
    <w:rsid w:val="00785FE4"/>
    <w:rsid w:val="00786345"/>
    <w:rsid w:val="00786748"/>
    <w:rsid w:val="007867A5"/>
    <w:rsid w:val="007869F9"/>
    <w:rsid w:val="00786E60"/>
    <w:rsid w:val="00786EAC"/>
    <w:rsid w:val="0078745D"/>
    <w:rsid w:val="007901EF"/>
    <w:rsid w:val="007905D5"/>
    <w:rsid w:val="007908D0"/>
    <w:rsid w:val="00790C75"/>
    <w:rsid w:val="00791425"/>
    <w:rsid w:val="00791803"/>
    <w:rsid w:val="00791FEE"/>
    <w:rsid w:val="007924D1"/>
    <w:rsid w:val="00792761"/>
    <w:rsid w:val="00792EEB"/>
    <w:rsid w:val="0079312D"/>
    <w:rsid w:val="007934C3"/>
    <w:rsid w:val="0079454E"/>
    <w:rsid w:val="007949F6"/>
    <w:rsid w:val="00794E68"/>
    <w:rsid w:val="007A01A7"/>
    <w:rsid w:val="007A15B2"/>
    <w:rsid w:val="007A43F4"/>
    <w:rsid w:val="007A4431"/>
    <w:rsid w:val="007A4631"/>
    <w:rsid w:val="007A46CB"/>
    <w:rsid w:val="007A4B9C"/>
    <w:rsid w:val="007A4D5E"/>
    <w:rsid w:val="007A5523"/>
    <w:rsid w:val="007A5606"/>
    <w:rsid w:val="007A5927"/>
    <w:rsid w:val="007A62B9"/>
    <w:rsid w:val="007A703C"/>
    <w:rsid w:val="007A7264"/>
    <w:rsid w:val="007A7D4C"/>
    <w:rsid w:val="007B045F"/>
    <w:rsid w:val="007B04DE"/>
    <w:rsid w:val="007B0582"/>
    <w:rsid w:val="007B0B68"/>
    <w:rsid w:val="007B0B86"/>
    <w:rsid w:val="007B0D3B"/>
    <w:rsid w:val="007B1193"/>
    <w:rsid w:val="007B1497"/>
    <w:rsid w:val="007B3326"/>
    <w:rsid w:val="007B3779"/>
    <w:rsid w:val="007B3823"/>
    <w:rsid w:val="007B3838"/>
    <w:rsid w:val="007B38BB"/>
    <w:rsid w:val="007B41FE"/>
    <w:rsid w:val="007B4798"/>
    <w:rsid w:val="007B4C13"/>
    <w:rsid w:val="007B5530"/>
    <w:rsid w:val="007B55B8"/>
    <w:rsid w:val="007B5976"/>
    <w:rsid w:val="007B6990"/>
    <w:rsid w:val="007B6EDC"/>
    <w:rsid w:val="007B6FB3"/>
    <w:rsid w:val="007B7F4A"/>
    <w:rsid w:val="007C025B"/>
    <w:rsid w:val="007C0387"/>
    <w:rsid w:val="007C0BCB"/>
    <w:rsid w:val="007C101D"/>
    <w:rsid w:val="007C28E0"/>
    <w:rsid w:val="007C2D6B"/>
    <w:rsid w:val="007C3B81"/>
    <w:rsid w:val="007C3D8E"/>
    <w:rsid w:val="007C3E0A"/>
    <w:rsid w:val="007C4228"/>
    <w:rsid w:val="007C4B7A"/>
    <w:rsid w:val="007C507B"/>
    <w:rsid w:val="007C58CF"/>
    <w:rsid w:val="007C5C7C"/>
    <w:rsid w:val="007C6DB7"/>
    <w:rsid w:val="007C798E"/>
    <w:rsid w:val="007D07D6"/>
    <w:rsid w:val="007D0ABB"/>
    <w:rsid w:val="007D1923"/>
    <w:rsid w:val="007D2D1E"/>
    <w:rsid w:val="007D3314"/>
    <w:rsid w:val="007D372C"/>
    <w:rsid w:val="007D3CA0"/>
    <w:rsid w:val="007D4534"/>
    <w:rsid w:val="007D456C"/>
    <w:rsid w:val="007D569D"/>
    <w:rsid w:val="007D56B0"/>
    <w:rsid w:val="007D6181"/>
    <w:rsid w:val="007D61F4"/>
    <w:rsid w:val="007D6923"/>
    <w:rsid w:val="007D6E8F"/>
    <w:rsid w:val="007D6EB6"/>
    <w:rsid w:val="007D7D04"/>
    <w:rsid w:val="007D7E75"/>
    <w:rsid w:val="007E0BA8"/>
    <w:rsid w:val="007E1A4B"/>
    <w:rsid w:val="007E24CC"/>
    <w:rsid w:val="007E286A"/>
    <w:rsid w:val="007E287F"/>
    <w:rsid w:val="007E2B26"/>
    <w:rsid w:val="007E2E7A"/>
    <w:rsid w:val="007E33FA"/>
    <w:rsid w:val="007E47E8"/>
    <w:rsid w:val="007E4D6C"/>
    <w:rsid w:val="007E514E"/>
    <w:rsid w:val="007E65A0"/>
    <w:rsid w:val="007E6666"/>
    <w:rsid w:val="007E6B99"/>
    <w:rsid w:val="007E7952"/>
    <w:rsid w:val="007F0A1B"/>
    <w:rsid w:val="007F1EB0"/>
    <w:rsid w:val="007F2E60"/>
    <w:rsid w:val="007F31AB"/>
    <w:rsid w:val="007F3F72"/>
    <w:rsid w:val="007F4033"/>
    <w:rsid w:val="007F40D2"/>
    <w:rsid w:val="007F4957"/>
    <w:rsid w:val="007F4E00"/>
    <w:rsid w:val="007F5E1A"/>
    <w:rsid w:val="007F7EEB"/>
    <w:rsid w:val="008002D3"/>
    <w:rsid w:val="0080045E"/>
    <w:rsid w:val="00800604"/>
    <w:rsid w:val="00800903"/>
    <w:rsid w:val="0080125A"/>
    <w:rsid w:val="008015F2"/>
    <w:rsid w:val="00801FDA"/>
    <w:rsid w:val="00802A36"/>
    <w:rsid w:val="00803E0E"/>
    <w:rsid w:val="008044F4"/>
    <w:rsid w:val="00804FD0"/>
    <w:rsid w:val="00805C64"/>
    <w:rsid w:val="008064E5"/>
    <w:rsid w:val="0081088A"/>
    <w:rsid w:val="00810EE3"/>
    <w:rsid w:val="008126D6"/>
    <w:rsid w:val="0081309E"/>
    <w:rsid w:val="008135AD"/>
    <w:rsid w:val="00813BA7"/>
    <w:rsid w:val="00814EDB"/>
    <w:rsid w:val="00815EB4"/>
    <w:rsid w:val="00816884"/>
    <w:rsid w:val="00816BB0"/>
    <w:rsid w:val="00816D1B"/>
    <w:rsid w:val="0082010A"/>
    <w:rsid w:val="008209B0"/>
    <w:rsid w:val="00820F7D"/>
    <w:rsid w:val="008212E0"/>
    <w:rsid w:val="0082155D"/>
    <w:rsid w:val="008227C3"/>
    <w:rsid w:val="008234BD"/>
    <w:rsid w:val="00823D19"/>
    <w:rsid w:val="00825B26"/>
    <w:rsid w:val="00825B82"/>
    <w:rsid w:val="00825C12"/>
    <w:rsid w:val="00826339"/>
    <w:rsid w:val="00826C0F"/>
    <w:rsid w:val="00830C56"/>
    <w:rsid w:val="00831494"/>
    <w:rsid w:val="00831D83"/>
    <w:rsid w:val="00832010"/>
    <w:rsid w:val="0083202C"/>
    <w:rsid w:val="008329FB"/>
    <w:rsid w:val="00833614"/>
    <w:rsid w:val="00834408"/>
    <w:rsid w:val="00834A3F"/>
    <w:rsid w:val="00835EA0"/>
    <w:rsid w:val="008366E4"/>
    <w:rsid w:val="00836A77"/>
    <w:rsid w:val="00836EDB"/>
    <w:rsid w:val="0083738C"/>
    <w:rsid w:val="00837D8B"/>
    <w:rsid w:val="00837D93"/>
    <w:rsid w:val="0084093D"/>
    <w:rsid w:val="008414AF"/>
    <w:rsid w:val="00841AA1"/>
    <w:rsid w:val="00841C60"/>
    <w:rsid w:val="00841E1D"/>
    <w:rsid w:val="00842066"/>
    <w:rsid w:val="00842208"/>
    <w:rsid w:val="00842EFF"/>
    <w:rsid w:val="00843234"/>
    <w:rsid w:val="00843506"/>
    <w:rsid w:val="0084429B"/>
    <w:rsid w:val="008443B4"/>
    <w:rsid w:val="0084577E"/>
    <w:rsid w:val="008459E2"/>
    <w:rsid w:val="00846905"/>
    <w:rsid w:val="00846B8F"/>
    <w:rsid w:val="00847038"/>
    <w:rsid w:val="00847686"/>
    <w:rsid w:val="00847A74"/>
    <w:rsid w:val="00847FA7"/>
    <w:rsid w:val="00850AC7"/>
    <w:rsid w:val="00851C84"/>
    <w:rsid w:val="008528BB"/>
    <w:rsid w:val="008533A7"/>
    <w:rsid w:val="008547DF"/>
    <w:rsid w:val="0085559C"/>
    <w:rsid w:val="00855ADF"/>
    <w:rsid w:val="00856227"/>
    <w:rsid w:val="00856B4B"/>
    <w:rsid w:val="00857870"/>
    <w:rsid w:val="008578B8"/>
    <w:rsid w:val="00857952"/>
    <w:rsid w:val="00857C96"/>
    <w:rsid w:val="008607F3"/>
    <w:rsid w:val="00860D20"/>
    <w:rsid w:val="0086183B"/>
    <w:rsid w:val="0086185D"/>
    <w:rsid w:val="00865528"/>
    <w:rsid w:val="00865529"/>
    <w:rsid w:val="00866ED1"/>
    <w:rsid w:val="0086739B"/>
    <w:rsid w:val="00867675"/>
    <w:rsid w:val="00867A57"/>
    <w:rsid w:val="00867D13"/>
    <w:rsid w:val="0087078F"/>
    <w:rsid w:val="00870CCC"/>
    <w:rsid w:val="00870CF8"/>
    <w:rsid w:val="00870D69"/>
    <w:rsid w:val="00870DE0"/>
    <w:rsid w:val="00871026"/>
    <w:rsid w:val="00871254"/>
    <w:rsid w:val="008716EF"/>
    <w:rsid w:val="00872CDA"/>
    <w:rsid w:val="00872DF4"/>
    <w:rsid w:val="00873A78"/>
    <w:rsid w:val="00874342"/>
    <w:rsid w:val="00874C2D"/>
    <w:rsid w:val="00875129"/>
    <w:rsid w:val="00875E19"/>
    <w:rsid w:val="0087630E"/>
    <w:rsid w:val="00876957"/>
    <w:rsid w:val="00876D99"/>
    <w:rsid w:val="00877701"/>
    <w:rsid w:val="008779EF"/>
    <w:rsid w:val="008812D1"/>
    <w:rsid w:val="00881319"/>
    <w:rsid w:val="008816BC"/>
    <w:rsid w:val="0088220D"/>
    <w:rsid w:val="00882730"/>
    <w:rsid w:val="00882908"/>
    <w:rsid w:val="00882BEA"/>
    <w:rsid w:val="00883D1C"/>
    <w:rsid w:val="00883EB9"/>
    <w:rsid w:val="008854DC"/>
    <w:rsid w:val="00885680"/>
    <w:rsid w:val="008856F7"/>
    <w:rsid w:val="00885E9F"/>
    <w:rsid w:val="00886B0D"/>
    <w:rsid w:val="00886C76"/>
    <w:rsid w:val="0088702D"/>
    <w:rsid w:val="00887794"/>
    <w:rsid w:val="00890113"/>
    <w:rsid w:val="00890DF4"/>
    <w:rsid w:val="00890EEF"/>
    <w:rsid w:val="00891A1C"/>
    <w:rsid w:val="008920F6"/>
    <w:rsid w:val="0089298C"/>
    <w:rsid w:val="008936B2"/>
    <w:rsid w:val="00893D58"/>
    <w:rsid w:val="0089522F"/>
    <w:rsid w:val="008973E0"/>
    <w:rsid w:val="008A0802"/>
    <w:rsid w:val="008A0821"/>
    <w:rsid w:val="008A0F5E"/>
    <w:rsid w:val="008A1A53"/>
    <w:rsid w:val="008A425A"/>
    <w:rsid w:val="008A5FAE"/>
    <w:rsid w:val="008A6555"/>
    <w:rsid w:val="008A6EDE"/>
    <w:rsid w:val="008A7789"/>
    <w:rsid w:val="008B1072"/>
    <w:rsid w:val="008B28B0"/>
    <w:rsid w:val="008B292C"/>
    <w:rsid w:val="008B2956"/>
    <w:rsid w:val="008B344C"/>
    <w:rsid w:val="008B38CC"/>
    <w:rsid w:val="008B55C4"/>
    <w:rsid w:val="008B5A11"/>
    <w:rsid w:val="008B5B9F"/>
    <w:rsid w:val="008B6A3E"/>
    <w:rsid w:val="008B6E24"/>
    <w:rsid w:val="008B7264"/>
    <w:rsid w:val="008B784A"/>
    <w:rsid w:val="008C1462"/>
    <w:rsid w:val="008C1F14"/>
    <w:rsid w:val="008C2A52"/>
    <w:rsid w:val="008C2A5A"/>
    <w:rsid w:val="008C32A6"/>
    <w:rsid w:val="008C44B9"/>
    <w:rsid w:val="008C4509"/>
    <w:rsid w:val="008C4A56"/>
    <w:rsid w:val="008C562C"/>
    <w:rsid w:val="008C5BF2"/>
    <w:rsid w:val="008C5DBA"/>
    <w:rsid w:val="008C6411"/>
    <w:rsid w:val="008C69DE"/>
    <w:rsid w:val="008C6E58"/>
    <w:rsid w:val="008C7A05"/>
    <w:rsid w:val="008D01BE"/>
    <w:rsid w:val="008D0737"/>
    <w:rsid w:val="008D0C33"/>
    <w:rsid w:val="008D0C92"/>
    <w:rsid w:val="008D10AB"/>
    <w:rsid w:val="008D121D"/>
    <w:rsid w:val="008D42B0"/>
    <w:rsid w:val="008D4A23"/>
    <w:rsid w:val="008D4BB7"/>
    <w:rsid w:val="008D50C9"/>
    <w:rsid w:val="008D5306"/>
    <w:rsid w:val="008D57E6"/>
    <w:rsid w:val="008D6002"/>
    <w:rsid w:val="008D6FE0"/>
    <w:rsid w:val="008D70F1"/>
    <w:rsid w:val="008D7418"/>
    <w:rsid w:val="008D753B"/>
    <w:rsid w:val="008E1393"/>
    <w:rsid w:val="008E2065"/>
    <w:rsid w:val="008E2A1C"/>
    <w:rsid w:val="008E32B4"/>
    <w:rsid w:val="008E33EF"/>
    <w:rsid w:val="008E45B6"/>
    <w:rsid w:val="008E5E85"/>
    <w:rsid w:val="008E64C9"/>
    <w:rsid w:val="008E6804"/>
    <w:rsid w:val="008E6B61"/>
    <w:rsid w:val="008E6D65"/>
    <w:rsid w:val="008E73ED"/>
    <w:rsid w:val="008E7D96"/>
    <w:rsid w:val="008F020A"/>
    <w:rsid w:val="008F211C"/>
    <w:rsid w:val="008F2975"/>
    <w:rsid w:val="008F3A17"/>
    <w:rsid w:val="008F3B07"/>
    <w:rsid w:val="008F3E0C"/>
    <w:rsid w:val="008F3F2F"/>
    <w:rsid w:val="008F4B3B"/>
    <w:rsid w:val="008F593C"/>
    <w:rsid w:val="008F63BF"/>
    <w:rsid w:val="008F6F11"/>
    <w:rsid w:val="008F7490"/>
    <w:rsid w:val="008F7791"/>
    <w:rsid w:val="00900061"/>
    <w:rsid w:val="0090026B"/>
    <w:rsid w:val="00901637"/>
    <w:rsid w:val="009019D6"/>
    <w:rsid w:val="009020B9"/>
    <w:rsid w:val="009026B9"/>
    <w:rsid w:val="00904859"/>
    <w:rsid w:val="00904A19"/>
    <w:rsid w:val="0090536B"/>
    <w:rsid w:val="00905799"/>
    <w:rsid w:val="00906001"/>
    <w:rsid w:val="009069E5"/>
    <w:rsid w:val="00907845"/>
    <w:rsid w:val="00907AD3"/>
    <w:rsid w:val="0091086F"/>
    <w:rsid w:val="00910E34"/>
    <w:rsid w:val="00911F2A"/>
    <w:rsid w:val="00912738"/>
    <w:rsid w:val="009130E3"/>
    <w:rsid w:val="00913200"/>
    <w:rsid w:val="009139D0"/>
    <w:rsid w:val="00913AC9"/>
    <w:rsid w:val="009141EC"/>
    <w:rsid w:val="00914548"/>
    <w:rsid w:val="0091571D"/>
    <w:rsid w:val="00915E0C"/>
    <w:rsid w:val="00917031"/>
    <w:rsid w:val="009172E6"/>
    <w:rsid w:val="00917BB8"/>
    <w:rsid w:val="009203F7"/>
    <w:rsid w:val="009204A3"/>
    <w:rsid w:val="009213D7"/>
    <w:rsid w:val="00921B72"/>
    <w:rsid w:val="00921D7D"/>
    <w:rsid w:val="009225BE"/>
    <w:rsid w:val="00922766"/>
    <w:rsid w:val="009229E6"/>
    <w:rsid w:val="00924174"/>
    <w:rsid w:val="00924F93"/>
    <w:rsid w:val="009253E6"/>
    <w:rsid w:val="009266FA"/>
    <w:rsid w:val="00926ED7"/>
    <w:rsid w:val="009270A1"/>
    <w:rsid w:val="00927817"/>
    <w:rsid w:val="00927C2D"/>
    <w:rsid w:val="00930E40"/>
    <w:rsid w:val="009316A1"/>
    <w:rsid w:val="00931726"/>
    <w:rsid w:val="009321DA"/>
    <w:rsid w:val="009325BA"/>
    <w:rsid w:val="00932C3C"/>
    <w:rsid w:val="00933855"/>
    <w:rsid w:val="009338CD"/>
    <w:rsid w:val="00933E30"/>
    <w:rsid w:val="00934048"/>
    <w:rsid w:val="009346EB"/>
    <w:rsid w:val="00935D34"/>
    <w:rsid w:val="0094234D"/>
    <w:rsid w:val="0094294D"/>
    <w:rsid w:val="00942B0D"/>
    <w:rsid w:val="009444B0"/>
    <w:rsid w:val="00944657"/>
    <w:rsid w:val="00944C07"/>
    <w:rsid w:val="00945B6C"/>
    <w:rsid w:val="00945D62"/>
    <w:rsid w:val="009460CC"/>
    <w:rsid w:val="00946C48"/>
    <w:rsid w:val="0094729B"/>
    <w:rsid w:val="009477CF"/>
    <w:rsid w:val="0095001A"/>
    <w:rsid w:val="0095076C"/>
    <w:rsid w:val="00951103"/>
    <w:rsid w:val="00951493"/>
    <w:rsid w:val="009526EC"/>
    <w:rsid w:val="00952D8D"/>
    <w:rsid w:val="00953046"/>
    <w:rsid w:val="009538AB"/>
    <w:rsid w:val="00953CDB"/>
    <w:rsid w:val="00953DE5"/>
    <w:rsid w:val="00953F4D"/>
    <w:rsid w:val="009540E4"/>
    <w:rsid w:val="00954400"/>
    <w:rsid w:val="00954B25"/>
    <w:rsid w:val="00955387"/>
    <w:rsid w:val="00955EE4"/>
    <w:rsid w:val="0095664A"/>
    <w:rsid w:val="00956651"/>
    <w:rsid w:val="0095666A"/>
    <w:rsid w:val="00956AE3"/>
    <w:rsid w:val="00956BC9"/>
    <w:rsid w:val="00957524"/>
    <w:rsid w:val="0095765F"/>
    <w:rsid w:val="00957965"/>
    <w:rsid w:val="00960A9F"/>
    <w:rsid w:val="00960CB1"/>
    <w:rsid w:val="00961341"/>
    <w:rsid w:val="009615BF"/>
    <w:rsid w:val="00962138"/>
    <w:rsid w:val="00962D2E"/>
    <w:rsid w:val="009648E4"/>
    <w:rsid w:val="00965425"/>
    <w:rsid w:val="0096685A"/>
    <w:rsid w:val="00966B94"/>
    <w:rsid w:val="00966EBB"/>
    <w:rsid w:val="0096718B"/>
    <w:rsid w:val="009707DC"/>
    <w:rsid w:val="00972039"/>
    <w:rsid w:val="009730D3"/>
    <w:rsid w:val="00974183"/>
    <w:rsid w:val="009747EB"/>
    <w:rsid w:val="00974B8B"/>
    <w:rsid w:val="009757BE"/>
    <w:rsid w:val="00975EC7"/>
    <w:rsid w:val="009766D7"/>
    <w:rsid w:val="00976D9A"/>
    <w:rsid w:val="009800E8"/>
    <w:rsid w:val="009808A9"/>
    <w:rsid w:val="00981A84"/>
    <w:rsid w:val="00981C23"/>
    <w:rsid w:val="00982620"/>
    <w:rsid w:val="00982BAA"/>
    <w:rsid w:val="00983201"/>
    <w:rsid w:val="00983204"/>
    <w:rsid w:val="009833D9"/>
    <w:rsid w:val="00986AEB"/>
    <w:rsid w:val="00986EC3"/>
    <w:rsid w:val="00987140"/>
    <w:rsid w:val="00990463"/>
    <w:rsid w:val="0099048B"/>
    <w:rsid w:val="009906F6"/>
    <w:rsid w:val="00990949"/>
    <w:rsid w:val="00991E88"/>
    <w:rsid w:val="00992764"/>
    <w:rsid w:val="00992AC5"/>
    <w:rsid w:val="00992FDD"/>
    <w:rsid w:val="009936B5"/>
    <w:rsid w:val="009937D7"/>
    <w:rsid w:val="00994498"/>
    <w:rsid w:val="00995936"/>
    <w:rsid w:val="00996085"/>
    <w:rsid w:val="00996A22"/>
    <w:rsid w:val="00996DD5"/>
    <w:rsid w:val="009A0FCE"/>
    <w:rsid w:val="009A1EBD"/>
    <w:rsid w:val="009A26D0"/>
    <w:rsid w:val="009A2E97"/>
    <w:rsid w:val="009A3124"/>
    <w:rsid w:val="009A4058"/>
    <w:rsid w:val="009A4B38"/>
    <w:rsid w:val="009A53AE"/>
    <w:rsid w:val="009A56A5"/>
    <w:rsid w:val="009A6D46"/>
    <w:rsid w:val="009A7449"/>
    <w:rsid w:val="009A7470"/>
    <w:rsid w:val="009B0AAD"/>
    <w:rsid w:val="009B0DAD"/>
    <w:rsid w:val="009B1324"/>
    <w:rsid w:val="009B1972"/>
    <w:rsid w:val="009B2AA2"/>
    <w:rsid w:val="009B3ABB"/>
    <w:rsid w:val="009B43AE"/>
    <w:rsid w:val="009B44F0"/>
    <w:rsid w:val="009B4783"/>
    <w:rsid w:val="009B4C73"/>
    <w:rsid w:val="009B4D4C"/>
    <w:rsid w:val="009B4E00"/>
    <w:rsid w:val="009B5380"/>
    <w:rsid w:val="009B582F"/>
    <w:rsid w:val="009B671F"/>
    <w:rsid w:val="009B69A6"/>
    <w:rsid w:val="009B6A14"/>
    <w:rsid w:val="009B6BD4"/>
    <w:rsid w:val="009B7374"/>
    <w:rsid w:val="009B7777"/>
    <w:rsid w:val="009B792A"/>
    <w:rsid w:val="009C09B9"/>
    <w:rsid w:val="009C103E"/>
    <w:rsid w:val="009C18DF"/>
    <w:rsid w:val="009C19E2"/>
    <w:rsid w:val="009C1E31"/>
    <w:rsid w:val="009C3390"/>
    <w:rsid w:val="009C34B9"/>
    <w:rsid w:val="009C35D1"/>
    <w:rsid w:val="009C4BDF"/>
    <w:rsid w:val="009C520E"/>
    <w:rsid w:val="009C5D53"/>
    <w:rsid w:val="009C5F6B"/>
    <w:rsid w:val="009C7371"/>
    <w:rsid w:val="009C7CDD"/>
    <w:rsid w:val="009D0995"/>
    <w:rsid w:val="009D0E16"/>
    <w:rsid w:val="009D1CB0"/>
    <w:rsid w:val="009D2234"/>
    <w:rsid w:val="009D27DD"/>
    <w:rsid w:val="009D4085"/>
    <w:rsid w:val="009D41BB"/>
    <w:rsid w:val="009D5BD9"/>
    <w:rsid w:val="009D637C"/>
    <w:rsid w:val="009D684F"/>
    <w:rsid w:val="009D7267"/>
    <w:rsid w:val="009D760D"/>
    <w:rsid w:val="009E097F"/>
    <w:rsid w:val="009E0B11"/>
    <w:rsid w:val="009E0C00"/>
    <w:rsid w:val="009E15A7"/>
    <w:rsid w:val="009E1608"/>
    <w:rsid w:val="009E33FB"/>
    <w:rsid w:val="009E3A71"/>
    <w:rsid w:val="009E51A0"/>
    <w:rsid w:val="009E5B90"/>
    <w:rsid w:val="009E6287"/>
    <w:rsid w:val="009E7083"/>
    <w:rsid w:val="009E726F"/>
    <w:rsid w:val="009E74F0"/>
    <w:rsid w:val="009E77D8"/>
    <w:rsid w:val="009E77DD"/>
    <w:rsid w:val="009F1888"/>
    <w:rsid w:val="009F20E3"/>
    <w:rsid w:val="009F2718"/>
    <w:rsid w:val="009F2C02"/>
    <w:rsid w:val="009F39D2"/>
    <w:rsid w:val="009F4FFB"/>
    <w:rsid w:val="009F51C2"/>
    <w:rsid w:val="009F599B"/>
    <w:rsid w:val="009F5C07"/>
    <w:rsid w:val="009F6543"/>
    <w:rsid w:val="009F6E44"/>
    <w:rsid w:val="009F70CE"/>
    <w:rsid w:val="009F745F"/>
    <w:rsid w:val="009F7651"/>
    <w:rsid w:val="009F7B35"/>
    <w:rsid w:val="00A009CF"/>
    <w:rsid w:val="00A00F5F"/>
    <w:rsid w:val="00A014AC"/>
    <w:rsid w:val="00A014D7"/>
    <w:rsid w:val="00A017BB"/>
    <w:rsid w:val="00A01CBC"/>
    <w:rsid w:val="00A022CE"/>
    <w:rsid w:val="00A02564"/>
    <w:rsid w:val="00A04B9E"/>
    <w:rsid w:val="00A04FE6"/>
    <w:rsid w:val="00A06EBD"/>
    <w:rsid w:val="00A101F3"/>
    <w:rsid w:val="00A101F4"/>
    <w:rsid w:val="00A1072A"/>
    <w:rsid w:val="00A10B10"/>
    <w:rsid w:val="00A10E21"/>
    <w:rsid w:val="00A10F90"/>
    <w:rsid w:val="00A11609"/>
    <w:rsid w:val="00A12498"/>
    <w:rsid w:val="00A1296F"/>
    <w:rsid w:val="00A12B14"/>
    <w:rsid w:val="00A13569"/>
    <w:rsid w:val="00A13601"/>
    <w:rsid w:val="00A14292"/>
    <w:rsid w:val="00A16A77"/>
    <w:rsid w:val="00A16C67"/>
    <w:rsid w:val="00A17480"/>
    <w:rsid w:val="00A177DF"/>
    <w:rsid w:val="00A20499"/>
    <w:rsid w:val="00A20CE4"/>
    <w:rsid w:val="00A214BB"/>
    <w:rsid w:val="00A21A95"/>
    <w:rsid w:val="00A22561"/>
    <w:rsid w:val="00A241D8"/>
    <w:rsid w:val="00A24DC8"/>
    <w:rsid w:val="00A25652"/>
    <w:rsid w:val="00A25A53"/>
    <w:rsid w:val="00A25C50"/>
    <w:rsid w:val="00A26AEC"/>
    <w:rsid w:val="00A26F0C"/>
    <w:rsid w:val="00A27BD2"/>
    <w:rsid w:val="00A27C12"/>
    <w:rsid w:val="00A30172"/>
    <w:rsid w:val="00A30205"/>
    <w:rsid w:val="00A30E3E"/>
    <w:rsid w:val="00A31325"/>
    <w:rsid w:val="00A31733"/>
    <w:rsid w:val="00A31B28"/>
    <w:rsid w:val="00A31D55"/>
    <w:rsid w:val="00A31DD6"/>
    <w:rsid w:val="00A31EA9"/>
    <w:rsid w:val="00A33108"/>
    <w:rsid w:val="00A33CD5"/>
    <w:rsid w:val="00A34BEF"/>
    <w:rsid w:val="00A350EA"/>
    <w:rsid w:val="00A35544"/>
    <w:rsid w:val="00A3558C"/>
    <w:rsid w:val="00A3583C"/>
    <w:rsid w:val="00A358E1"/>
    <w:rsid w:val="00A35BC8"/>
    <w:rsid w:val="00A36DEE"/>
    <w:rsid w:val="00A3705E"/>
    <w:rsid w:val="00A40447"/>
    <w:rsid w:val="00A40F3B"/>
    <w:rsid w:val="00A41336"/>
    <w:rsid w:val="00A41857"/>
    <w:rsid w:val="00A41DFC"/>
    <w:rsid w:val="00A42194"/>
    <w:rsid w:val="00A42857"/>
    <w:rsid w:val="00A43B4D"/>
    <w:rsid w:val="00A44979"/>
    <w:rsid w:val="00A44B4F"/>
    <w:rsid w:val="00A4522F"/>
    <w:rsid w:val="00A46009"/>
    <w:rsid w:val="00A46C87"/>
    <w:rsid w:val="00A46CDE"/>
    <w:rsid w:val="00A47820"/>
    <w:rsid w:val="00A503A1"/>
    <w:rsid w:val="00A50BBC"/>
    <w:rsid w:val="00A50CDE"/>
    <w:rsid w:val="00A519AA"/>
    <w:rsid w:val="00A53419"/>
    <w:rsid w:val="00A535DF"/>
    <w:rsid w:val="00A53652"/>
    <w:rsid w:val="00A536C8"/>
    <w:rsid w:val="00A53B28"/>
    <w:rsid w:val="00A5507D"/>
    <w:rsid w:val="00A5599C"/>
    <w:rsid w:val="00A55D59"/>
    <w:rsid w:val="00A579CF"/>
    <w:rsid w:val="00A57DD2"/>
    <w:rsid w:val="00A603B9"/>
    <w:rsid w:val="00A60A77"/>
    <w:rsid w:val="00A60B7A"/>
    <w:rsid w:val="00A60D58"/>
    <w:rsid w:val="00A60E6C"/>
    <w:rsid w:val="00A61E57"/>
    <w:rsid w:val="00A61EA3"/>
    <w:rsid w:val="00A622B3"/>
    <w:rsid w:val="00A627A5"/>
    <w:rsid w:val="00A627F8"/>
    <w:rsid w:val="00A62EE5"/>
    <w:rsid w:val="00A63278"/>
    <w:rsid w:val="00A64A4E"/>
    <w:rsid w:val="00A65019"/>
    <w:rsid w:val="00A653C6"/>
    <w:rsid w:val="00A6644E"/>
    <w:rsid w:val="00A664D8"/>
    <w:rsid w:val="00A66BFC"/>
    <w:rsid w:val="00A66EC3"/>
    <w:rsid w:val="00A675B8"/>
    <w:rsid w:val="00A676A0"/>
    <w:rsid w:val="00A71057"/>
    <w:rsid w:val="00A712D9"/>
    <w:rsid w:val="00A72208"/>
    <w:rsid w:val="00A72477"/>
    <w:rsid w:val="00A73060"/>
    <w:rsid w:val="00A730E4"/>
    <w:rsid w:val="00A74439"/>
    <w:rsid w:val="00A75BA7"/>
    <w:rsid w:val="00A75E5F"/>
    <w:rsid w:val="00A77450"/>
    <w:rsid w:val="00A77B6A"/>
    <w:rsid w:val="00A77F8F"/>
    <w:rsid w:val="00A80CDF"/>
    <w:rsid w:val="00A8137E"/>
    <w:rsid w:val="00A8151F"/>
    <w:rsid w:val="00A81591"/>
    <w:rsid w:val="00A819F0"/>
    <w:rsid w:val="00A81A29"/>
    <w:rsid w:val="00A81B47"/>
    <w:rsid w:val="00A82EAB"/>
    <w:rsid w:val="00A833CB"/>
    <w:rsid w:val="00A83667"/>
    <w:rsid w:val="00A83A56"/>
    <w:rsid w:val="00A84C07"/>
    <w:rsid w:val="00A84F45"/>
    <w:rsid w:val="00A84FA9"/>
    <w:rsid w:val="00A8662B"/>
    <w:rsid w:val="00A86806"/>
    <w:rsid w:val="00A86CB9"/>
    <w:rsid w:val="00A875CB"/>
    <w:rsid w:val="00A87640"/>
    <w:rsid w:val="00A87DD0"/>
    <w:rsid w:val="00A90633"/>
    <w:rsid w:val="00A90642"/>
    <w:rsid w:val="00A90789"/>
    <w:rsid w:val="00A93243"/>
    <w:rsid w:val="00A93FCC"/>
    <w:rsid w:val="00A9405A"/>
    <w:rsid w:val="00A949E2"/>
    <w:rsid w:val="00A94C13"/>
    <w:rsid w:val="00A96312"/>
    <w:rsid w:val="00A965FD"/>
    <w:rsid w:val="00A966F1"/>
    <w:rsid w:val="00AA06F3"/>
    <w:rsid w:val="00AA0F5B"/>
    <w:rsid w:val="00AA1416"/>
    <w:rsid w:val="00AA1589"/>
    <w:rsid w:val="00AA1C6C"/>
    <w:rsid w:val="00AA1E48"/>
    <w:rsid w:val="00AA2055"/>
    <w:rsid w:val="00AA28CE"/>
    <w:rsid w:val="00AA3CB4"/>
    <w:rsid w:val="00AA40BC"/>
    <w:rsid w:val="00AA48B5"/>
    <w:rsid w:val="00AA4EF4"/>
    <w:rsid w:val="00AA4F34"/>
    <w:rsid w:val="00AA50C7"/>
    <w:rsid w:val="00AA59FC"/>
    <w:rsid w:val="00AA7A9B"/>
    <w:rsid w:val="00AB011A"/>
    <w:rsid w:val="00AB0ECE"/>
    <w:rsid w:val="00AB1668"/>
    <w:rsid w:val="00AB1B21"/>
    <w:rsid w:val="00AB1D4B"/>
    <w:rsid w:val="00AB22CB"/>
    <w:rsid w:val="00AB4F9C"/>
    <w:rsid w:val="00AB515B"/>
    <w:rsid w:val="00AB56C5"/>
    <w:rsid w:val="00AB5E54"/>
    <w:rsid w:val="00AB5FC4"/>
    <w:rsid w:val="00AB60D4"/>
    <w:rsid w:val="00AB675D"/>
    <w:rsid w:val="00AB7F85"/>
    <w:rsid w:val="00AC031D"/>
    <w:rsid w:val="00AC0D9B"/>
    <w:rsid w:val="00AC160B"/>
    <w:rsid w:val="00AC1939"/>
    <w:rsid w:val="00AC4078"/>
    <w:rsid w:val="00AC4692"/>
    <w:rsid w:val="00AC4A8F"/>
    <w:rsid w:val="00AC50E7"/>
    <w:rsid w:val="00AC5ED9"/>
    <w:rsid w:val="00AC699D"/>
    <w:rsid w:val="00AC6EC0"/>
    <w:rsid w:val="00AC7363"/>
    <w:rsid w:val="00AC76C5"/>
    <w:rsid w:val="00AD0A94"/>
    <w:rsid w:val="00AD1FDB"/>
    <w:rsid w:val="00AD302F"/>
    <w:rsid w:val="00AD34D6"/>
    <w:rsid w:val="00AD44E4"/>
    <w:rsid w:val="00AD452E"/>
    <w:rsid w:val="00AD4E56"/>
    <w:rsid w:val="00AD5056"/>
    <w:rsid w:val="00AE0327"/>
    <w:rsid w:val="00AE18F2"/>
    <w:rsid w:val="00AE44BB"/>
    <w:rsid w:val="00AE52E1"/>
    <w:rsid w:val="00AE5516"/>
    <w:rsid w:val="00AE5F27"/>
    <w:rsid w:val="00AE644D"/>
    <w:rsid w:val="00AE6E38"/>
    <w:rsid w:val="00AE7090"/>
    <w:rsid w:val="00AE719D"/>
    <w:rsid w:val="00AE7C0A"/>
    <w:rsid w:val="00AF221F"/>
    <w:rsid w:val="00AF30E8"/>
    <w:rsid w:val="00AF3FE2"/>
    <w:rsid w:val="00AF5187"/>
    <w:rsid w:val="00AF5825"/>
    <w:rsid w:val="00AF6471"/>
    <w:rsid w:val="00AF7198"/>
    <w:rsid w:val="00AF76F0"/>
    <w:rsid w:val="00B00203"/>
    <w:rsid w:val="00B00644"/>
    <w:rsid w:val="00B02720"/>
    <w:rsid w:val="00B02CC3"/>
    <w:rsid w:val="00B02D0E"/>
    <w:rsid w:val="00B03831"/>
    <w:rsid w:val="00B04133"/>
    <w:rsid w:val="00B0432F"/>
    <w:rsid w:val="00B05255"/>
    <w:rsid w:val="00B053B9"/>
    <w:rsid w:val="00B05865"/>
    <w:rsid w:val="00B05A48"/>
    <w:rsid w:val="00B06CC5"/>
    <w:rsid w:val="00B079F2"/>
    <w:rsid w:val="00B10A41"/>
    <w:rsid w:val="00B10BE2"/>
    <w:rsid w:val="00B112DE"/>
    <w:rsid w:val="00B1150D"/>
    <w:rsid w:val="00B12464"/>
    <w:rsid w:val="00B130F5"/>
    <w:rsid w:val="00B14923"/>
    <w:rsid w:val="00B153F3"/>
    <w:rsid w:val="00B15CD8"/>
    <w:rsid w:val="00B16039"/>
    <w:rsid w:val="00B16196"/>
    <w:rsid w:val="00B171A8"/>
    <w:rsid w:val="00B1795F"/>
    <w:rsid w:val="00B2077F"/>
    <w:rsid w:val="00B20BAB"/>
    <w:rsid w:val="00B21096"/>
    <w:rsid w:val="00B21B1F"/>
    <w:rsid w:val="00B22154"/>
    <w:rsid w:val="00B2216F"/>
    <w:rsid w:val="00B22DC2"/>
    <w:rsid w:val="00B23893"/>
    <w:rsid w:val="00B239B2"/>
    <w:rsid w:val="00B239C7"/>
    <w:rsid w:val="00B23DEF"/>
    <w:rsid w:val="00B24DE6"/>
    <w:rsid w:val="00B25E40"/>
    <w:rsid w:val="00B2647A"/>
    <w:rsid w:val="00B2658E"/>
    <w:rsid w:val="00B26791"/>
    <w:rsid w:val="00B268BF"/>
    <w:rsid w:val="00B26FEF"/>
    <w:rsid w:val="00B27422"/>
    <w:rsid w:val="00B27B07"/>
    <w:rsid w:val="00B27DB0"/>
    <w:rsid w:val="00B30056"/>
    <w:rsid w:val="00B3032F"/>
    <w:rsid w:val="00B30A01"/>
    <w:rsid w:val="00B31258"/>
    <w:rsid w:val="00B32BAE"/>
    <w:rsid w:val="00B34558"/>
    <w:rsid w:val="00B345CB"/>
    <w:rsid w:val="00B374C6"/>
    <w:rsid w:val="00B3758E"/>
    <w:rsid w:val="00B3776B"/>
    <w:rsid w:val="00B37E28"/>
    <w:rsid w:val="00B37FFA"/>
    <w:rsid w:val="00B40244"/>
    <w:rsid w:val="00B40572"/>
    <w:rsid w:val="00B44BF9"/>
    <w:rsid w:val="00B45230"/>
    <w:rsid w:val="00B454B4"/>
    <w:rsid w:val="00B45636"/>
    <w:rsid w:val="00B45E1B"/>
    <w:rsid w:val="00B45F05"/>
    <w:rsid w:val="00B464F6"/>
    <w:rsid w:val="00B4678E"/>
    <w:rsid w:val="00B4749D"/>
    <w:rsid w:val="00B474A0"/>
    <w:rsid w:val="00B47847"/>
    <w:rsid w:val="00B50178"/>
    <w:rsid w:val="00B50179"/>
    <w:rsid w:val="00B503FE"/>
    <w:rsid w:val="00B507B2"/>
    <w:rsid w:val="00B50863"/>
    <w:rsid w:val="00B51A08"/>
    <w:rsid w:val="00B5288C"/>
    <w:rsid w:val="00B53133"/>
    <w:rsid w:val="00B5355B"/>
    <w:rsid w:val="00B53D5F"/>
    <w:rsid w:val="00B541CD"/>
    <w:rsid w:val="00B550C8"/>
    <w:rsid w:val="00B554F6"/>
    <w:rsid w:val="00B56468"/>
    <w:rsid w:val="00B56A56"/>
    <w:rsid w:val="00B571CE"/>
    <w:rsid w:val="00B57AB1"/>
    <w:rsid w:val="00B57DFF"/>
    <w:rsid w:val="00B60835"/>
    <w:rsid w:val="00B60B2B"/>
    <w:rsid w:val="00B619AD"/>
    <w:rsid w:val="00B62C61"/>
    <w:rsid w:val="00B632FE"/>
    <w:rsid w:val="00B6355A"/>
    <w:rsid w:val="00B63D15"/>
    <w:rsid w:val="00B644C1"/>
    <w:rsid w:val="00B646FC"/>
    <w:rsid w:val="00B64C4A"/>
    <w:rsid w:val="00B6555D"/>
    <w:rsid w:val="00B6609B"/>
    <w:rsid w:val="00B66383"/>
    <w:rsid w:val="00B66D78"/>
    <w:rsid w:val="00B672A6"/>
    <w:rsid w:val="00B67B88"/>
    <w:rsid w:val="00B67CA1"/>
    <w:rsid w:val="00B70559"/>
    <w:rsid w:val="00B7137B"/>
    <w:rsid w:val="00B71565"/>
    <w:rsid w:val="00B7178C"/>
    <w:rsid w:val="00B71B89"/>
    <w:rsid w:val="00B71C89"/>
    <w:rsid w:val="00B7266D"/>
    <w:rsid w:val="00B72680"/>
    <w:rsid w:val="00B72757"/>
    <w:rsid w:val="00B72977"/>
    <w:rsid w:val="00B738F7"/>
    <w:rsid w:val="00B73C74"/>
    <w:rsid w:val="00B742D9"/>
    <w:rsid w:val="00B745D9"/>
    <w:rsid w:val="00B7467F"/>
    <w:rsid w:val="00B746C8"/>
    <w:rsid w:val="00B74ADE"/>
    <w:rsid w:val="00B75198"/>
    <w:rsid w:val="00B761C2"/>
    <w:rsid w:val="00B77639"/>
    <w:rsid w:val="00B77811"/>
    <w:rsid w:val="00B80094"/>
    <w:rsid w:val="00B80696"/>
    <w:rsid w:val="00B810A9"/>
    <w:rsid w:val="00B81179"/>
    <w:rsid w:val="00B811C6"/>
    <w:rsid w:val="00B81241"/>
    <w:rsid w:val="00B812EA"/>
    <w:rsid w:val="00B819CD"/>
    <w:rsid w:val="00B81A9C"/>
    <w:rsid w:val="00B832B1"/>
    <w:rsid w:val="00B83386"/>
    <w:rsid w:val="00B845F9"/>
    <w:rsid w:val="00B848EC"/>
    <w:rsid w:val="00B85015"/>
    <w:rsid w:val="00B859CD"/>
    <w:rsid w:val="00B85C40"/>
    <w:rsid w:val="00B85C44"/>
    <w:rsid w:val="00B85F06"/>
    <w:rsid w:val="00B8626F"/>
    <w:rsid w:val="00B86382"/>
    <w:rsid w:val="00B868FF"/>
    <w:rsid w:val="00B8744C"/>
    <w:rsid w:val="00B874F7"/>
    <w:rsid w:val="00B90257"/>
    <w:rsid w:val="00B905F9"/>
    <w:rsid w:val="00B90FF1"/>
    <w:rsid w:val="00B91ACF"/>
    <w:rsid w:val="00B92763"/>
    <w:rsid w:val="00B92F0B"/>
    <w:rsid w:val="00B9595B"/>
    <w:rsid w:val="00B95AC9"/>
    <w:rsid w:val="00B9698D"/>
    <w:rsid w:val="00B97171"/>
    <w:rsid w:val="00BA031A"/>
    <w:rsid w:val="00BA116F"/>
    <w:rsid w:val="00BA1197"/>
    <w:rsid w:val="00BA16E7"/>
    <w:rsid w:val="00BA19C8"/>
    <w:rsid w:val="00BA1D33"/>
    <w:rsid w:val="00BA2DD3"/>
    <w:rsid w:val="00BA2DE7"/>
    <w:rsid w:val="00BA3334"/>
    <w:rsid w:val="00BA3394"/>
    <w:rsid w:val="00BA3D9D"/>
    <w:rsid w:val="00BA47F8"/>
    <w:rsid w:val="00BA518C"/>
    <w:rsid w:val="00BA6809"/>
    <w:rsid w:val="00BA698B"/>
    <w:rsid w:val="00BA72C7"/>
    <w:rsid w:val="00BA73DA"/>
    <w:rsid w:val="00BA7B5C"/>
    <w:rsid w:val="00BB000E"/>
    <w:rsid w:val="00BB1793"/>
    <w:rsid w:val="00BB254F"/>
    <w:rsid w:val="00BB2802"/>
    <w:rsid w:val="00BB2D35"/>
    <w:rsid w:val="00BB4F52"/>
    <w:rsid w:val="00BB622A"/>
    <w:rsid w:val="00BB684E"/>
    <w:rsid w:val="00BB6E49"/>
    <w:rsid w:val="00BB7FAA"/>
    <w:rsid w:val="00BC0254"/>
    <w:rsid w:val="00BC064F"/>
    <w:rsid w:val="00BC06D0"/>
    <w:rsid w:val="00BC29AC"/>
    <w:rsid w:val="00BC2B3C"/>
    <w:rsid w:val="00BC2BC4"/>
    <w:rsid w:val="00BC37A0"/>
    <w:rsid w:val="00BC4E93"/>
    <w:rsid w:val="00BC522C"/>
    <w:rsid w:val="00BC529B"/>
    <w:rsid w:val="00BC5615"/>
    <w:rsid w:val="00BC5633"/>
    <w:rsid w:val="00BC5AC7"/>
    <w:rsid w:val="00BC5F5E"/>
    <w:rsid w:val="00BC7FE3"/>
    <w:rsid w:val="00BC7FF0"/>
    <w:rsid w:val="00BD307B"/>
    <w:rsid w:val="00BD3162"/>
    <w:rsid w:val="00BD36BE"/>
    <w:rsid w:val="00BD3F03"/>
    <w:rsid w:val="00BD3F17"/>
    <w:rsid w:val="00BD490F"/>
    <w:rsid w:val="00BD53AE"/>
    <w:rsid w:val="00BD569F"/>
    <w:rsid w:val="00BD6656"/>
    <w:rsid w:val="00BD673B"/>
    <w:rsid w:val="00BD6AE4"/>
    <w:rsid w:val="00BD712E"/>
    <w:rsid w:val="00BD760D"/>
    <w:rsid w:val="00BD7CA1"/>
    <w:rsid w:val="00BE003D"/>
    <w:rsid w:val="00BE1BDA"/>
    <w:rsid w:val="00BE26C8"/>
    <w:rsid w:val="00BE2782"/>
    <w:rsid w:val="00BE35B8"/>
    <w:rsid w:val="00BE3DF1"/>
    <w:rsid w:val="00BE5403"/>
    <w:rsid w:val="00BE5A7A"/>
    <w:rsid w:val="00BE7638"/>
    <w:rsid w:val="00BE7D08"/>
    <w:rsid w:val="00BE7E20"/>
    <w:rsid w:val="00BF000F"/>
    <w:rsid w:val="00BF0792"/>
    <w:rsid w:val="00BF0EEB"/>
    <w:rsid w:val="00BF0F4D"/>
    <w:rsid w:val="00BF1770"/>
    <w:rsid w:val="00BF1BD7"/>
    <w:rsid w:val="00BF1E88"/>
    <w:rsid w:val="00BF21FE"/>
    <w:rsid w:val="00BF28A5"/>
    <w:rsid w:val="00BF38C9"/>
    <w:rsid w:val="00BF4217"/>
    <w:rsid w:val="00BF484C"/>
    <w:rsid w:val="00BF5C26"/>
    <w:rsid w:val="00BF6155"/>
    <w:rsid w:val="00BF6270"/>
    <w:rsid w:val="00BF6D82"/>
    <w:rsid w:val="00BF720A"/>
    <w:rsid w:val="00BF7C46"/>
    <w:rsid w:val="00BF7C63"/>
    <w:rsid w:val="00C00C2E"/>
    <w:rsid w:val="00C01263"/>
    <w:rsid w:val="00C01F4F"/>
    <w:rsid w:val="00C0334E"/>
    <w:rsid w:val="00C03D5F"/>
    <w:rsid w:val="00C04370"/>
    <w:rsid w:val="00C04B27"/>
    <w:rsid w:val="00C04C7B"/>
    <w:rsid w:val="00C05150"/>
    <w:rsid w:val="00C057EE"/>
    <w:rsid w:val="00C06183"/>
    <w:rsid w:val="00C066E0"/>
    <w:rsid w:val="00C07F66"/>
    <w:rsid w:val="00C10AB8"/>
    <w:rsid w:val="00C12232"/>
    <w:rsid w:val="00C12617"/>
    <w:rsid w:val="00C1328F"/>
    <w:rsid w:val="00C13655"/>
    <w:rsid w:val="00C13B02"/>
    <w:rsid w:val="00C13FAF"/>
    <w:rsid w:val="00C14892"/>
    <w:rsid w:val="00C14CB9"/>
    <w:rsid w:val="00C16073"/>
    <w:rsid w:val="00C1649E"/>
    <w:rsid w:val="00C16F82"/>
    <w:rsid w:val="00C173BA"/>
    <w:rsid w:val="00C17F71"/>
    <w:rsid w:val="00C20D04"/>
    <w:rsid w:val="00C21623"/>
    <w:rsid w:val="00C2181B"/>
    <w:rsid w:val="00C219E0"/>
    <w:rsid w:val="00C21CF3"/>
    <w:rsid w:val="00C222B9"/>
    <w:rsid w:val="00C23AD9"/>
    <w:rsid w:val="00C25DAF"/>
    <w:rsid w:val="00C25DFD"/>
    <w:rsid w:val="00C264B1"/>
    <w:rsid w:val="00C300EF"/>
    <w:rsid w:val="00C302BF"/>
    <w:rsid w:val="00C309B2"/>
    <w:rsid w:val="00C31230"/>
    <w:rsid w:val="00C313FD"/>
    <w:rsid w:val="00C31432"/>
    <w:rsid w:val="00C3185C"/>
    <w:rsid w:val="00C31DE1"/>
    <w:rsid w:val="00C31EC4"/>
    <w:rsid w:val="00C31EEE"/>
    <w:rsid w:val="00C321A0"/>
    <w:rsid w:val="00C336AD"/>
    <w:rsid w:val="00C35179"/>
    <w:rsid w:val="00C3545D"/>
    <w:rsid w:val="00C355C3"/>
    <w:rsid w:val="00C36579"/>
    <w:rsid w:val="00C365CE"/>
    <w:rsid w:val="00C37186"/>
    <w:rsid w:val="00C40986"/>
    <w:rsid w:val="00C411EA"/>
    <w:rsid w:val="00C41957"/>
    <w:rsid w:val="00C4228B"/>
    <w:rsid w:val="00C44536"/>
    <w:rsid w:val="00C446C2"/>
    <w:rsid w:val="00C44799"/>
    <w:rsid w:val="00C448EE"/>
    <w:rsid w:val="00C448F3"/>
    <w:rsid w:val="00C44AD2"/>
    <w:rsid w:val="00C456EA"/>
    <w:rsid w:val="00C45758"/>
    <w:rsid w:val="00C45B17"/>
    <w:rsid w:val="00C46E65"/>
    <w:rsid w:val="00C50E11"/>
    <w:rsid w:val="00C51301"/>
    <w:rsid w:val="00C53366"/>
    <w:rsid w:val="00C53C8D"/>
    <w:rsid w:val="00C54E72"/>
    <w:rsid w:val="00C55424"/>
    <w:rsid w:val="00C55AD0"/>
    <w:rsid w:val="00C55E33"/>
    <w:rsid w:val="00C562B4"/>
    <w:rsid w:val="00C56A0C"/>
    <w:rsid w:val="00C5774C"/>
    <w:rsid w:val="00C57CDD"/>
    <w:rsid w:val="00C60351"/>
    <w:rsid w:val="00C60546"/>
    <w:rsid w:val="00C6063D"/>
    <w:rsid w:val="00C613F7"/>
    <w:rsid w:val="00C614AE"/>
    <w:rsid w:val="00C620DE"/>
    <w:rsid w:val="00C6327A"/>
    <w:rsid w:val="00C63790"/>
    <w:rsid w:val="00C63C89"/>
    <w:rsid w:val="00C642E9"/>
    <w:rsid w:val="00C64338"/>
    <w:rsid w:val="00C6552E"/>
    <w:rsid w:val="00C668C2"/>
    <w:rsid w:val="00C66962"/>
    <w:rsid w:val="00C669AF"/>
    <w:rsid w:val="00C66C77"/>
    <w:rsid w:val="00C67739"/>
    <w:rsid w:val="00C70869"/>
    <w:rsid w:val="00C713D3"/>
    <w:rsid w:val="00C717E1"/>
    <w:rsid w:val="00C719C6"/>
    <w:rsid w:val="00C7213C"/>
    <w:rsid w:val="00C73B4A"/>
    <w:rsid w:val="00C73F08"/>
    <w:rsid w:val="00C74D32"/>
    <w:rsid w:val="00C76043"/>
    <w:rsid w:val="00C770D5"/>
    <w:rsid w:val="00C80852"/>
    <w:rsid w:val="00C80FEB"/>
    <w:rsid w:val="00C81CF8"/>
    <w:rsid w:val="00C8227E"/>
    <w:rsid w:val="00C82DAF"/>
    <w:rsid w:val="00C8363F"/>
    <w:rsid w:val="00C83851"/>
    <w:rsid w:val="00C83A96"/>
    <w:rsid w:val="00C83BBC"/>
    <w:rsid w:val="00C84038"/>
    <w:rsid w:val="00C847F7"/>
    <w:rsid w:val="00C84833"/>
    <w:rsid w:val="00C84A03"/>
    <w:rsid w:val="00C8586B"/>
    <w:rsid w:val="00C85ACA"/>
    <w:rsid w:val="00C85C14"/>
    <w:rsid w:val="00C85D9E"/>
    <w:rsid w:val="00C863CE"/>
    <w:rsid w:val="00C86DAC"/>
    <w:rsid w:val="00C87610"/>
    <w:rsid w:val="00C90271"/>
    <w:rsid w:val="00C90446"/>
    <w:rsid w:val="00C90D3E"/>
    <w:rsid w:val="00C92EF0"/>
    <w:rsid w:val="00C93404"/>
    <w:rsid w:val="00C94A30"/>
    <w:rsid w:val="00C94FFF"/>
    <w:rsid w:val="00C951B7"/>
    <w:rsid w:val="00C96C86"/>
    <w:rsid w:val="00C97D73"/>
    <w:rsid w:val="00CA029E"/>
    <w:rsid w:val="00CA0C2A"/>
    <w:rsid w:val="00CA16E9"/>
    <w:rsid w:val="00CA2A7E"/>
    <w:rsid w:val="00CA3238"/>
    <w:rsid w:val="00CA3E46"/>
    <w:rsid w:val="00CA4B9D"/>
    <w:rsid w:val="00CA4EA8"/>
    <w:rsid w:val="00CA5360"/>
    <w:rsid w:val="00CA5CE1"/>
    <w:rsid w:val="00CA63F8"/>
    <w:rsid w:val="00CA66EA"/>
    <w:rsid w:val="00CA6BE0"/>
    <w:rsid w:val="00CA79C9"/>
    <w:rsid w:val="00CA7A17"/>
    <w:rsid w:val="00CA7DB9"/>
    <w:rsid w:val="00CB04AE"/>
    <w:rsid w:val="00CB06BB"/>
    <w:rsid w:val="00CB0736"/>
    <w:rsid w:val="00CB0C59"/>
    <w:rsid w:val="00CB12FF"/>
    <w:rsid w:val="00CB144B"/>
    <w:rsid w:val="00CB1DB8"/>
    <w:rsid w:val="00CB1F3D"/>
    <w:rsid w:val="00CB2689"/>
    <w:rsid w:val="00CB2B4C"/>
    <w:rsid w:val="00CB33CC"/>
    <w:rsid w:val="00CB3DFF"/>
    <w:rsid w:val="00CB463C"/>
    <w:rsid w:val="00CB55BC"/>
    <w:rsid w:val="00CB5751"/>
    <w:rsid w:val="00CB58A8"/>
    <w:rsid w:val="00CB73CD"/>
    <w:rsid w:val="00CB7A7B"/>
    <w:rsid w:val="00CC1986"/>
    <w:rsid w:val="00CC19F6"/>
    <w:rsid w:val="00CC1A0E"/>
    <w:rsid w:val="00CC1C7D"/>
    <w:rsid w:val="00CC2E64"/>
    <w:rsid w:val="00CC403F"/>
    <w:rsid w:val="00CC50C0"/>
    <w:rsid w:val="00CC5307"/>
    <w:rsid w:val="00CC5464"/>
    <w:rsid w:val="00CC5BBD"/>
    <w:rsid w:val="00CC6A11"/>
    <w:rsid w:val="00CD14C7"/>
    <w:rsid w:val="00CD15EF"/>
    <w:rsid w:val="00CD276F"/>
    <w:rsid w:val="00CD3061"/>
    <w:rsid w:val="00CD313B"/>
    <w:rsid w:val="00CD35D1"/>
    <w:rsid w:val="00CD36A5"/>
    <w:rsid w:val="00CD3E0E"/>
    <w:rsid w:val="00CD553E"/>
    <w:rsid w:val="00CD58B2"/>
    <w:rsid w:val="00CD63ED"/>
    <w:rsid w:val="00CD6B2F"/>
    <w:rsid w:val="00CD779E"/>
    <w:rsid w:val="00CE0279"/>
    <w:rsid w:val="00CE0A8C"/>
    <w:rsid w:val="00CE2D2D"/>
    <w:rsid w:val="00CE3A9D"/>
    <w:rsid w:val="00CE557C"/>
    <w:rsid w:val="00CE61DA"/>
    <w:rsid w:val="00CF0177"/>
    <w:rsid w:val="00CF0237"/>
    <w:rsid w:val="00CF0D52"/>
    <w:rsid w:val="00CF1384"/>
    <w:rsid w:val="00CF18BC"/>
    <w:rsid w:val="00CF1AAA"/>
    <w:rsid w:val="00CF1AF4"/>
    <w:rsid w:val="00CF20EA"/>
    <w:rsid w:val="00CF36B6"/>
    <w:rsid w:val="00CF434C"/>
    <w:rsid w:val="00CF48F9"/>
    <w:rsid w:val="00CF4B63"/>
    <w:rsid w:val="00CF500B"/>
    <w:rsid w:val="00CF553A"/>
    <w:rsid w:val="00CF612C"/>
    <w:rsid w:val="00CF651B"/>
    <w:rsid w:val="00CF671C"/>
    <w:rsid w:val="00CF6E34"/>
    <w:rsid w:val="00D001C8"/>
    <w:rsid w:val="00D00744"/>
    <w:rsid w:val="00D00ABB"/>
    <w:rsid w:val="00D01DEB"/>
    <w:rsid w:val="00D01FE1"/>
    <w:rsid w:val="00D02569"/>
    <w:rsid w:val="00D02746"/>
    <w:rsid w:val="00D03613"/>
    <w:rsid w:val="00D03FA0"/>
    <w:rsid w:val="00D04F5B"/>
    <w:rsid w:val="00D062BA"/>
    <w:rsid w:val="00D064D3"/>
    <w:rsid w:val="00D06511"/>
    <w:rsid w:val="00D06834"/>
    <w:rsid w:val="00D07873"/>
    <w:rsid w:val="00D10193"/>
    <w:rsid w:val="00D108C6"/>
    <w:rsid w:val="00D10FB8"/>
    <w:rsid w:val="00D11200"/>
    <w:rsid w:val="00D113CD"/>
    <w:rsid w:val="00D11441"/>
    <w:rsid w:val="00D136E0"/>
    <w:rsid w:val="00D138B4"/>
    <w:rsid w:val="00D1476A"/>
    <w:rsid w:val="00D150F8"/>
    <w:rsid w:val="00D15530"/>
    <w:rsid w:val="00D15698"/>
    <w:rsid w:val="00D1596D"/>
    <w:rsid w:val="00D15E2F"/>
    <w:rsid w:val="00D1692E"/>
    <w:rsid w:val="00D1775A"/>
    <w:rsid w:val="00D203D2"/>
    <w:rsid w:val="00D20626"/>
    <w:rsid w:val="00D20B71"/>
    <w:rsid w:val="00D20C33"/>
    <w:rsid w:val="00D21021"/>
    <w:rsid w:val="00D21302"/>
    <w:rsid w:val="00D21458"/>
    <w:rsid w:val="00D21786"/>
    <w:rsid w:val="00D21C68"/>
    <w:rsid w:val="00D22A16"/>
    <w:rsid w:val="00D22CA2"/>
    <w:rsid w:val="00D22DB7"/>
    <w:rsid w:val="00D243D7"/>
    <w:rsid w:val="00D2493F"/>
    <w:rsid w:val="00D25148"/>
    <w:rsid w:val="00D25909"/>
    <w:rsid w:val="00D25CDD"/>
    <w:rsid w:val="00D26134"/>
    <w:rsid w:val="00D26468"/>
    <w:rsid w:val="00D275A2"/>
    <w:rsid w:val="00D30593"/>
    <w:rsid w:val="00D306D6"/>
    <w:rsid w:val="00D30D38"/>
    <w:rsid w:val="00D31F50"/>
    <w:rsid w:val="00D326A8"/>
    <w:rsid w:val="00D32CD9"/>
    <w:rsid w:val="00D336F3"/>
    <w:rsid w:val="00D33A20"/>
    <w:rsid w:val="00D3401A"/>
    <w:rsid w:val="00D3438A"/>
    <w:rsid w:val="00D347D9"/>
    <w:rsid w:val="00D35C5D"/>
    <w:rsid w:val="00D35D57"/>
    <w:rsid w:val="00D35DEA"/>
    <w:rsid w:val="00D36848"/>
    <w:rsid w:val="00D401E4"/>
    <w:rsid w:val="00D404A9"/>
    <w:rsid w:val="00D408E1"/>
    <w:rsid w:val="00D4107F"/>
    <w:rsid w:val="00D413C8"/>
    <w:rsid w:val="00D42490"/>
    <w:rsid w:val="00D42494"/>
    <w:rsid w:val="00D424DD"/>
    <w:rsid w:val="00D433F1"/>
    <w:rsid w:val="00D437FE"/>
    <w:rsid w:val="00D4387F"/>
    <w:rsid w:val="00D43A6A"/>
    <w:rsid w:val="00D43C62"/>
    <w:rsid w:val="00D43E7F"/>
    <w:rsid w:val="00D44DCD"/>
    <w:rsid w:val="00D457DF"/>
    <w:rsid w:val="00D45924"/>
    <w:rsid w:val="00D471F4"/>
    <w:rsid w:val="00D47781"/>
    <w:rsid w:val="00D50478"/>
    <w:rsid w:val="00D504A3"/>
    <w:rsid w:val="00D507FA"/>
    <w:rsid w:val="00D513D9"/>
    <w:rsid w:val="00D51A6A"/>
    <w:rsid w:val="00D52450"/>
    <w:rsid w:val="00D527DD"/>
    <w:rsid w:val="00D5381F"/>
    <w:rsid w:val="00D5392B"/>
    <w:rsid w:val="00D53DCF"/>
    <w:rsid w:val="00D5436A"/>
    <w:rsid w:val="00D55F8C"/>
    <w:rsid w:val="00D560ED"/>
    <w:rsid w:val="00D571C7"/>
    <w:rsid w:val="00D57354"/>
    <w:rsid w:val="00D57367"/>
    <w:rsid w:val="00D5774F"/>
    <w:rsid w:val="00D57A35"/>
    <w:rsid w:val="00D57DF2"/>
    <w:rsid w:val="00D601C4"/>
    <w:rsid w:val="00D604FA"/>
    <w:rsid w:val="00D605BB"/>
    <w:rsid w:val="00D6060E"/>
    <w:rsid w:val="00D60B1B"/>
    <w:rsid w:val="00D60F05"/>
    <w:rsid w:val="00D6214B"/>
    <w:rsid w:val="00D633DD"/>
    <w:rsid w:val="00D63D8C"/>
    <w:rsid w:val="00D65D08"/>
    <w:rsid w:val="00D66277"/>
    <w:rsid w:val="00D665E3"/>
    <w:rsid w:val="00D6701A"/>
    <w:rsid w:val="00D705CA"/>
    <w:rsid w:val="00D708A3"/>
    <w:rsid w:val="00D710C0"/>
    <w:rsid w:val="00D7355C"/>
    <w:rsid w:val="00D75F98"/>
    <w:rsid w:val="00D761E8"/>
    <w:rsid w:val="00D7631C"/>
    <w:rsid w:val="00D76DDC"/>
    <w:rsid w:val="00D77091"/>
    <w:rsid w:val="00D77983"/>
    <w:rsid w:val="00D80160"/>
    <w:rsid w:val="00D8090B"/>
    <w:rsid w:val="00D81027"/>
    <w:rsid w:val="00D823B4"/>
    <w:rsid w:val="00D82462"/>
    <w:rsid w:val="00D828B6"/>
    <w:rsid w:val="00D831E1"/>
    <w:rsid w:val="00D837B5"/>
    <w:rsid w:val="00D84D2B"/>
    <w:rsid w:val="00D87121"/>
    <w:rsid w:val="00D87168"/>
    <w:rsid w:val="00D87B05"/>
    <w:rsid w:val="00D9024D"/>
    <w:rsid w:val="00D90C04"/>
    <w:rsid w:val="00D90EBC"/>
    <w:rsid w:val="00D90FDB"/>
    <w:rsid w:val="00D914B8"/>
    <w:rsid w:val="00D91C6E"/>
    <w:rsid w:val="00D92FF1"/>
    <w:rsid w:val="00D93C92"/>
    <w:rsid w:val="00D966F4"/>
    <w:rsid w:val="00D96F8A"/>
    <w:rsid w:val="00D972F6"/>
    <w:rsid w:val="00D97562"/>
    <w:rsid w:val="00DA00AA"/>
    <w:rsid w:val="00DA03CA"/>
    <w:rsid w:val="00DA05E8"/>
    <w:rsid w:val="00DA0EDF"/>
    <w:rsid w:val="00DA1202"/>
    <w:rsid w:val="00DA153E"/>
    <w:rsid w:val="00DA1A3B"/>
    <w:rsid w:val="00DA371D"/>
    <w:rsid w:val="00DA37FC"/>
    <w:rsid w:val="00DA3B23"/>
    <w:rsid w:val="00DA3B33"/>
    <w:rsid w:val="00DA427F"/>
    <w:rsid w:val="00DA51B0"/>
    <w:rsid w:val="00DA5584"/>
    <w:rsid w:val="00DA7607"/>
    <w:rsid w:val="00DA76BF"/>
    <w:rsid w:val="00DB0434"/>
    <w:rsid w:val="00DB16E8"/>
    <w:rsid w:val="00DB269E"/>
    <w:rsid w:val="00DB2E46"/>
    <w:rsid w:val="00DB3A3C"/>
    <w:rsid w:val="00DB3BE4"/>
    <w:rsid w:val="00DB438C"/>
    <w:rsid w:val="00DB44E2"/>
    <w:rsid w:val="00DB5163"/>
    <w:rsid w:val="00DB6874"/>
    <w:rsid w:val="00DB783A"/>
    <w:rsid w:val="00DB7976"/>
    <w:rsid w:val="00DC081F"/>
    <w:rsid w:val="00DC1126"/>
    <w:rsid w:val="00DC144D"/>
    <w:rsid w:val="00DC21A3"/>
    <w:rsid w:val="00DC2BEA"/>
    <w:rsid w:val="00DC40BA"/>
    <w:rsid w:val="00DC4501"/>
    <w:rsid w:val="00DC4692"/>
    <w:rsid w:val="00DC4EC2"/>
    <w:rsid w:val="00DC59DB"/>
    <w:rsid w:val="00DC5F2E"/>
    <w:rsid w:val="00DC667D"/>
    <w:rsid w:val="00DC708B"/>
    <w:rsid w:val="00DC7347"/>
    <w:rsid w:val="00DC741F"/>
    <w:rsid w:val="00DD0304"/>
    <w:rsid w:val="00DD083D"/>
    <w:rsid w:val="00DD1379"/>
    <w:rsid w:val="00DD2806"/>
    <w:rsid w:val="00DD3C44"/>
    <w:rsid w:val="00DD3F70"/>
    <w:rsid w:val="00DD402E"/>
    <w:rsid w:val="00DD4273"/>
    <w:rsid w:val="00DD431D"/>
    <w:rsid w:val="00DD5B6E"/>
    <w:rsid w:val="00DD5F65"/>
    <w:rsid w:val="00DD69BA"/>
    <w:rsid w:val="00DD6AE8"/>
    <w:rsid w:val="00DD7885"/>
    <w:rsid w:val="00DE0569"/>
    <w:rsid w:val="00DE081E"/>
    <w:rsid w:val="00DE0E19"/>
    <w:rsid w:val="00DE0F27"/>
    <w:rsid w:val="00DE1210"/>
    <w:rsid w:val="00DE1773"/>
    <w:rsid w:val="00DE324C"/>
    <w:rsid w:val="00DE3337"/>
    <w:rsid w:val="00DE339A"/>
    <w:rsid w:val="00DE3992"/>
    <w:rsid w:val="00DE519F"/>
    <w:rsid w:val="00DE6354"/>
    <w:rsid w:val="00DE684E"/>
    <w:rsid w:val="00DE7A9A"/>
    <w:rsid w:val="00DE7B9E"/>
    <w:rsid w:val="00DF058D"/>
    <w:rsid w:val="00DF07AF"/>
    <w:rsid w:val="00DF0E62"/>
    <w:rsid w:val="00DF1FC5"/>
    <w:rsid w:val="00DF2402"/>
    <w:rsid w:val="00DF3534"/>
    <w:rsid w:val="00DF531F"/>
    <w:rsid w:val="00DF5665"/>
    <w:rsid w:val="00DF5A18"/>
    <w:rsid w:val="00DF5BF2"/>
    <w:rsid w:val="00DF60F8"/>
    <w:rsid w:val="00DF6297"/>
    <w:rsid w:val="00DF6864"/>
    <w:rsid w:val="00DF745D"/>
    <w:rsid w:val="00DF7BBC"/>
    <w:rsid w:val="00E00327"/>
    <w:rsid w:val="00E00520"/>
    <w:rsid w:val="00E00E6E"/>
    <w:rsid w:val="00E01EEF"/>
    <w:rsid w:val="00E02CDC"/>
    <w:rsid w:val="00E02D93"/>
    <w:rsid w:val="00E02E49"/>
    <w:rsid w:val="00E041C2"/>
    <w:rsid w:val="00E053E6"/>
    <w:rsid w:val="00E0541D"/>
    <w:rsid w:val="00E05F27"/>
    <w:rsid w:val="00E060D3"/>
    <w:rsid w:val="00E06184"/>
    <w:rsid w:val="00E064B8"/>
    <w:rsid w:val="00E066B1"/>
    <w:rsid w:val="00E066E0"/>
    <w:rsid w:val="00E0682F"/>
    <w:rsid w:val="00E108A2"/>
    <w:rsid w:val="00E10B01"/>
    <w:rsid w:val="00E10C90"/>
    <w:rsid w:val="00E10F68"/>
    <w:rsid w:val="00E12C42"/>
    <w:rsid w:val="00E12F54"/>
    <w:rsid w:val="00E12FAA"/>
    <w:rsid w:val="00E13B26"/>
    <w:rsid w:val="00E14A4F"/>
    <w:rsid w:val="00E1540A"/>
    <w:rsid w:val="00E15F8B"/>
    <w:rsid w:val="00E161D3"/>
    <w:rsid w:val="00E1695D"/>
    <w:rsid w:val="00E16E12"/>
    <w:rsid w:val="00E175CE"/>
    <w:rsid w:val="00E20892"/>
    <w:rsid w:val="00E2117E"/>
    <w:rsid w:val="00E2374A"/>
    <w:rsid w:val="00E23E9C"/>
    <w:rsid w:val="00E24516"/>
    <w:rsid w:val="00E25599"/>
    <w:rsid w:val="00E259BB"/>
    <w:rsid w:val="00E25B89"/>
    <w:rsid w:val="00E266CE"/>
    <w:rsid w:val="00E26B1B"/>
    <w:rsid w:val="00E26F42"/>
    <w:rsid w:val="00E3147B"/>
    <w:rsid w:val="00E32649"/>
    <w:rsid w:val="00E32A9A"/>
    <w:rsid w:val="00E3451E"/>
    <w:rsid w:val="00E35F1D"/>
    <w:rsid w:val="00E36345"/>
    <w:rsid w:val="00E36B95"/>
    <w:rsid w:val="00E377E8"/>
    <w:rsid w:val="00E379DD"/>
    <w:rsid w:val="00E37C8C"/>
    <w:rsid w:val="00E403DA"/>
    <w:rsid w:val="00E405A8"/>
    <w:rsid w:val="00E40BE1"/>
    <w:rsid w:val="00E413AD"/>
    <w:rsid w:val="00E419D1"/>
    <w:rsid w:val="00E41D4F"/>
    <w:rsid w:val="00E4239B"/>
    <w:rsid w:val="00E429F0"/>
    <w:rsid w:val="00E43315"/>
    <w:rsid w:val="00E441A1"/>
    <w:rsid w:val="00E44374"/>
    <w:rsid w:val="00E45A09"/>
    <w:rsid w:val="00E462F6"/>
    <w:rsid w:val="00E46691"/>
    <w:rsid w:val="00E46BA6"/>
    <w:rsid w:val="00E46CE9"/>
    <w:rsid w:val="00E47B03"/>
    <w:rsid w:val="00E50268"/>
    <w:rsid w:val="00E502EE"/>
    <w:rsid w:val="00E50817"/>
    <w:rsid w:val="00E50889"/>
    <w:rsid w:val="00E51462"/>
    <w:rsid w:val="00E523E5"/>
    <w:rsid w:val="00E52473"/>
    <w:rsid w:val="00E52489"/>
    <w:rsid w:val="00E53B21"/>
    <w:rsid w:val="00E53C10"/>
    <w:rsid w:val="00E53D04"/>
    <w:rsid w:val="00E53E97"/>
    <w:rsid w:val="00E54DF9"/>
    <w:rsid w:val="00E54E61"/>
    <w:rsid w:val="00E55A0C"/>
    <w:rsid w:val="00E55EB4"/>
    <w:rsid w:val="00E561D5"/>
    <w:rsid w:val="00E56DA0"/>
    <w:rsid w:val="00E56E39"/>
    <w:rsid w:val="00E57F27"/>
    <w:rsid w:val="00E60859"/>
    <w:rsid w:val="00E6163E"/>
    <w:rsid w:val="00E6214D"/>
    <w:rsid w:val="00E62D6B"/>
    <w:rsid w:val="00E62DF8"/>
    <w:rsid w:val="00E62ECD"/>
    <w:rsid w:val="00E63688"/>
    <w:rsid w:val="00E63D94"/>
    <w:rsid w:val="00E63DA6"/>
    <w:rsid w:val="00E650A3"/>
    <w:rsid w:val="00E655FC"/>
    <w:rsid w:val="00E6594C"/>
    <w:rsid w:val="00E65EAB"/>
    <w:rsid w:val="00E65F8D"/>
    <w:rsid w:val="00E6619D"/>
    <w:rsid w:val="00E662D4"/>
    <w:rsid w:val="00E70C0A"/>
    <w:rsid w:val="00E71359"/>
    <w:rsid w:val="00E7219C"/>
    <w:rsid w:val="00E72F90"/>
    <w:rsid w:val="00E7336F"/>
    <w:rsid w:val="00E73DD3"/>
    <w:rsid w:val="00E74513"/>
    <w:rsid w:val="00E74869"/>
    <w:rsid w:val="00E74F6B"/>
    <w:rsid w:val="00E75446"/>
    <w:rsid w:val="00E7580C"/>
    <w:rsid w:val="00E76311"/>
    <w:rsid w:val="00E763A3"/>
    <w:rsid w:val="00E80741"/>
    <w:rsid w:val="00E8142B"/>
    <w:rsid w:val="00E83435"/>
    <w:rsid w:val="00E83C4A"/>
    <w:rsid w:val="00E83E5D"/>
    <w:rsid w:val="00E84426"/>
    <w:rsid w:val="00E84612"/>
    <w:rsid w:val="00E84F4B"/>
    <w:rsid w:val="00E85A21"/>
    <w:rsid w:val="00E85A6A"/>
    <w:rsid w:val="00E86269"/>
    <w:rsid w:val="00E90313"/>
    <w:rsid w:val="00E92656"/>
    <w:rsid w:val="00E92EF5"/>
    <w:rsid w:val="00E93142"/>
    <w:rsid w:val="00E93337"/>
    <w:rsid w:val="00E9342E"/>
    <w:rsid w:val="00E9469A"/>
    <w:rsid w:val="00E95E6D"/>
    <w:rsid w:val="00E96190"/>
    <w:rsid w:val="00E97DD3"/>
    <w:rsid w:val="00EA034D"/>
    <w:rsid w:val="00EA1E04"/>
    <w:rsid w:val="00EA2361"/>
    <w:rsid w:val="00EA25AE"/>
    <w:rsid w:val="00EA3996"/>
    <w:rsid w:val="00EA4357"/>
    <w:rsid w:val="00EA4F63"/>
    <w:rsid w:val="00EA50C0"/>
    <w:rsid w:val="00EA5BBE"/>
    <w:rsid w:val="00EA5E90"/>
    <w:rsid w:val="00EA632B"/>
    <w:rsid w:val="00EA6972"/>
    <w:rsid w:val="00EA7938"/>
    <w:rsid w:val="00EA7D4D"/>
    <w:rsid w:val="00EB027F"/>
    <w:rsid w:val="00EB031D"/>
    <w:rsid w:val="00EB179B"/>
    <w:rsid w:val="00EB1BF6"/>
    <w:rsid w:val="00EB2404"/>
    <w:rsid w:val="00EB29E8"/>
    <w:rsid w:val="00EB466A"/>
    <w:rsid w:val="00EB48EC"/>
    <w:rsid w:val="00EB52CE"/>
    <w:rsid w:val="00EB558C"/>
    <w:rsid w:val="00EB5CE4"/>
    <w:rsid w:val="00EB7CA4"/>
    <w:rsid w:val="00EC0561"/>
    <w:rsid w:val="00EC0F97"/>
    <w:rsid w:val="00EC1ABC"/>
    <w:rsid w:val="00EC1E82"/>
    <w:rsid w:val="00EC3031"/>
    <w:rsid w:val="00EC3321"/>
    <w:rsid w:val="00EC4128"/>
    <w:rsid w:val="00EC413A"/>
    <w:rsid w:val="00EC632C"/>
    <w:rsid w:val="00EC67D3"/>
    <w:rsid w:val="00EC695A"/>
    <w:rsid w:val="00EC768D"/>
    <w:rsid w:val="00EC7CFD"/>
    <w:rsid w:val="00ED006F"/>
    <w:rsid w:val="00ED03DF"/>
    <w:rsid w:val="00ED1270"/>
    <w:rsid w:val="00ED1F82"/>
    <w:rsid w:val="00ED2C76"/>
    <w:rsid w:val="00ED2E64"/>
    <w:rsid w:val="00ED3B84"/>
    <w:rsid w:val="00ED51D5"/>
    <w:rsid w:val="00ED68EA"/>
    <w:rsid w:val="00ED77D5"/>
    <w:rsid w:val="00ED7D6D"/>
    <w:rsid w:val="00EE0705"/>
    <w:rsid w:val="00EE0B3C"/>
    <w:rsid w:val="00EE0F6C"/>
    <w:rsid w:val="00EE13A6"/>
    <w:rsid w:val="00EE17E4"/>
    <w:rsid w:val="00EE31AA"/>
    <w:rsid w:val="00EE3511"/>
    <w:rsid w:val="00EE47BD"/>
    <w:rsid w:val="00EE67C2"/>
    <w:rsid w:val="00EE6DAC"/>
    <w:rsid w:val="00EF1657"/>
    <w:rsid w:val="00EF167B"/>
    <w:rsid w:val="00EF1C3B"/>
    <w:rsid w:val="00EF20B6"/>
    <w:rsid w:val="00EF2761"/>
    <w:rsid w:val="00EF2E1C"/>
    <w:rsid w:val="00EF2EF8"/>
    <w:rsid w:val="00EF380A"/>
    <w:rsid w:val="00EF38D0"/>
    <w:rsid w:val="00EF3C36"/>
    <w:rsid w:val="00EF42FA"/>
    <w:rsid w:val="00EF461F"/>
    <w:rsid w:val="00EF478D"/>
    <w:rsid w:val="00EF5A51"/>
    <w:rsid w:val="00EF5D0B"/>
    <w:rsid w:val="00EF6D3F"/>
    <w:rsid w:val="00EF7133"/>
    <w:rsid w:val="00EF75D4"/>
    <w:rsid w:val="00EF79C0"/>
    <w:rsid w:val="00F00BA2"/>
    <w:rsid w:val="00F00D9D"/>
    <w:rsid w:val="00F0290E"/>
    <w:rsid w:val="00F03D82"/>
    <w:rsid w:val="00F05A19"/>
    <w:rsid w:val="00F06191"/>
    <w:rsid w:val="00F10723"/>
    <w:rsid w:val="00F1083D"/>
    <w:rsid w:val="00F10D6A"/>
    <w:rsid w:val="00F115C4"/>
    <w:rsid w:val="00F116AE"/>
    <w:rsid w:val="00F125EA"/>
    <w:rsid w:val="00F12979"/>
    <w:rsid w:val="00F1352D"/>
    <w:rsid w:val="00F14104"/>
    <w:rsid w:val="00F14329"/>
    <w:rsid w:val="00F14582"/>
    <w:rsid w:val="00F14C9B"/>
    <w:rsid w:val="00F14DBC"/>
    <w:rsid w:val="00F151E9"/>
    <w:rsid w:val="00F152A6"/>
    <w:rsid w:val="00F15A06"/>
    <w:rsid w:val="00F1645C"/>
    <w:rsid w:val="00F164DC"/>
    <w:rsid w:val="00F1690A"/>
    <w:rsid w:val="00F17101"/>
    <w:rsid w:val="00F172ED"/>
    <w:rsid w:val="00F2011D"/>
    <w:rsid w:val="00F20AA5"/>
    <w:rsid w:val="00F20ED5"/>
    <w:rsid w:val="00F221A9"/>
    <w:rsid w:val="00F228B1"/>
    <w:rsid w:val="00F24170"/>
    <w:rsid w:val="00F24904"/>
    <w:rsid w:val="00F254D8"/>
    <w:rsid w:val="00F256BD"/>
    <w:rsid w:val="00F25F53"/>
    <w:rsid w:val="00F26AC7"/>
    <w:rsid w:val="00F26FA3"/>
    <w:rsid w:val="00F27BBF"/>
    <w:rsid w:val="00F30A2B"/>
    <w:rsid w:val="00F31F90"/>
    <w:rsid w:val="00F32645"/>
    <w:rsid w:val="00F32826"/>
    <w:rsid w:val="00F3346E"/>
    <w:rsid w:val="00F33578"/>
    <w:rsid w:val="00F34347"/>
    <w:rsid w:val="00F34C75"/>
    <w:rsid w:val="00F356F4"/>
    <w:rsid w:val="00F359D1"/>
    <w:rsid w:val="00F35BE0"/>
    <w:rsid w:val="00F368DC"/>
    <w:rsid w:val="00F40112"/>
    <w:rsid w:val="00F403F6"/>
    <w:rsid w:val="00F4123E"/>
    <w:rsid w:val="00F41352"/>
    <w:rsid w:val="00F41D83"/>
    <w:rsid w:val="00F423D9"/>
    <w:rsid w:val="00F4272D"/>
    <w:rsid w:val="00F430E9"/>
    <w:rsid w:val="00F4450A"/>
    <w:rsid w:val="00F446A2"/>
    <w:rsid w:val="00F450A6"/>
    <w:rsid w:val="00F4636D"/>
    <w:rsid w:val="00F4683A"/>
    <w:rsid w:val="00F46C45"/>
    <w:rsid w:val="00F47B87"/>
    <w:rsid w:val="00F50AB9"/>
    <w:rsid w:val="00F50D37"/>
    <w:rsid w:val="00F510CC"/>
    <w:rsid w:val="00F51516"/>
    <w:rsid w:val="00F515BC"/>
    <w:rsid w:val="00F52266"/>
    <w:rsid w:val="00F52C08"/>
    <w:rsid w:val="00F5369D"/>
    <w:rsid w:val="00F5378A"/>
    <w:rsid w:val="00F53AD2"/>
    <w:rsid w:val="00F54514"/>
    <w:rsid w:val="00F54C58"/>
    <w:rsid w:val="00F55588"/>
    <w:rsid w:val="00F55E09"/>
    <w:rsid w:val="00F560DB"/>
    <w:rsid w:val="00F568B2"/>
    <w:rsid w:val="00F56A82"/>
    <w:rsid w:val="00F56CBF"/>
    <w:rsid w:val="00F5729A"/>
    <w:rsid w:val="00F57364"/>
    <w:rsid w:val="00F57BAD"/>
    <w:rsid w:val="00F57D2C"/>
    <w:rsid w:val="00F60505"/>
    <w:rsid w:val="00F60E71"/>
    <w:rsid w:val="00F60F68"/>
    <w:rsid w:val="00F625BB"/>
    <w:rsid w:val="00F6409F"/>
    <w:rsid w:val="00F64948"/>
    <w:rsid w:val="00F66067"/>
    <w:rsid w:val="00F662AC"/>
    <w:rsid w:val="00F66FCA"/>
    <w:rsid w:val="00F6784E"/>
    <w:rsid w:val="00F7054C"/>
    <w:rsid w:val="00F70C99"/>
    <w:rsid w:val="00F717CF"/>
    <w:rsid w:val="00F728E1"/>
    <w:rsid w:val="00F735BA"/>
    <w:rsid w:val="00F737F9"/>
    <w:rsid w:val="00F74DBB"/>
    <w:rsid w:val="00F751F2"/>
    <w:rsid w:val="00F75BBB"/>
    <w:rsid w:val="00F779E2"/>
    <w:rsid w:val="00F8072D"/>
    <w:rsid w:val="00F80BCC"/>
    <w:rsid w:val="00F80CCA"/>
    <w:rsid w:val="00F82208"/>
    <w:rsid w:val="00F82679"/>
    <w:rsid w:val="00F82820"/>
    <w:rsid w:val="00F82E2F"/>
    <w:rsid w:val="00F8302A"/>
    <w:rsid w:val="00F8320C"/>
    <w:rsid w:val="00F8342D"/>
    <w:rsid w:val="00F84742"/>
    <w:rsid w:val="00F84D98"/>
    <w:rsid w:val="00F8625C"/>
    <w:rsid w:val="00F862A2"/>
    <w:rsid w:val="00F87414"/>
    <w:rsid w:val="00F8789F"/>
    <w:rsid w:val="00F90119"/>
    <w:rsid w:val="00F9194F"/>
    <w:rsid w:val="00F92387"/>
    <w:rsid w:val="00F92927"/>
    <w:rsid w:val="00F92961"/>
    <w:rsid w:val="00F92E3E"/>
    <w:rsid w:val="00F933A0"/>
    <w:rsid w:val="00F93D7E"/>
    <w:rsid w:val="00F93DB5"/>
    <w:rsid w:val="00F94347"/>
    <w:rsid w:val="00F94398"/>
    <w:rsid w:val="00F96103"/>
    <w:rsid w:val="00FA0C83"/>
    <w:rsid w:val="00FA0E1C"/>
    <w:rsid w:val="00FA0FB5"/>
    <w:rsid w:val="00FA1088"/>
    <w:rsid w:val="00FA258A"/>
    <w:rsid w:val="00FA2F5C"/>
    <w:rsid w:val="00FA3157"/>
    <w:rsid w:val="00FA36B0"/>
    <w:rsid w:val="00FA37D4"/>
    <w:rsid w:val="00FA46C0"/>
    <w:rsid w:val="00FA5163"/>
    <w:rsid w:val="00FA5625"/>
    <w:rsid w:val="00FA6361"/>
    <w:rsid w:val="00FA722B"/>
    <w:rsid w:val="00FA7622"/>
    <w:rsid w:val="00FA7B21"/>
    <w:rsid w:val="00FA7DA9"/>
    <w:rsid w:val="00FB01EC"/>
    <w:rsid w:val="00FB1C2D"/>
    <w:rsid w:val="00FB1F1D"/>
    <w:rsid w:val="00FB28FB"/>
    <w:rsid w:val="00FB2AA1"/>
    <w:rsid w:val="00FB2EC2"/>
    <w:rsid w:val="00FB30A6"/>
    <w:rsid w:val="00FB3151"/>
    <w:rsid w:val="00FB31DF"/>
    <w:rsid w:val="00FB3BE5"/>
    <w:rsid w:val="00FB3C5B"/>
    <w:rsid w:val="00FB4BE1"/>
    <w:rsid w:val="00FB5396"/>
    <w:rsid w:val="00FB5C25"/>
    <w:rsid w:val="00FB6428"/>
    <w:rsid w:val="00FB6F1C"/>
    <w:rsid w:val="00FB7804"/>
    <w:rsid w:val="00FB7CFE"/>
    <w:rsid w:val="00FC0C72"/>
    <w:rsid w:val="00FC1D39"/>
    <w:rsid w:val="00FC208C"/>
    <w:rsid w:val="00FC21B1"/>
    <w:rsid w:val="00FC275C"/>
    <w:rsid w:val="00FC2A72"/>
    <w:rsid w:val="00FC2B9A"/>
    <w:rsid w:val="00FC31E8"/>
    <w:rsid w:val="00FC3258"/>
    <w:rsid w:val="00FC33B6"/>
    <w:rsid w:val="00FC397C"/>
    <w:rsid w:val="00FC3D93"/>
    <w:rsid w:val="00FC3E6E"/>
    <w:rsid w:val="00FC4170"/>
    <w:rsid w:val="00FC4B80"/>
    <w:rsid w:val="00FC4BFB"/>
    <w:rsid w:val="00FC57CB"/>
    <w:rsid w:val="00FC5BB1"/>
    <w:rsid w:val="00FC5FCE"/>
    <w:rsid w:val="00FC62B7"/>
    <w:rsid w:val="00FC639F"/>
    <w:rsid w:val="00FC66A7"/>
    <w:rsid w:val="00FC6E37"/>
    <w:rsid w:val="00FC7D36"/>
    <w:rsid w:val="00FD01D6"/>
    <w:rsid w:val="00FD02EE"/>
    <w:rsid w:val="00FD0506"/>
    <w:rsid w:val="00FD2350"/>
    <w:rsid w:val="00FD322C"/>
    <w:rsid w:val="00FD32DD"/>
    <w:rsid w:val="00FD3848"/>
    <w:rsid w:val="00FD480E"/>
    <w:rsid w:val="00FD4BD3"/>
    <w:rsid w:val="00FD4D07"/>
    <w:rsid w:val="00FD5063"/>
    <w:rsid w:val="00FD665C"/>
    <w:rsid w:val="00FD6C9B"/>
    <w:rsid w:val="00FD7198"/>
    <w:rsid w:val="00FD73B5"/>
    <w:rsid w:val="00FD750E"/>
    <w:rsid w:val="00FD7738"/>
    <w:rsid w:val="00FE0157"/>
    <w:rsid w:val="00FE1C90"/>
    <w:rsid w:val="00FE27BA"/>
    <w:rsid w:val="00FE353D"/>
    <w:rsid w:val="00FE39BF"/>
    <w:rsid w:val="00FE3C35"/>
    <w:rsid w:val="00FE3FA7"/>
    <w:rsid w:val="00FE4234"/>
    <w:rsid w:val="00FE4634"/>
    <w:rsid w:val="00FE48E4"/>
    <w:rsid w:val="00FE4D11"/>
    <w:rsid w:val="00FE4FC0"/>
    <w:rsid w:val="00FE5085"/>
    <w:rsid w:val="00FE635F"/>
    <w:rsid w:val="00FE673A"/>
    <w:rsid w:val="00FE6FAB"/>
    <w:rsid w:val="00FE7A76"/>
    <w:rsid w:val="00FE7B09"/>
    <w:rsid w:val="00FF022A"/>
    <w:rsid w:val="00FF043D"/>
    <w:rsid w:val="00FF10F8"/>
    <w:rsid w:val="00FF1D0E"/>
    <w:rsid w:val="00FF2066"/>
    <w:rsid w:val="00FF3B77"/>
    <w:rsid w:val="00FF3BC8"/>
    <w:rsid w:val="00FF5A95"/>
    <w:rsid w:val="00FF5EBD"/>
    <w:rsid w:val="00FF6091"/>
    <w:rsid w:val="00FF6290"/>
    <w:rsid w:val="00FF70F0"/>
    <w:rsid w:val="00FF7169"/>
    <w:rsid w:val="00FF758D"/>
    <w:rsid w:val="00FF79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195D5B3"/>
  <w15:docId w15:val="{6D07372E-595A-4945-B766-53286EFE5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garamond 12"/>
    <w:qFormat/>
    <w:rsid w:val="000D5F37"/>
    <w:pPr>
      <w:spacing w:after="0" w:line="340" w:lineRule="exact"/>
    </w:pPr>
    <w:rPr>
      <w:rFonts w:ascii="Garamond" w:hAnsi="Garamond"/>
      <w:sz w:val="24"/>
    </w:rPr>
  </w:style>
  <w:style w:type="paragraph" w:styleId="Heading1">
    <w:name w:val="heading 1"/>
    <w:basedOn w:val="Normal"/>
    <w:next w:val="Normal"/>
    <w:link w:val="Heading1Char"/>
    <w:uiPriority w:val="9"/>
    <w:qFormat/>
    <w:rsid w:val="00061826"/>
    <w:pPr>
      <w:keepNext/>
      <w:keepLines/>
      <w:spacing w:after="12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9C520E"/>
    <w:pPr>
      <w:keepNext/>
      <w:keepLines/>
      <w:spacing w:before="200"/>
      <w:outlineLvl w:val="1"/>
    </w:pPr>
    <w:rPr>
      <w:rFonts w:asciiTheme="majorHAnsi" w:eastAsiaTheme="majorEastAsia" w:hAnsiTheme="majorHAnsi" w:cstheme="majorBidi"/>
      <w:b/>
      <w:bCs/>
      <w:color w:val="833C0B" w:themeColor="accent2" w:themeShade="80"/>
      <w:sz w:val="26"/>
      <w:szCs w:val="26"/>
    </w:rPr>
  </w:style>
  <w:style w:type="paragraph" w:styleId="Heading3">
    <w:name w:val="heading 3"/>
    <w:basedOn w:val="Normal"/>
    <w:next w:val="Normal"/>
    <w:link w:val="Heading3Char"/>
    <w:uiPriority w:val="9"/>
    <w:unhideWhenUsed/>
    <w:qFormat/>
    <w:rsid w:val="000A0807"/>
    <w:pPr>
      <w:keepNext/>
      <w:keepLines/>
      <w:spacing w:before="120"/>
      <w:outlineLvl w:val="2"/>
    </w:pPr>
    <w:rPr>
      <w:rFonts w:asciiTheme="majorHAnsi" w:eastAsiaTheme="majorEastAsia" w:hAnsiTheme="majorHAnsi" w:cstheme="majorBidi"/>
      <w:b/>
      <w:bCs/>
      <w:color w:val="1F3864" w:themeColor="accent5" w:themeShade="80"/>
      <w:szCs w:val="24"/>
      <w:u w:val="single"/>
    </w:rPr>
  </w:style>
  <w:style w:type="paragraph" w:styleId="Heading4">
    <w:name w:val="heading 4"/>
    <w:basedOn w:val="Normal"/>
    <w:next w:val="Normal"/>
    <w:link w:val="Heading4Char"/>
    <w:uiPriority w:val="9"/>
    <w:unhideWhenUsed/>
    <w:qFormat/>
    <w:rsid w:val="00FE1C90"/>
    <w:pPr>
      <w:spacing w:before="120"/>
      <w:outlineLvl w:val="3"/>
    </w:pPr>
    <w:rPr>
      <w:rFonts w:asciiTheme="majorHAnsi" w:hAnsiTheme="majorHAnsi"/>
      <w:b/>
      <w:sz w:val="22"/>
      <w:szCs w:val="24"/>
    </w:rPr>
  </w:style>
  <w:style w:type="paragraph" w:styleId="Heading5">
    <w:name w:val="heading 5"/>
    <w:basedOn w:val="Normal"/>
    <w:next w:val="Normal"/>
    <w:link w:val="Heading5Char"/>
    <w:uiPriority w:val="9"/>
    <w:unhideWhenUsed/>
    <w:qFormat/>
    <w:rsid w:val="009C520E"/>
    <w:pPr>
      <w:keepNext/>
      <w:keepLines/>
      <w:spacing w:before="20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1826"/>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9C520E"/>
    <w:rPr>
      <w:rFonts w:asciiTheme="majorHAnsi" w:eastAsiaTheme="majorEastAsia" w:hAnsiTheme="majorHAnsi" w:cstheme="majorBidi"/>
      <w:b/>
      <w:bCs/>
      <w:color w:val="833C0B" w:themeColor="accent2" w:themeShade="80"/>
      <w:sz w:val="26"/>
      <w:szCs w:val="26"/>
    </w:rPr>
  </w:style>
  <w:style w:type="character" w:customStyle="1" w:styleId="Heading3Char">
    <w:name w:val="Heading 3 Char"/>
    <w:basedOn w:val="DefaultParagraphFont"/>
    <w:link w:val="Heading3"/>
    <w:uiPriority w:val="9"/>
    <w:rsid w:val="000A0807"/>
    <w:rPr>
      <w:rFonts w:asciiTheme="majorHAnsi" w:eastAsiaTheme="majorEastAsia" w:hAnsiTheme="majorHAnsi" w:cstheme="majorBidi"/>
      <w:b/>
      <w:bCs/>
      <w:color w:val="1F3864" w:themeColor="accent5" w:themeShade="80"/>
      <w:sz w:val="24"/>
      <w:szCs w:val="24"/>
      <w:u w:val="single"/>
    </w:rPr>
  </w:style>
  <w:style w:type="character" w:customStyle="1" w:styleId="Heading4Char">
    <w:name w:val="Heading 4 Char"/>
    <w:basedOn w:val="DefaultParagraphFont"/>
    <w:link w:val="Heading4"/>
    <w:uiPriority w:val="9"/>
    <w:rsid w:val="00FE1C90"/>
    <w:rPr>
      <w:rFonts w:asciiTheme="majorHAnsi" w:hAnsiTheme="majorHAnsi"/>
      <w:b/>
      <w:szCs w:val="24"/>
    </w:rPr>
  </w:style>
  <w:style w:type="character" w:customStyle="1" w:styleId="Heading5Char">
    <w:name w:val="Heading 5 Char"/>
    <w:basedOn w:val="DefaultParagraphFont"/>
    <w:link w:val="Heading5"/>
    <w:uiPriority w:val="9"/>
    <w:rsid w:val="009C520E"/>
    <w:rPr>
      <w:rFonts w:asciiTheme="majorHAnsi" w:eastAsiaTheme="majorEastAsia" w:hAnsiTheme="majorHAnsi" w:cstheme="majorBidi"/>
      <w:color w:val="1F4D78" w:themeColor="accent1" w:themeShade="7F"/>
      <w:sz w:val="24"/>
    </w:rPr>
  </w:style>
  <w:style w:type="paragraph" w:styleId="NoSpacing">
    <w:name w:val="No Spacing"/>
    <w:uiPriority w:val="1"/>
    <w:qFormat/>
    <w:rsid w:val="009C520E"/>
    <w:pPr>
      <w:spacing w:after="0" w:line="240" w:lineRule="auto"/>
    </w:pPr>
    <w:rPr>
      <w:rFonts w:ascii="Garamond" w:hAnsi="Garamond"/>
    </w:rPr>
  </w:style>
  <w:style w:type="paragraph" w:styleId="Header">
    <w:name w:val="header"/>
    <w:basedOn w:val="Normal"/>
    <w:link w:val="HeaderChar"/>
    <w:uiPriority w:val="99"/>
    <w:unhideWhenUsed/>
    <w:rsid w:val="009C520E"/>
    <w:pPr>
      <w:tabs>
        <w:tab w:val="center" w:pos="4680"/>
        <w:tab w:val="right" w:pos="9360"/>
      </w:tabs>
      <w:spacing w:line="240" w:lineRule="auto"/>
    </w:pPr>
  </w:style>
  <w:style w:type="character" w:customStyle="1" w:styleId="HeaderChar">
    <w:name w:val="Header Char"/>
    <w:basedOn w:val="DefaultParagraphFont"/>
    <w:link w:val="Header"/>
    <w:uiPriority w:val="99"/>
    <w:rsid w:val="009C520E"/>
    <w:rPr>
      <w:rFonts w:ascii="Garamond" w:hAnsi="Garamond"/>
      <w:sz w:val="24"/>
    </w:rPr>
  </w:style>
  <w:style w:type="paragraph" w:styleId="Footer">
    <w:name w:val="footer"/>
    <w:basedOn w:val="Normal"/>
    <w:link w:val="FooterChar"/>
    <w:uiPriority w:val="99"/>
    <w:unhideWhenUsed/>
    <w:rsid w:val="009C520E"/>
    <w:pPr>
      <w:tabs>
        <w:tab w:val="center" w:pos="4680"/>
        <w:tab w:val="right" w:pos="9360"/>
      </w:tabs>
      <w:spacing w:line="240" w:lineRule="auto"/>
    </w:pPr>
  </w:style>
  <w:style w:type="character" w:customStyle="1" w:styleId="FooterChar">
    <w:name w:val="Footer Char"/>
    <w:basedOn w:val="DefaultParagraphFont"/>
    <w:link w:val="Footer"/>
    <w:uiPriority w:val="99"/>
    <w:rsid w:val="009C520E"/>
    <w:rPr>
      <w:rFonts w:ascii="Garamond" w:hAnsi="Garamond"/>
      <w:sz w:val="24"/>
    </w:rPr>
  </w:style>
  <w:style w:type="table" w:styleId="TableGrid">
    <w:name w:val="Table Grid"/>
    <w:basedOn w:val="TableNormal"/>
    <w:uiPriority w:val="59"/>
    <w:rsid w:val="009C520E"/>
    <w:pPr>
      <w:spacing w:after="0" w:line="240" w:lineRule="auto"/>
    </w:pPr>
    <w:rPr>
      <w:rFonts w:ascii="Garamond" w:hAnsi="Garamon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noteText">
    <w:name w:val="footnote text"/>
    <w:basedOn w:val="Normal"/>
    <w:link w:val="FootnoteTextChar"/>
    <w:uiPriority w:val="99"/>
    <w:semiHidden/>
    <w:unhideWhenUsed/>
    <w:rsid w:val="009C520E"/>
    <w:pPr>
      <w:spacing w:line="240" w:lineRule="auto"/>
    </w:pPr>
    <w:rPr>
      <w:sz w:val="20"/>
      <w:szCs w:val="20"/>
    </w:rPr>
  </w:style>
  <w:style w:type="character" w:customStyle="1" w:styleId="FootnoteTextChar">
    <w:name w:val="Footnote Text Char"/>
    <w:basedOn w:val="DefaultParagraphFont"/>
    <w:link w:val="FootnoteText"/>
    <w:uiPriority w:val="99"/>
    <w:semiHidden/>
    <w:rsid w:val="009C520E"/>
    <w:rPr>
      <w:rFonts w:ascii="Garamond" w:hAnsi="Garamond"/>
      <w:sz w:val="20"/>
      <w:szCs w:val="20"/>
    </w:rPr>
  </w:style>
  <w:style w:type="character" w:styleId="FootnoteReference">
    <w:name w:val="footnote reference"/>
    <w:basedOn w:val="DefaultParagraphFont"/>
    <w:uiPriority w:val="99"/>
    <w:semiHidden/>
    <w:unhideWhenUsed/>
    <w:rsid w:val="009C520E"/>
    <w:rPr>
      <w:vertAlign w:val="superscript"/>
    </w:rPr>
  </w:style>
  <w:style w:type="character" w:styleId="Hyperlink">
    <w:name w:val="Hyperlink"/>
    <w:basedOn w:val="DefaultParagraphFont"/>
    <w:uiPriority w:val="99"/>
    <w:unhideWhenUsed/>
    <w:rsid w:val="009C520E"/>
    <w:rPr>
      <w:color w:val="0563C1" w:themeColor="hyperlink"/>
      <w:u w:val="single"/>
    </w:rPr>
  </w:style>
  <w:style w:type="paragraph" w:styleId="TOCHeading">
    <w:name w:val="TOC Heading"/>
    <w:basedOn w:val="Heading1"/>
    <w:next w:val="Normal"/>
    <w:uiPriority w:val="39"/>
    <w:unhideWhenUsed/>
    <w:qFormat/>
    <w:rsid w:val="009C520E"/>
    <w:pPr>
      <w:spacing w:line="276" w:lineRule="auto"/>
      <w:outlineLvl w:val="9"/>
    </w:pPr>
  </w:style>
  <w:style w:type="paragraph" w:styleId="TOC1">
    <w:name w:val="toc 1"/>
    <w:basedOn w:val="Normal"/>
    <w:next w:val="Normal"/>
    <w:autoRedefine/>
    <w:uiPriority w:val="39"/>
    <w:unhideWhenUsed/>
    <w:rsid w:val="009C520E"/>
    <w:pPr>
      <w:tabs>
        <w:tab w:val="right" w:leader="dot" w:pos="9350"/>
      </w:tabs>
    </w:pPr>
  </w:style>
  <w:style w:type="paragraph" w:styleId="TOC2">
    <w:name w:val="toc 2"/>
    <w:basedOn w:val="Normal"/>
    <w:next w:val="Normal"/>
    <w:autoRedefine/>
    <w:uiPriority w:val="39"/>
    <w:unhideWhenUsed/>
    <w:rsid w:val="009C520E"/>
    <w:pPr>
      <w:spacing w:after="100"/>
      <w:ind w:left="220"/>
    </w:pPr>
  </w:style>
  <w:style w:type="paragraph" w:styleId="TOC3">
    <w:name w:val="toc 3"/>
    <w:basedOn w:val="Normal"/>
    <w:next w:val="Normal"/>
    <w:autoRedefine/>
    <w:uiPriority w:val="39"/>
    <w:unhideWhenUsed/>
    <w:rsid w:val="009C520E"/>
    <w:pPr>
      <w:spacing w:after="100"/>
      <w:ind w:left="440"/>
    </w:pPr>
  </w:style>
  <w:style w:type="paragraph" w:styleId="BalloonText">
    <w:name w:val="Balloon Text"/>
    <w:basedOn w:val="Normal"/>
    <w:link w:val="BalloonTextChar"/>
    <w:uiPriority w:val="99"/>
    <w:semiHidden/>
    <w:unhideWhenUsed/>
    <w:rsid w:val="00312C78"/>
    <w:pPr>
      <w:spacing w:line="240" w:lineRule="auto"/>
    </w:pPr>
    <w:rPr>
      <w:rFonts w:ascii="Tahoma" w:hAnsi="Tahoma" w:cs="Tahoma"/>
      <w:sz w:val="22"/>
      <w:szCs w:val="16"/>
    </w:rPr>
  </w:style>
  <w:style w:type="character" w:customStyle="1" w:styleId="BalloonTextChar">
    <w:name w:val="Balloon Text Char"/>
    <w:basedOn w:val="DefaultParagraphFont"/>
    <w:link w:val="BalloonText"/>
    <w:uiPriority w:val="99"/>
    <w:semiHidden/>
    <w:rsid w:val="00312C78"/>
    <w:rPr>
      <w:rFonts w:ascii="Tahoma" w:hAnsi="Tahoma" w:cs="Tahoma"/>
      <w:szCs w:val="16"/>
    </w:rPr>
  </w:style>
  <w:style w:type="paragraph" w:styleId="ListParagraph">
    <w:name w:val="List Paragraph"/>
    <w:basedOn w:val="Normal"/>
    <w:uiPriority w:val="34"/>
    <w:qFormat/>
    <w:rsid w:val="009C520E"/>
    <w:pPr>
      <w:ind w:left="720"/>
      <w:contextualSpacing/>
    </w:pPr>
  </w:style>
  <w:style w:type="character" w:styleId="CommentReference">
    <w:name w:val="annotation reference"/>
    <w:basedOn w:val="DefaultParagraphFont"/>
    <w:uiPriority w:val="99"/>
    <w:unhideWhenUsed/>
    <w:rsid w:val="009C520E"/>
    <w:rPr>
      <w:sz w:val="16"/>
      <w:szCs w:val="16"/>
    </w:rPr>
  </w:style>
  <w:style w:type="paragraph" w:styleId="CommentText">
    <w:name w:val="annotation text"/>
    <w:basedOn w:val="Normal"/>
    <w:link w:val="CommentTextChar"/>
    <w:uiPriority w:val="99"/>
    <w:unhideWhenUsed/>
    <w:rsid w:val="009C520E"/>
    <w:pPr>
      <w:spacing w:line="240" w:lineRule="auto"/>
    </w:pPr>
    <w:rPr>
      <w:sz w:val="20"/>
      <w:szCs w:val="20"/>
    </w:rPr>
  </w:style>
  <w:style w:type="character" w:customStyle="1" w:styleId="CommentTextChar">
    <w:name w:val="Comment Text Char"/>
    <w:basedOn w:val="DefaultParagraphFont"/>
    <w:link w:val="CommentText"/>
    <w:uiPriority w:val="99"/>
    <w:rsid w:val="009C520E"/>
    <w:rPr>
      <w:rFonts w:ascii="Garamond" w:hAnsi="Garamond"/>
      <w:sz w:val="20"/>
      <w:szCs w:val="20"/>
    </w:rPr>
  </w:style>
  <w:style w:type="paragraph" w:styleId="CommentSubject">
    <w:name w:val="annotation subject"/>
    <w:basedOn w:val="CommentText"/>
    <w:next w:val="CommentText"/>
    <w:link w:val="CommentSubjectChar"/>
    <w:uiPriority w:val="99"/>
    <w:semiHidden/>
    <w:unhideWhenUsed/>
    <w:rsid w:val="009C520E"/>
    <w:rPr>
      <w:b/>
      <w:bCs/>
    </w:rPr>
  </w:style>
  <w:style w:type="character" w:customStyle="1" w:styleId="CommentSubjectChar">
    <w:name w:val="Comment Subject Char"/>
    <w:basedOn w:val="CommentTextChar"/>
    <w:link w:val="CommentSubject"/>
    <w:uiPriority w:val="99"/>
    <w:semiHidden/>
    <w:rsid w:val="009C520E"/>
    <w:rPr>
      <w:rFonts w:ascii="Garamond" w:hAnsi="Garamond"/>
      <w:b/>
      <w:bCs/>
      <w:sz w:val="20"/>
      <w:szCs w:val="20"/>
    </w:rPr>
  </w:style>
  <w:style w:type="paragraph" w:styleId="Revision">
    <w:name w:val="Revision"/>
    <w:hidden/>
    <w:uiPriority w:val="99"/>
    <w:semiHidden/>
    <w:rsid w:val="009C520E"/>
    <w:pPr>
      <w:spacing w:after="0" w:line="240" w:lineRule="auto"/>
    </w:pPr>
    <w:rPr>
      <w:rFonts w:ascii="Garamond" w:hAnsi="Garamond"/>
    </w:rPr>
  </w:style>
  <w:style w:type="paragraph" w:customStyle="1" w:styleId="header2fgm14">
    <w:name w:val="header 2 fgm 14"/>
    <w:basedOn w:val="Heading2"/>
    <w:link w:val="header2fgm14Char"/>
    <w:qFormat/>
    <w:rsid w:val="009C520E"/>
    <w:pPr>
      <w:keepLines w:val="0"/>
      <w:spacing w:before="240" w:after="60" w:line="240" w:lineRule="auto"/>
    </w:pPr>
    <w:rPr>
      <w:rFonts w:ascii="Franklin Gothic Medium" w:eastAsia="Times New Roman" w:hAnsi="Franklin Gothic Medium" w:cs="Arial"/>
      <w:b w:val="0"/>
      <w:iCs/>
      <w:color w:val="000080"/>
      <w:kern w:val="32"/>
      <w:sz w:val="28"/>
      <w:szCs w:val="28"/>
    </w:rPr>
  </w:style>
  <w:style w:type="character" w:customStyle="1" w:styleId="header2fgm14Char">
    <w:name w:val="header 2 fgm 14 Char"/>
    <w:basedOn w:val="Heading2Char"/>
    <w:link w:val="header2fgm14"/>
    <w:rsid w:val="009C520E"/>
    <w:rPr>
      <w:rFonts w:ascii="Franklin Gothic Medium" w:eastAsia="Times New Roman" w:hAnsi="Franklin Gothic Medium" w:cs="Arial"/>
      <w:b w:val="0"/>
      <w:bCs/>
      <w:iCs/>
      <w:color w:val="000080"/>
      <w:kern w:val="32"/>
      <w:sz w:val="28"/>
      <w:szCs w:val="28"/>
    </w:rPr>
  </w:style>
  <w:style w:type="paragraph" w:styleId="EndnoteText">
    <w:name w:val="endnote text"/>
    <w:basedOn w:val="Normal"/>
    <w:link w:val="EndnoteTextChar"/>
    <w:uiPriority w:val="99"/>
    <w:semiHidden/>
    <w:unhideWhenUsed/>
    <w:rsid w:val="009C520E"/>
    <w:pPr>
      <w:spacing w:line="240" w:lineRule="auto"/>
    </w:pPr>
    <w:rPr>
      <w:sz w:val="20"/>
      <w:szCs w:val="20"/>
    </w:rPr>
  </w:style>
  <w:style w:type="character" w:customStyle="1" w:styleId="EndnoteTextChar">
    <w:name w:val="Endnote Text Char"/>
    <w:basedOn w:val="DefaultParagraphFont"/>
    <w:link w:val="EndnoteText"/>
    <w:uiPriority w:val="99"/>
    <w:semiHidden/>
    <w:rsid w:val="009C520E"/>
    <w:rPr>
      <w:rFonts w:ascii="Garamond" w:hAnsi="Garamond"/>
      <w:sz w:val="20"/>
      <w:szCs w:val="20"/>
    </w:rPr>
  </w:style>
  <w:style w:type="character" w:styleId="EndnoteReference">
    <w:name w:val="endnote reference"/>
    <w:basedOn w:val="DefaultParagraphFont"/>
    <w:uiPriority w:val="99"/>
    <w:semiHidden/>
    <w:unhideWhenUsed/>
    <w:rsid w:val="009C520E"/>
    <w:rPr>
      <w:vertAlign w:val="superscript"/>
    </w:rPr>
  </w:style>
  <w:style w:type="paragraph" w:styleId="PlainText">
    <w:name w:val="Plain Text"/>
    <w:basedOn w:val="Normal"/>
    <w:link w:val="PlainTextChar"/>
    <w:uiPriority w:val="99"/>
    <w:unhideWhenUsed/>
    <w:rsid w:val="009C520E"/>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9C520E"/>
    <w:rPr>
      <w:rFonts w:ascii="Consolas" w:hAnsi="Consolas"/>
      <w:sz w:val="21"/>
      <w:szCs w:val="21"/>
    </w:rPr>
  </w:style>
  <w:style w:type="paragraph" w:customStyle="1" w:styleId="Default">
    <w:name w:val="Default"/>
    <w:rsid w:val="009C520E"/>
    <w:pPr>
      <w:autoSpaceDE w:val="0"/>
      <w:autoSpaceDN w:val="0"/>
      <w:adjustRightInd w:val="0"/>
      <w:spacing w:after="0" w:line="240" w:lineRule="auto"/>
    </w:pPr>
    <w:rPr>
      <w:rFonts w:ascii="Calibri" w:eastAsia="Calibri" w:hAnsi="Calibri" w:cs="Calibri"/>
      <w:color w:val="000000"/>
      <w:sz w:val="24"/>
      <w:szCs w:val="24"/>
    </w:rPr>
  </w:style>
  <w:style w:type="paragraph" w:styleId="NormalWeb">
    <w:name w:val="Normal (Web)"/>
    <w:basedOn w:val="Normal"/>
    <w:uiPriority w:val="99"/>
    <w:unhideWhenUsed/>
    <w:rsid w:val="009C520E"/>
    <w:pPr>
      <w:spacing w:before="100" w:beforeAutospacing="1" w:after="100" w:afterAutospacing="1" w:line="240" w:lineRule="auto"/>
    </w:pPr>
    <w:rPr>
      <w:rFonts w:ascii="Times New Roman" w:eastAsia="Times New Roman" w:hAnsi="Times New Roman" w:cs="Times New Roman"/>
      <w:szCs w:val="24"/>
    </w:rPr>
  </w:style>
  <w:style w:type="table" w:styleId="LightShading">
    <w:name w:val="Light Shading"/>
    <w:basedOn w:val="TableNormal"/>
    <w:uiPriority w:val="60"/>
    <w:rsid w:val="009C520E"/>
    <w:pPr>
      <w:spacing w:after="0" w:line="240" w:lineRule="auto"/>
    </w:pPr>
    <w:rPr>
      <w:rFonts w:ascii="Garamond" w:hAnsi="Garamond"/>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1-Accent2">
    <w:name w:val="Medium Grid 1 Accent 2"/>
    <w:basedOn w:val="TableNormal"/>
    <w:uiPriority w:val="67"/>
    <w:rsid w:val="009C520E"/>
    <w:pPr>
      <w:spacing w:after="0" w:line="240" w:lineRule="auto"/>
    </w:pPr>
    <w:rPr>
      <w:rFonts w:ascii="Garamond" w:hAnsi="Garamond"/>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LightShading-Accent4">
    <w:name w:val="Light Shading Accent 4"/>
    <w:basedOn w:val="TableNormal"/>
    <w:uiPriority w:val="60"/>
    <w:rsid w:val="009C520E"/>
    <w:pPr>
      <w:spacing w:after="0" w:line="240" w:lineRule="auto"/>
    </w:pPr>
    <w:rPr>
      <w:rFonts w:ascii="Garamond" w:hAnsi="Garamond"/>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1">
    <w:name w:val="Light Shading Accent 1"/>
    <w:basedOn w:val="TableNormal"/>
    <w:uiPriority w:val="60"/>
    <w:rsid w:val="009C520E"/>
    <w:pPr>
      <w:spacing w:after="0" w:line="240" w:lineRule="auto"/>
    </w:pPr>
    <w:rPr>
      <w:rFonts w:ascii="Garamond" w:hAnsi="Garamond"/>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List-Accent5">
    <w:name w:val="Light List Accent 5"/>
    <w:basedOn w:val="TableNormal"/>
    <w:uiPriority w:val="61"/>
    <w:rsid w:val="009C520E"/>
    <w:pPr>
      <w:spacing w:after="0" w:line="240" w:lineRule="auto"/>
    </w:pPr>
    <w:rPr>
      <w:rFonts w:ascii="Garamond" w:hAnsi="Garamond"/>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MediumShading1-Accent5">
    <w:name w:val="Medium Shading 1 Accent 5"/>
    <w:basedOn w:val="TableNormal"/>
    <w:uiPriority w:val="63"/>
    <w:rsid w:val="009C520E"/>
    <w:pPr>
      <w:spacing w:after="0" w:line="240" w:lineRule="auto"/>
    </w:pPr>
    <w:rPr>
      <w:rFonts w:ascii="Garamond" w:hAnsi="Garamond"/>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LightShading-Accent6">
    <w:name w:val="Light Shading Accent 6"/>
    <w:basedOn w:val="TableNormal"/>
    <w:uiPriority w:val="60"/>
    <w:rsid w:val="009C520E"/>
    <w:pPr>
      <w:spacing w:after="0" w:line="240" w:lineRule="auto"/>
    </w:pPr>
    <w:rPr>
      <w:rFonts w:ascii="Garamond" w:hAnsi="Garamond"/>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MediumShading1-Accent1">
    <w:name w:val="Medium Shading 1 Accent 1"/>
    <w:basedOn w:val="TableNormal"/>
    <w:uiPriority w:val="63"/>
    <w:rsid w:val="009C520E"/>
    <w:pPr>
      <w:spacing w:after="0" w:line="240" w:lineRule="auto"/>
    </w:pPr>
    <w:rPr>
      <w:rFonts w:ascii="Garamond" w:hAnsi="Garamond"/>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9C520E"/>
    <w:pPr>
      <w:spacing w:after="0" w:line="240" w:lineRule="auto"/>
    </w:pPr>
    <w:rPr>
      <w:rFonts w:ascii="Garamond" w:hAnsi="Garamond"/>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LightList-Accent2">
    <w:name w:val="Light List Accent 2"/>
    <w:basedOn w:val="TableNormal"/>
    <w:uiPriority w:val="61"/>
    <w:rsid w:val="009C520E"/>
    <w:pPr>
      <w:spacing w:after="0" w:line="240" w:lineRule="auto"/>
    </w:pPr>
    <w:rPr>
      <w:rFonts w:ascii="Garamond" w:hAnsi="Garamond"/>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MediumShading1-Accent2">
    <w:name w:val="Medium Shading 1 Accent 2"/>
    <w:basedOn w:val="TableNormal"/>
    <w:uiPriority w:val="63"/>
    <w:rsid w:val="009C520E"/>
    <w:pPr>
      <w:spacing w:after="0" w:line="240" w:lineRule="auto"/>
    </w:pPr>
    <w:rPr>
      <w:rFonts w:ascii="Garamond" w:hAnsi="Garamond"/>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LightList">
    <w:name w:val="Light List"/>
    <w:basedOn w:val="TableNormal"/>
    <w:uiPriority w:val="61"/>
    <w:rsid w:val="009C520E"/>
    <w:pPr>
      <w:spacing w:after="0" w:line="240" w:lineRule="auto"/>
    </w:pPr>
    <w:rPr>
      <w:rFonts w:ascii="Garamond" w:hAnsi="Garamond"/>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Caption">
    <w:name w:val="caption"/>
    <w:basedOn w:val="Normal"/>
    <w:next w:val="Normal"/>
    <w:uiPriority w:val="35"/>
    <w:unhideWhenUsed/>
    <w:qFormat/>
    <w:rsid w:val="009C520E"/>
    <w:pPr>
      <w:spacing w:after="200" w:line="240" w:lineRule="auto"/>
    </w:pPr>
    <w:rPr>
      <w:b/>
      <w:bCs/>
      <w:color w:val="5B9BD5" w:themeColor="accent1"/>
      <w:sz w:val="18"/>
      <w:szCs w:val="18"/>
    </w:rPr>
  </w:style>
  <w:style w:type="table" w:styleId="MediumShading1">
    <w:name w:val="Medium Shading 1"/>
    <w:basedOn w:val="TableNormal"/>
    <w:uiPriority w:val="63"/>
    <w:rsid w:val="009C520E"/>
    <w:pPr>
      <w:spacing w:after="0" w:line="240" w:lineRule="auto"/>
    </w:pPr>
    <w:rPr>
      <w:rFonts w:ascii="Garamond" w:hAnsi="Garamond"/>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9C520E"/>
    <w:pPr>
      <w:spacing w:after="0" w:line="240" w:lineRule="auto"/>
    </w:pPr>
    <w:rPr>
      <w:rFonts w:ascii="Garamond" w:hAnsi="Garamond"/>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Style1">
    <w:name w:val="Style1"/>
    <w:basedOn w:val="TableGrid3"/>
    <w:uiPriority w:val="99"/>
    <w:rsid w:val="009C520E"/>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ediumShading1-Accent3">
    <w:name w:val="Medium Shading 1 Accent 3"/>
    <w:basedOn w:val="TableNormal"/>
    <w:uiPriority w:val="63"/>
    <w:rsid w:val="009C520E"/>
    <w:pPr>
      <w:spacing w:after="0" w:line="240" w:lineRule="auto"/>
    </w:pPr>
    <w:rPr>
      <w:rFonts w:ascii="Garamond" w:hAnsi="Garamond"/>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TableGrid3">
    <w:name w:val="Table Grid 3"/>
    <w:basedOn w:val="TableNormal"/>
    <w:uiPriority w:val="99"/>
    <w:semiHidden/>
    <w:unhideWhenUsed/>
    <w:rsid w:val="009C520E"/>
    <w:pPr>
      <w:spacing w:after="0" w:line="340" w:lineRule="exact"/>
    </w:pPr>
    <w:rPr>
      <w:rFonts w:ascii="Garamond" w:hAnsi="Garamond"/>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ghtList-Accent1">
    <w:name w:val="Light List Accent 1"/>
    <w:basedOn w:val="TableNormal"/>
    <w:uiPriority w:val="61"/>
    <w:rsid w:val="009C520E"/>
    <w:pPr>
      <w:spacing w:after="0" w:line="240" w:lineRule="auto"/>
    </w:pPr>
    <w:rPr>
      <w:rFonts w:ascii="Garamond" w:hAnsi="Garamond"/>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4">
    <w:name w:val="Light List Accent 4"/>
    <w:basedOn w:val="TableNormal"/>
    <w:uiPriority w:val="61"/>
    <w:rsid w:val="009C520E"/>
    <w:pPr>
      <w:spacing w:after="0" w:line="240" w:lineRule="auto"/>
    </w:pPr>
    <w:rPr>
      <w:rFonts w:ascii="Garamond" w:hAnsi="Garamond"/>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styleId="Strong">
    <w:name w:val="Strong"/>
    <w:basedOn w:val="DefaultParagraphFont"/>
    <w:uiPriority w:val="22"/>
    <w:qFormat/>
    <w:rsid w:val="009C520E"/>
    <w:rPr>
      <w:b/>
      <w:bCs/>
    </w:rPr>
  </w:style>
  <w:style w:type="paragraph" w:customStyle="1" w:styleId="style16">
    <w:name w:val="style16"/>
    <w:basedOn w:val="Normal"/>
    <w:rsid w:val="009C520E"/>
    <w:pPr>
      <w:spacing w:before="100" w:beforeAutospacing="1" w:after="100" w:afterAutospacing="1" w:line="240" w:lineRule="auto"/>
    </w:pPr>
    <w:rPr>
      <w:rFonts w:ascii="Times New Roman" w:eastAsiaTheme="minorEastAsia" w:hAnsi="Times New Roman" w:cs="Times New Roman"/>
      <w:szCs w:val="24"/>
    </w:rPr>
  </w:style>
  <w:style w:type="character" w:styleId="SubtleEmphasis">
    <w:name w:val="Subtle Emphasis"/>
    <w:basedOn w:val="DefaultParagraphFont"/>
    <w:uiPriority w:val="19"/>
    <w:qFormat/>
    <w:rsid w:val="009C520E"/>
    <w:rPr>
      <w:i/>
      <w:iCs/>
      <w:color w:val="808080" w:themeColor="text1" w:themeTint="7F"/>
    </w:rPr>
  </w:style>
  <w:style w:type="table" w:styleId="MediumShading2-Accent1">
    <w:name w:val="Medium Shading 2 Accent 1"/>
    <w:basedOn w:val="TableNormal"/>
    <w:uiPriority w:val="64"/>
    <w:rsid w:val="009C520E"/>
    <w:pPr>
      <w:spacing w:after="0" w:line="240" w:lineRule="auto"/>
    </w:pPr>
    <w:rPr>
      <w:rFonts w:ascii="Garamond" w:hAnsi="Garamond"/>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Accent1">
    <w:name w:val="Colorful List Accent 1"/>
    <w:basedOn w:val="TableNormal"/>
    <w:uiPriority w:val="72"/>
    <w:rsid w:val="009C520E"/>
    <w:pPr>
      <w:spacing w:after="0" w:line="240" w:lineRule="auto"/>
    </w:pPr>
    <w:rPr>
      <w:rFonts w:ascii="Garamond" w:hAnsi="Garamond"/>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Shading-Accent5">
    <w:name w:val="Colorful Shading Accent 5"/>
    <w:basedOn w:val="TableNormal"/>
    <w:uiPriority w:val="71"/>
    <w:rsid w:val="009C520E"/>
    <w:pPr>
      <w:spacing w:after="0" w:line="240" w:lineRule="auto"/>
    </w:pPr>
    <w:rPr>
      <w:rFonts w:ascii="Garamond" w:hAnsi="Garamond"/>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customStyle="1" w:styleId="GridTable4-Accent11">
    <w:name w:val="Grid Table 4 - Accent 11"/>
    <w:basedOn w:val="TableNormal"/>
    <w:uiPriority w:val="49"/>
    <w:rsid w:val="009C520E"/>
    <w:pPr>
      <w:spacing w:after="0" w:line="240" w:lineRule="auto"/>
    </w:pPr>
    <w:rPr>
      <w:rFonts w:ascii="Garamond" w:hAnsi="Garamond"/>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9C520E"/>
    <w:pPr>
      <w:spacing w:after="0" w:line="240" w:lineRule="auto"/>
    </w:pPr>
    <w:rPr>
      <w:rFonts w:ascii="Garamond" w:hAnsi="Garamond"/>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CharacterStyle5">
    <w:name w:val="Character Style 5"/>
    <w:rsid w:val="0078149F"/>
    <w:rPr>
      <w:sz w:val="24"/>
      <w:szCs w:val="24"/>
    </w:rPr>
  </w:style>
  <w:style w:type="table" w:customStyle="1" w:styleId="LightList1">
    <w:name w:val="Light List1"/>
    <w:basedOn w:val="TableNormal"/>
    <w:next w:val="LightList"/>
    <w:uiPriority w:val="61"/>
    <w:rsid w:val="0063140F"/>
    <w:pPr>
      <w:spacing w:after="0" w:line="240" w:lineRule="auto"/>
    </w:pPr>
    <w:rPr>
      <w:rFonts w:ascii="Garamond" w:hAnsi="Garamond"/>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FC33B6"/>
    <w:rPr>
      <w:color w:val="954F72" w:themeColor="followedHyperlink"/>
      <w:u w:val="single"/>
    </w:rPr>
  </w:style>
  <w:style w:type="paragraph" w:styleId="Title">
    <w:name w:val="Title"/>
    <w:basedOn w:val="Normal"/>
    <w:next w:val="Normal"/>
    <w:link w:val="TitleChar"/>
    <w:uiPriority w:val="10"/>
    <w:qFormat/>
    <w:rsid w:val="00104428"/>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4428"/>
    <w:rPr>
      <w:rFonts w:asciiTheme="majorHAnsi" w:eastAsiaTheme="majorEastAsia" w:hAnsiTheme="majorHAnsi" w:cstheme="majorBidi"/>
      <w:spacing w:val="-10"/>
      <w:kern w:val="28"/>
      <w:sz w:val="56"/>
      <w:szCs w:val="56"/>
    </w:rPr>
  </w:style>
  <w:style w:type="paragraph" w:styleId="ListBullet">
    <w:name w:val="List Bullet"/>
    <w:basedOn w:val="Normal"/>
    <w:uiPriority w:val="99"/>
    <w:unhideWhenUsed/>
    <w:rsid w:val="006A6EF0"/>
    <w:pPr>
      <w:numPr>
        <w:numId w:val="13"/>
      </w:numPr>
      <w:contextualSpacing/>
    </w:pPr>
  </w:style>
  <w:style w:type="table" w:styleId="ListTable2-Accent1">
    <w:name w:val="List Table 2 Accent 1"/>
    <w:basedOn w:val="TableNormal"/>
    <w:uiPriority w:val="47"/>
    <w:rsid w:val="00E066B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PlainTable1">
    <w:name w:val="Plain Table 1"/>
    <w:basedOn w:val="TableNormal"/>
    <w:uiPriority w:val="41"/>
    <w:rsid w:val="00D35D5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
    <w:name w:val="Grid Table 2"/>
    <w:basedOn w:val="TableNormal"/>
    <w:uiPriority w:val="47"/>
    <w:rsid w:val="0053124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rsid w:val="0038362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12603D"/>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fontstyle01">
    <w:name w:val="fontstyle01"/>
    <w:basedOn w:val="DefaultParagraphFont"/>
    <w:rsid w:val="007A4D5E"/>
    <w:rPr>
      <w:rFonts w:ascii="Arial-ItalicMT" w:hAnsi="Arial-ItalicMT" w:hint="default"/>
      <w:b w:val="0"/>
      <w:bCs w:val="0"/>
      <w:i/>
      <w:iCs/>
      <w:color w:val="000000"/>
      <w:sz w:val="24"/>
      <w:szCs w:val="24"/>
    </w:rPr>
  </w:style>
  <w:style w:type="character" w:customStyle="1" w:styleId="fontstyle21">
    <w:name w:val="fontstyle21"/>
    <w:basedOn w:val="DefaultParagraphFont"/>
    <w:rsid w:val="00F05A19"/>
    <w:rPr>
      <w:rFonts w:ascii="Arial-ItalicMT" w:hAnsi="Arial-ItalicMT" w:hint="default"/>
      <w:b w:val="0"/>
      <w:bCs w:val="0"/>
      <w:i/>
      <w:iCs/>
      <w:color w:val="000000"/>
      <w:sz w:val="24"/>
      <w:szCs w:val="24"/>
    </w:rPr>
  </w:style>
  <w:style w:type="table" w:customStyle="1" w:styleId="TableGrid1">
    <w:name w:val="Table Grid1"/>
    <w:basedOn w:val="TableNormal"/>
    <w:next w:val="TableGrid"/>
    <w:uiPriority w:val="59"/>
    <w:rsid w:val="00C8363F"/>
    <w:pPr>
      <w:spacing w:after="0" w:line="240" w:lineRule="auto"/>
    </w:pPr>
    <w:rPr>
      <w:rFonts w:ascii="Garamond" w:hAnsi="Garamon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9888">
      <w:bodyDiv w:val="1"/>
      <w:marLeft w:val="0"/>
      <w:marRight w:val="0"/>
      <w:marTop w:val="0"/>
      <w:marBottom w:val="0"/>
      <w:divBdr>
        <w:top w:val="none" w:sz="0" w:space="0" w:color="auto"/>
        <w:left w:val="none" w:sz="0" w:space="0" w:color="auto"/>
        <w:bottom w:val="none" w:sz="0" w:space="0" w:color="auto"/>
        <w:right w:val="none" w:sz="0" w:space="0" w:color="auto"/>
      </w:divBdr>
    </w:div>
    <w:div w:id="19360603">
      <w:bodyDiv w:val="1"/>
      <w:marLeft w:val="0"/>
      <w:marRight w:val="0"/>
      <w:marTop w:val="0"/>
      <w:marBottom w:val="0"/>
      <w:divBdr>
        <w:top w:val="none" w:sz="0" w:space="0" w:color="auto"/>
        <w:left w:val="none" w:sz="0" w:space="0" w:color="auto"/>
        <w:bottom w:val="none" w:sz="0" w:space="0" w:color="auto"/>
        <w:right w:val="none" w:sz="0" w:space="0" w:color="auto"/>
      </w:divBdr>
    </w:div>
    <w:div w:id="22440308">
      <w:bodyDiv w:val="1"/>
      <w:marLeft w:val="0"/>
      <w:marRight w:val="0"/>
      <w:marTop w:val="0"/>
      <w:marBottom w:val="0"/>
      <w:divBdr>
        <w:top w:val="none" w:sz="0" w:space="0" w:color="auto"/>
        <w:left w:val="none" w:sz="0" w:space="0" w:color="auto"/>
        <w:bottom w:val="none" w:sz="0" w:space="0" w:color="auto"/>
        <w:right w:val="none" w:sz="0" w:space="0" w:color="auto"/>
      </w:divBdr>
    </w:div>
    <w:div w:id="26411938">
      <w:bodyDiv w:val="1"/>
      <w:marLeft w:val="0"/>
      <w:marRight w:val="0"/>
      <w:marTop w:val="0"/>
      <w:marBottom w:val="0"/>
      <w:divBdr>
        <w:top w:val="none" w:sz="0" w:space="0" w:color="auto"/>
        <w:left w:val="none" w:sz="0" w:space="0" w:color="auto"/>
        <w:bottom w:val="none" w:sz="0" w:space="0" w:color="auto"/>
        <w:right w:val="none" w:sz="0" w:space="0" w:color="auto"/>
      </w:divBdr>
    </w:div>
    <w:div w:id="47384061">
      <w:bodyDiv w:val="1"/>
      <w:marLeft w:val="0"/>
      <w:marRight w:val="0"/>
      <w:marTop w:val="0"/>
      <w:marBottom w:val="0"/>
      <w:divBdr>
        <w:top w:val="none" w:sz="0" w:space="0" w:color="auto"/>
        <w:left w:val="none" w:sz="0" w:space="0" w:color="auto"/>
        <w:bottom w:val="none" w:sz="0" w:space="0" w:color="auto"/>
        <w:right w:val="none" w:sz="0" w:space="0" w:color="auto"/>
      </w:divBdr>
    </w:div>
    <w:div w:id="54594121">
      <w:bodyDiv w:val="1"/>
      <w:marLeft w:val="0"/>
      <w:marRight w:val="0"/>
      <w:marTop w:val="0"/>
      <w:marBottom w:val="0"/>
      <w:divBdr>
        <w:top w:val="none" w:sz="0" w:space="0" w:color="auto"/>
        <w:left w:val="none" w:sz="0" w:space="0" w:color="auto"/>
        <w:bottom w:val="none" w:sz="0" w:space="0" w:color="auto"/>
        <w:right w:val="none" w:sz="0" w:space="0" w:color="auto"/>
      </w:divBdr>
    </w:div>
    <w:div w:id="55512714">
      <w:marLeft w:val="0"/>
      <w:marRight w:val="0"/>
      <w:marTop w:val="0"/>
      <w:marBottom w:val="0"/>
      <w:divBdr>
        <w:top w:val="none" w:sz="0" w:space="0" w:color="auto"/>
        <w:left w:val="none" w:sz="0" w:space="0" w:color="auto"/>
        <w:bottom w:val="none" w:sz="0" w:space="0" w:color="auto"/>
        <w:right w:val="none" w:sz="0" w:space="0" w:color="auto"/>
      </w:divBdr>
    </w:div>
    <w:div w:id="59986465">
      <w:bodyDiv w:val="1"/>
      <w:marLeft w:val="0"/>
      <w:marRight w:val="0"/>
      <w:marTop w:val="0"/>
      <w:marBottom w:val="0"/>
      <w:divBdr>
        <w:top w:val="none" w:sz="0" w:space="0" w:color="auto"/>
        <w:left w:val="none" w:sz="0" w:space="0" w:color="auto"/>
        <w:bottom w:val="none" w:sz="0" w:space="0" w:color="auto"/>
        <w:right w:val="none" w:sz="0" w:space="0" w:color="auto"/>
      </w:divBdr>
      <w:divsChild>
        <w:div w:id="955143374">
          <w:marLeft w:val="0"/>
          <w:marRight w:val="0"/>
          <w:marTop w:val="0"/>
          <w:marBottom w:val="0"/>
          <w:divBdr>
            <w:top w:val="none" w:sz="0" w:space="0" w:color="auto"/>
            <w:left w:val="none" w:sz="0" w:space="0" w:color="auto"/>
            <w:bottom w:val="none" w:sz="0" w:space="0" w:color="auto"/>
            <w:right w:val="none" w:sz="0" w:space="0" w:color="auto"/>
          </w:divBdr>
        </w:div>
      </w:divsChild>
    </w:div>
    <w:div w:id="77797390">
      <w:bodyDiv w:val="1"/>
      <w:marLeft w:val="0"/>
      <w:marRight w:val="0"/>
      <w:marTop w:val="0"/>
      <w:marBottom w:val="0"/>
      <w:divBdr>
        <w:top w:val="none" w:sz="0" w:space="0" w:color="auto"/>
        <w:left w:val="none" w:sz="0" w:space="0" w:color="auto"/>
        <w:bottom w:val="none" w:sz="0" w:space="0" w:color="auto"/>
        <w:right w:val="none" w:sz="0" w:space="0" w:color="auto"/>
      </w:divBdr>
    </w:div>
    <w:div w:id="104932807">
      <w:bodyDiv w:val="1"/>
      <w:marLeft w:val="0"/>
      <w:marRight w:val="0"/>
      <w:marTop w:val="0"/>
      <w:marBottom w:val="0"/>
      <w:divBdr>
        <w:top w:val="none" w:sz="0" w:space="0" w:color="auto"/>
        <w:left w:val="none" w:sz="0" w:space="0" w:color="auto"/>
        <w:bottom w:val="none" w:sz="0" w:space="0" w:color="auto"/>
        <w:right w:val="none" w:sz="0" w:space="0" w:color="auto"/>
      </w:divBdr>
    </w:div>
    <w:div w:id="119886570">
      <w:marLeft w:val="0"/>
      <w:marRight w:val="0"/>
      <w:marTop w:val="0"/>
      <w:marBottom w:val="0"/>
      <w:divBdr>
        <w:top w:val="none" w:sz="0" w:space="0" w:color="auto"/>
        <w:left w:val="none" w:sz="0" w:space="0" w:color="auto"/>
        <w:bottom w:val="none" w:sz="0" w:space="0" w:color="auto"/>
        <w:right w:val="none" w:sz="0" w:space="0" w:color="auto"/>
      </w:divBdr>
    </w:div>
    <w:div w:id="138963861">
      <w:bodyDiv w:val="1"/>
      <w:marLeft w:val="0"/>
      <w:marRight w:val="0"/>
      <w:marTop w:val="0"/>
      <w:marBottom w:val="0"/>
      <w:divBdr>
        <w:top w:val="none" w:sz="0" w:space="0" w:color="auto"/>
        <w:left w:val="none" w:sz="0" w:space="0" w:color="auto"/>
        <w:bottom w:val="none" w:sz="0" w:space="0" w:color="auto"/>
        <w:right w:val="none" w:sz="0" w:space="0" w:color="auto"/>
      </w:divBdr>
    </w:div>
    <w:div w:id="148983393">
      <w:bodyDiv w:val="1"/>
      <w:marLeft w:val="0"/>
      <w:marRight w:val="0"/>
      <w:marTop w:val="0"/>
      <w:marBottom w:val="0"/>
      <w:divBdr>
        <w:top w:val="none" w:sz="0" w:space="0" w:color="auto"/>
        <w:left w:val="none" w:sz="0" w:space="0" w:color="auto"/>
        <w:bottom w:val="none" w:sz="0" w:space="0" w:color="auto"/>
        <w:right w:val="none" w:sz="0" w:space="0" w:color="auto"/>
      </w:divBdr>
    </w:div>
    <w:div w:id="177159762">
      <w:marLeft w:val="0"/>
      <w:marRight w:val="0"/>
      <w:marTop w:val="0"/>
      <w:marBottom w:val="0"/>
      <w:divBdr>
        <w:top w:val="none" w:sz="0" w:space="0" w:color="auto"/>
        <w:left w:val="none" w:sz="0" w:space="0" w:color="auto"/>
        <w:bottom w:val="none" w:sz="0" w:space="0" w:color="auto"/>
        <w:right w:val="none" w:sz="0" w:space="0" w:color="auto"/>
      </w:divBdr>
    </w:div>
    <w:div w:id="184366675">
      <w:bodyDiv w:val="1"/>
      <w:marLeft w:val="0"/>
      <w:marRight w:val="0"/>
      <w:marTop w:val="0"/>
      <w:marBottom w:val="0"/>
      <w:divBdr>
        <w:top w:val="none" w:sz="0" w:space="0" w:color="auto"/>
        <w:left w:val="none" w:sz="0" w:space="0" w:color="auto"/>
        <w:bottom w:val="none" w:sz="0" w:space="0" w:color="auto"/>
        <w:right w:val="none" w:sz="0" w:space="0" w:color="auto"/>
      </w:divBdr>
    </w:div>
    <w:div w:id="185949923">
      <w:bodyDiv w:val="1"/>
      <w:marLeft w:val="0"/>
      <w:marRight w:val="0"/>
      <w:marTop w:val="0"/>
      <w:marBottom w:val="0"/>
      <w:divBdr>
        <w:top w:val="none" w:sz="0" w:space="0" w:color="auto"/>
        <w:left w:val="none" w:sz="0" w:space="0" w:color="auto"/>
        <w:bottom w:val="none" w:sz="0" w:space="0" w:color="auto"/>
        <w:right w:val="none" w:sz="0" w:space="0" w:color="auto"/>
      </w:divBdr>
    </w:div>
    <w:div w:id="195390290">
      <w:bodyDiv w:val="1"/>
      <w:marLeft w:val="0"/>
      <w:marRight w:val="0"/>
      <w:marTop w:val="0"/>
      <w:marBottom w:val="0"/>
      <w:divBdr>
        <w:top w:val="none" w:sz="0" w:space="0" w:color="auto"/>
        <w:left w:val="none" w:sz="0" w:space="0" w:color="auto"/>
        <w:bottom w:val="none" w:sz="0" w:space="0" w:color="auto"/>
        <w:right w:val="none" w:sz="0" w:space="0" w:color="auto"/>
      </w:divBdr>
    </w:div>
    <w:div w:id="224030405">
      <w:marLeft w:val="0"/>
      <w:marRight w:val="0"/>
      <w:marTop w:val="0"/>
      <w:marBottom w:val="0"/>
      <w:divBdr>
        <w:top w:val="none" w:sz="0" w:space="0" w:color="auto"/>
        <w:left w:val="none" w:sz="0" w:space="0" w:color="auto"/>
        <w:bottom w:val="none" w:sz="0" w:space="0" w:color="auto"/>
        <w:right w:val="none" w:sz="0" w:space="0" w:color="auto"/>
      </w:divBdr>
    </w:div>
    <w:div w:id="229316335">
      <w:bodyDiv w:val="1"/>
      <w:marLeft w:val="0"/>
      <w:marRight w:val="0"/>
      <w:marTop w:val="0"/>
      <w:marBottom w:val="0"/>
      <w:divBdr>
        <w:top w:val="none" w:sz="0" w:space="0" w:color="auto"/>
        <w:left w:val="none" w:sz="0" w:space="0" w:color="auto"/>
        <w:bottom w:val="none" w:sz="0" w:space="0" w:color="auto"/>
        <w:right w:val="none" w:sz="0" w:space="0" w:color="auto"/>
      </w:divBdr>
    </w:div>
    <w:div w:id="232593456">
      <w:bodyDiv w:val="1"/>
      <w:marLeft w:val="0"/>
      <w:marRight w:val="0"/>
      <w:marTop w:val="0"/>
      <w:marBottom w:val="0"/>
      <w:divBdr>
        <w:top w:val="none" w:sz="0" w:space="0" w:color="auto"/>
        <w:left w:val="none" w:sz="0" w:space="0" w:color="auto"/>
        <w:bottom w:val="none" w:sz="0" w:space="0" w:color="auto"/>
        <w:right w:val="none" w:sz="0" w:space="0" w:color="auto"/>
      </w:divBdr>
    </w:div>
    <w:div w:id="250698568">
      <w:bodyDiv w:val="1"/>
      <w:marLeft w:val="0"/>
      <w:marRight w:val="0"/>
      <w:marTop w:val="0"/>
      <w:marBottom w:val="0"/>
      <w:divBdr>
        <w:top w:val="none" w:sz="0" w:space="0" w:color="auto"/>
        <w:left w:val="none" w:sz="0" w:space="0" w:color="auto"/>
        <w:bottom w:val="none" w:sz="0" w:space="0" w:color="auto"/>
        <w:right w:val="none" w:sz="0" w:space="0" w:color="auto"/>
      </w:divBdr>
    </w:div>
    <w:div w:id="259917847">
      <w:marLeft w:val="0"/>
      <w:marRight w:val="0"/>
      <w:marTop w:val="0"/>
      <w:marBottom w:val="0"/>
      <w:divBdr>
        <w:top w:val="none" w:sz="0" w:space="0" w:color="auto"/>
        <w:left w:val="none" w:sz="0" w:space="0" w:color="auto"/>
        <w:bottom w:val="none" w:sz="0" w:space="0" w:color="auto"/>
        <w:right w:val="none" w:sz="0" w:space="0" w:color="auto"/>
      </w:divBdr>
    </w:div>
    <w:div w:id="293026703">
      <w:bodyDiv w:val="1"/>
      <w:marLeft w:val="0"/>
      <w:marRight w:val="0"/>
      <w:marTop w:val="0"/>
      <w:marBottom w:val="0"/>
      <w:divBdr>
        <w:top w:val="none" w:sz="0" w:space="0" w:color="auto"/>
        <w:left w:val="none" w:sz="0" w:space="0" w:color="auto"/>
        <w:bottom w:val="none" w:sz="0" w:space="0" w:color="auto"/>
        <w:right w:val="none" w:sz="0" w:space="0" w:color="auto"/>
      </w:divBdr>
    </w:div>
    <w:div w:id="308361171">
      <w:bodyDiv w:val="1"/>
      <w:marLeft w:val="0"/>
      <w:marRight w:val="0"/>
      <w:marTop w:val="0"/>
      <w:marBottom w:val="0"/>
      <w:divBdr>
        <w:top w:val="none" w:sz="0" w:space="0" w:color="auto"/>
        <w:left w:val="none" w:sz="0" w:space="0" w:color="auto"/>
        <w:bottom w:val="none" w:sz="0" w:space="0" w:color="auto"/>
        <w:right w:val="none" w:sz="0" w:space="0" w:color="auto"/>
      </w:divBdr>
    </w:div>
    <w:div w:id="312566933">
      <w:bodyDiv w:val="1"/>
      <w:marLeft w:val="0"/>
      <w:marRight w:val="0"/>
      <w:marTop w:val="0"/>
      <w:marBottom w:val="0"/>
      <w:divBdr>
        <w:top w:val="none" w:sz="0" w:space="0" w:color="auto"/>
        <w:left w:val="none" w:sz="0" w:space="0" w:color="auto"/>
        <w:bottom w:val="none" w:sz="0" w:space="0" w:color="auto"/>
        <w:right w:val="none" w:sz="0" w:space="0" w:color="auto"/>
      </w:divBdr>
    </w:div>
    <w:div w:id="318534603">
      <w:bodyDiv w:val="1"/>
      <w:marLeft w:val="0"/>
      <w:marRight w:val="0"/>
      <w:marTop w:val="0"/>
      <w:marBottom w:val="0"/>
      <w:divBdr>
        <w:top w:val="none" w:sz="0" w:space="0" w:color="auto"/>
        <w:left w:val="none" w:sz="0" w:space="0" w:color="auto"/>
        <w:bottom w:val="none" w:sz="0" w:space="0" w:color="auto"/>
        <w:right w:val="none" w:sz="0" w:space="0" w:color="auto"/>
      </w:divBdr>
    </w:div>
    <w:div w:id="340739698">
      <w:marLeft w:val="0"/>
      <w:marRight w:val="0"/>
      <w:marTop w:val="0"/>
      <w:marBottom w:val="0"/>
      <w:divBdr>
        <w:top w:val="none" w:sz="0" w:space="0" w:color="auto"/>
        <w:left w:val="none" w:sz="0" w:space="0" w:color="auto"/>
        <w:bottom w:val="none" w:sz="0" w:space="0" w:color="auto"/>
        <w:right w:val="none" w:sz="0" w:space="0" w:color="auto"/>
      </w:divBdr>
    </w:div>
    <w:div w:id="389504466">
      <w:bodyDiv w:val="1"/>
      <w:marLeft w:val="0"/>
      <w:marRight w:val="0"/>
      <w:marTop w:val="0"/>
      <w:marBottom w:val="0"/>
      <w:divBdr>
        <w:top w:val="none" w:sz="0" w:space="0" w:color="auto"/>
        <w:left w:val="none" w:sz="0" w:space="0" w:color="auto"/>
        <w:bottom w:val="none" w:sz="0" w:space="0" w:color="auto"/>
        <w:right w:val="none" w:sz="0" w:space="0" w:color="auto"/>
      </w:divBdr>
    </w:div>
    <w:div w:id="417601069">
      <w:bodyDiv w:val="1"/>
      <w:marLeft w:val="0"/>
      <w:marRight w:val="0"/>
      <w:marTop w:val="0"/>
      <w:marBottom w:val="0"/>
      <w:divBdr>
        <w:top w:val="none" w:sz="0" w:space="0" w:color="auto"/>
        <w:left w:val="none" w:sz="0" w:space="0" w:color="auto"/>
        <w:bottom w:val="none" w:sz="0" w:space="0" w:color="auto"/>
        <w:right w:val="none" w:sz="0" w:space="0" w:color="auto"/>
      </w:divBdr>
    </w:div>
    <w:div w:id="426853901">
      <w:bodyDiv w:val="1"/>
      <w:marLeft w:val="0"/>
      <w:marRight w:val="0"/>
      <w:marTop w:val="0"/>
      <w:marBottom w:val="0"/>
      <w:divBdr>
        <w:top w:val="none" w:sz="0" w:space="0" w:color="auto"/>
        <w:left w:val="none" w:sz="0" w:space="0" w:color="auto"/>
        <w:bottom w:val="none" w:sz="0" w:space="0" w:color="auto"/>
        <w:right w:val="none" w:sz="0" w:space="0" w:color="auto"/>
      </w:divBdr>
    </w:div>
    <w:div w:id="429013428">
      <w:bodyDiv w:val="1"/>
      <w:marLeft w:val="0"/>
      <w:marRight w:val="0"/>
      <w:marTop w:val="0"/>
      <w:marBottom w:val="0"/>
      <w:divBdr>
        <w:top w:val="none" w:sz="0" w:space="0" w:color="auto"/>
        <w:left w:val="none" w:sz="0" w:space="0" w:color="auto"/>
        <w:bottom w:val="none" w:sz="0" w:space="0" w:color="auto"/>
        <w:right w:val="none" w:sz="0" w:space="0" w:color="auto"/>
      </w:divBdr>
    </w:div>
    <w:div w:id="436603055">
      <w:bodyDiv w:val="1"/>
      <w:marLeft w:val="0"/>
      <w:marRight w:val="0"/>
      <w:marTop w:val="0"/>
      <w:marBottom w:val="0"/>
      <w:divBdr>
        <w:top w:val="none" w:sz="0" w:space="0" w:color="auto"/>
        <w:left w:val="none" w:sz="0" w:space="0" w:color="auto"/>
        <w:bottom w:val="none" w:sz="0" w:space="0" w:color="auto"/>
        <w:right w:val="none" w:sz="0" w:space="0" w:color="auto"/>
      </w:divBdr>
    </w:div>
    <w:div w:id="445200804">
      <w:bodyDiv w:val="1"/>
      <w:marLeft w:val="0"/>
      <w:marRight w:val="0"/>
      <w:marTop w:val="0"/>
      <w:marBottom w:val="0"/>
      <w:divBdr>
        <w:top w:val="none" w:sz="0" w:space="0" w:color="auto"/>
        <w:left w:val="none" w:sz="0" w:space="0" w:color="auto"/>
        <w:bottom w:val="none" w:sz="0" w:space="0" w:color="auto"/>
        <w:right w:val="none" w:sz="0" w:space="0" w:color="auto"/>
      </w:divBdr>
    </w:div>
    <w:div w:id="446462453">
      <w:bodyDiv w:val="1"/>
      <w:marLeft w:val="0"/>
      <w:marRight w:val="0"/>
      <w:marTop w:val="0"/>
      <w:marBottom w:val="0"/>
      <w:divBdr>
        <w:top w:val="none" w:sz="0" w:space="0" w:color="auto"/>
        <w:left w:val="none" w:sz="0" w:space="0" w:color="auto"/>
        <w:bottom w:val="none" w:sz="0" w:space="0" w:color="auto"/>
        <w:right w:val="none" w:sz="0" w:space="0" w:color="auto"/>
      </w:divBdr>
    </w:div>
    <w:div w:id="472716246">
      <w:bodyDiv w:val="1"/>
      <w:marLeft w:val="0"/>
      <w:marRight w:val="0"/>
      <w:marTop w:val="0"/>
      <w:marBottom w:val="0"/>
      <w:divBdr>
        <w:top w:val="none" w:sz="0" w:space="0" w:color="auto"/>
        <w:left w:val="none" w:sz="0" w:space="0" w:color="auto"/>
        <w:bottom w:val="none" w:sz="0" w:space="0" w:color="auto"/>
        <w:right w:val="none" w:sz="0" w:space="0" w:color="auto"/>
      </w:divBdr>
    </w:div>
    <w:div w:id="482351727">
      <w:bodyDiv w:val="1"/>
      <w:marLeft w:val="0"/>
      <w:marRight w:val="0"/>
      <w:marTop w:val="0"/>
      <w:marBottom w:val="0"/>
      <w:divBdr>
        <w:top w:val="none" w:sz="0" w:space="0" w:color="auto"/>
        <w:left w:val="none" w:sz="0" w:space="0" w:color="auto"/>
        <w:bottom w:val="none" w:sz="0" w:space="0" w:color="auto"/>
        <w:right w:val="none" w:sz="0" w:space="0" w:color="auto"/>
      </w:divBdr>
    </w:div>
    <w:div w:id="490145413">
      <w:bodyDiv w:val="1"/>
      <w:marLeft w:val="0"/>
      <w:marRight w:val="0"/>
      <w:marTop w:val="0"/>
      <w:marBottom w:val="0"/>
      <w:divBdr>
        <w:top w:val="none" w:sz="0" w:space="0" w:color="auto"/>
        <w:left w:val="none" w:sz="0" w:space="0" w:color="auto"/>
        <w:bottom w:val="none" w:sz="0" w:space="0" w:color="auto"/>
        <w:right w:val="none" w:sz="0" w:space="0" w:color="auto"/>
      </w:divBdr>
    </w:div>
    <w:div w:id="499734954">
      <w:marLeft w:val="0"/>
      <w:marRight w:val="0"/>
      <w:marTop w:val="0"/>
      <w:marBottom w:val="0"/>
      <w:divBdr>
        <w:top w:val="none" w:sz="0" w:space="0" w:color="auto"/>
        <w:left w:val="none" w:sz="0" w:space="0" w:color="auto"/>
        <w:bottom w:val="none" w:sz="0" w:space="0" w:color="auto"/>
        <w:right w:val="none" w:sz="0" w:space="0" w:color="auto"/>
      </w:divBdr>
    </w:div>
    <w:div w:id="515996290">
      <w:bodyDiv w:val="1"/>
      <w:marLeft w:val="0"/>
      <w:marRight w:val="0"/>
      <w:marTop w:val="0"/>
      <w:marBottom w:val="0"/>
      <w:divBdr>
        <w:top w:val="none" w:sz="0" w:space="0" w:color="auto"/>
        <w:left w:val="none" w:sz="0" w:space="0" w:color="auto"/>
        <w:bottom w:val="none" w:sz="0" w:space="0" w:color="auto"/>
        <w:right w:val="none" w:sz="0" w:space="0" w:color="auto"/>
      </w:divBdr>
    </w:div>
    <w:div w:id="526135594">
      <w:marLeft w:val="0"/>
      <w:marRight w:val="0"/>
      <w:marTop w:val="0"/>
      <w:marBottom w:val="0"/>
      <w:divBdr>
        <w:top w:val="none" w:sz="0" w:space="0" w:color="auto"/>
        <w:left w:val="none" w:sz="0" w:space="0" w:color="auto"/>
        <w:bottom w:val="none" w:sz="0" w:space="0" w:color="auto"/>
        <w:right w:val="none" w:sz="0" w:space="0" w:color="auto"/>
      </w:divBdr>
    </w:div>
    <w:div w:id="569579526">
      <w:bodyDiv w:val="1"/>
      <w:marLeft w:val="0"/>
      <w:marRight w:val="0"/>
      <w:marTop w:val="0"/>
      <w:marBottom w:val="0"/>
      <w:divBdr>
        <w:top w:val="none" w:sz="0" w:space="0" w:color="auto"/>
        <w:left w:val="none" w:sz="0" w:space="0" w:color="auto"/>
        <w:bottom w:val="none" w:sz="0" w:space="0" w:color="auto"/>
        <w:right w:val="none" w:sz="0" w:space="0" w:color="auto"/>
      </w:divBdr>
    </w:div>
    <w:div w:id="594752530">
      <w:bodyDiv w:val="1"/>
      <w:marLeft w:val="0"/>
      <w:marRight w:val="0"/>
      <w:marTop w:val="0"/>
      <w:marBottom w:val="0"/>
      <w:divBdr>
        <w:top w:val="none" w:sz="0" w:space="0" w:color="auto"/>
        <w:left w:val="none" w:sz="0" w:space="0" w:color="auto"/>
        <w:bottom w:val="none" w:sz="0" w:space="0" w:color="auto"/>
        <w:right w:val="none" w:sz="0" w:space="0" w:color="auto"/>
      </w:divBdr>
    </w:div>
    <w:div w:id="611017555">
      <w:bodyDiv w:val="1"/>
      <w:marLeft w:val="0"/>
      <w:marRight w:val="0"/>
      <w:marTop w:val="0"/>
      <w:marBottom w:val="0"/>
      <w:divBdr>
        <w:top w:val="none" w:sz="0" w:space="0" w:color="auto"/>
        <w:left w:val="none" w:sz="0" w:space="0" w:color="auto"/>
        <w:bottom w:val="none" w:sz="0" w:space="0" w:color="auto"/>
        <w:right w:val="none" w:sz="0" w:space="0" w:color="auto"/>
      </w:divBdr>
    </w:div>
    <w:div w:id="613831425">
      <w:marLeft w:val="0"/>
      <w:marRight w:val="0"/>
      <w:marTop w:val="0"/>
      <w:marBottom w:val="0"/>
      <w:divBdr>
        <w:top w:val="none" w:sz="0" w:space="0" w:color="auto"/>
        <w:left w:val="none" w:sz="0" w:space="0" w:color="auto"/>
        <w:bottom w:val="none" w:sz="0" w:space="0" w:color="auto"/>
        <w:right w:val="none" w:sz="0" w:space="0" w:color="auto"/>
      </w:divBdr>
    </w:div>
    <w:div w:id="619460280">
      <w:bodyDiv w:val="1"/>
      <w:marLeft w:val="0"/>
      <w:marRight w:val="0"/>
      <w:marTop w:val="0"/>
      <w:marBottom w:val="0"/>
      <w:divBdr>
        <w:top w:val="none" w:sz="0" w:space="0" w:color="auto"/>
        <w:left w:val="none" w:sz="0" w:space="0" w:color="auto"/>
        <w:bottom w:val="none" w:sz="0" w:space="0" w:color="auto"/>
        <w:right w:val="none" w:sz="0" w:space="0" w:color="auto"/>
      </w:divBdr>
    </w:div>
    <w:div w:id="620185198">
      <w:bodyDiv w:val="1"/>
      <w:marLeft w:val="0"/>
      <w:marRight w:val="0"/>
      <w:marTop w:val="0"/>
      <w:marBottom w:val="0"/>
      <w:divBdr>
        <w:top w:val="none" w:sz="0" w:space="0" w:color="auto"/>
        <w:left w:val="none" w:sz="0" w:space="0" w:color="auto"/>
        <w:bottom w:val="none" w:sz="0" w:space="0" w:color="auto"/>
        <w:right w:val="none" w:sz="0" w:space="0" w:color="auto"/>
      </w:divBdr>
    </w:div>
    <w:div w:id="633292739">
      <w:bodyDiv w:val="1"/>
      <w:marLeft w:val="0"/>
      <w:marRight w:val="0"/>
      <w:marTop w:val="0"/>
      <w:marBottom w:val="0"/>
      <w:divBdr>
        <w:top w:val="none" w:sz="0" w:space="0" w:color="auto"/>
        <w:left w:val="none" w:sz="0" w:space="0" w:color="auto"/>
        <w:bottom w:val="none" w:sz="0" w:space="0" w:color="auto"/>
        <w:right w:val="none" w:sz="0" w:space="0" w:color="auto"/>
      </w:divBdr>
    </w:div>
    <w:div w:id="673385865">
      <w:marLeft w:val="0"/>
      <w:marRight w:val="0"/>
      <w:marTop w:val="0"/>
      <w:marBottom w:val="0"/>
      <w:divBdr>
        <w:top w:val="none" w:sz="0" w:space="0" w:color="auto"/>
        <w:left w:val="none" w:sz="0" w:space="0" w:color="auto"/>
        <w:bottom w:val="none" w:sz="0" w:space="0" w:color="auto"/>
        <w:right w:val="none" w:sz="0" w:space="0" w:color="auto"/>
      </w:divBdr>
    </w:div>
    <w:div w:id="680475890">
      <w:bodyDiv w:val="1"/>
      <w:marLeft w:val="0"/>
      <w:marRight w:val="0"/>
      <w:marTop w:val="0"/>
      <w:marBottom w:val="0"/>
      <w:divBdr>
        <w:top w:val="none" w:sz="0" w:space="0" w:color="auto"/>
        <w:left w:val="none" w:sz="0" w:space="0" w:color="auto"/>
        <w:bottom w:val="none" w:sz="0" w:space="0" w:color="auto"/>
        <w:right w:val="none" w:sz="0" w:space="0" w:color="auto"/>
      </w:divBdr>
    </w:div>
    <w:div w:id="700521735">
      <w:bodyDiv w:val="1"/>
      <w:marLeft w:val="0"/>
      <w:marRight w:val="0"/>
      <w:marTop w:val="0"/>
      <w:marBottom w:val="0"/>
      <w:divBdr>
        <w:top w:val="none" w:sz="0" w:space="0" w:color="auto"/>
        <w:left w:val="none" w:sz="0" w:space="0" w:color="auto"/>
        <w:bottom w:val="none" w:sz="0" w:space="0" w:color="auto"/>
        <w:right w:val="none" w:sz="0" w:space="0" w:color="auto"/>
      </w:divBdr>
    </w:div>
    <w:div w:id="711149884">
      <w:bodyDiv w:val="1"/>
      <w:marLeft w:val="0"/>
      <w:marRight w:val="0"/>
      <w:marTop w:val="0"/>
      <w:marBottom w:val="0"/>
      <w:divBdr>
        <w:top w:val="none" w:sz="0" w:space="0" w:color="auto"/>
        <w:left w:val="none" w:sz="0" w:space="0" w:color="auto"/>
        <w:bottom w:val="none" w:sz="0" w:space="0" w:color="auto"/>
        <w:right w:val="none" w:sz="0" w:space="0" w:color="auto"/>
      </w:divBdr>
    </w:div>
    <w:div w:id="721517612">
      <w:bodyDiv w:val="1"/>
      <w:marLeft w:val="0"/>
      <w:marRight w:val="0"/>
      <w:marTop w:val="0"/>
      <w:marBottom w:val="0"/>
      <w:divBdr>
        <w:top w:val="none" w:sz="0" w:space="0" w:color="auto"/>
        <w:left w:val="none" w:sz="0" w:space="0" w:color="auto"/>
        <w:bottom w:val="none" w:sz="0" w:space="0" w:color="auto"/>
        <w:right w:val="none" w:sz="0" w:space="0" w:color="auto"/>
      </w:divBdr>
    </w:div>
    <w:div w:id="751657834">
      <w:bodyDiv w:val="1"/>
      <w:marLeft w:val="0"/>
      <w:marRight w:val="0"/>
      <w:marTop w:val="0"/>
      <w:marBottom w:val="0"/>
      <w:divBdr>
        <w:top w:val="none" w:sz="0" w:space="0" w:color="auto"/>
        <w:left w:val="none" w:sz="0" w:space="0" w:color="auto"/>
        <w:bottom w:val="none" w:sz="0" w:space="0" w:color="auto"/>
        <w:right w:val="none" w:sz="0" w:space="0" w:color="auto"/>
      </w:divBdr>
    </w:div>
    <w:div w:id="753742789">
      <w:marLeft w:val="0"/>
      <w:marRight w:val="0"/>
      <w:marTop w:val="0"/>
      <w:marBottom w:val="0"/>
      <w:divBdr>
        <w:top w:val="none" w:sz="0" w:space="0" w:color="auto"/>
        <w:left w:val="none" w:sz="0" w:space="0" w:color="auto"/>
        <w:bottom w:val="none" w:sz="0" w:space="0" w:color="auto"/>
        <w:right w:val="none" w:sz="0" w:space="0" w:color="auto"/>
      </w:divBdr>
    </w:div>
    <w:div w:id="774329713">
      <w:bodyDiv w:val="1"/>
      <w:marLeft w:val="0"/>
      <w:marRight w:val="0"/>
      <w:marTop w:val="0"/>
      <w:marBottom w:val="0"/>
      <w:divBdr>
        <w:top w:val="none" w:sz="0" w:space="0" w:color="auto"/>
        <w:left w:val="none" w:sz="0" w:space="0" w:color="auto"/>
        <w:bottom w:val="none" w:sz="0" w:space="0" w:color="auto"/>
        <w:right w:val="none" w:sz="0" w:space="0" w:color="auto"/>
      </w:divBdr>
    </w:div>
    <w:div w:id="799347203">
      <w:bodyDiv w:val="1"/>
      <w:marLeft w:val="0"/>
      <w:marRight w:val="0"/>
      <w:marTop w:val="0"/>
      <w:marBottom w:val="0"/>
      <w:divBdr>
        <w:top w:val="none" w:sz="0" w:space="0" w:color="auto"/>
        <w:left w:val="none" w:sz="0" w:space="0" w:color="auto"/>
        <w:bottom w:val="none" w:sz="0" w:space="0" w:color="auto"/>
        <w:right w:val="none" w:sz="0" w:space="0" w:color="auto"/>
      </w:divBdr>
    </w:div>
    <w:div w:id="822282258">
      <w:bodyDiv w:val="1"/>
      <w:marLeft w:val="0"/>
      <w:marRight w:val="0"/>
      <w:marTop w:val="0"/>
      <w:marBottom w:val="0"/>
      <w:divBdr>
        <w:top w:val="none" w:sz="0" w:space="0" w:color="auto"/>
        <w:left w:val="none" w:sz="0" w:space="0" w:color="auto"/>
        <w:bottom w:val="none" w:sz="0" w:space="0" w:color="auto"/>
        <w:right w:val="none" w:sz="0" w:space="0" w:color="auto"/>
      </w:divBdr>
    </w:div>
    <w:div w:id="835613708">
      <w:bodyDiv w:val="1"/>
      <w:marLeft w:val="0"/>
      <w:marRight w:val="0"/>
      <w:marTop w:val="0"/>
      <w:marBottom w:val="0"/>
      <w:divBdr>
        <w:top w:val="none" w:sz="0" w:space="0" w:color="auto"/>
        <w:left w:val="none" w:sz="0" w:space="0" w:color="auto"/>
        <w:bottom w:val="none" w:sz="0" w:space="0" w:color="auto"/>
        <w:right w:val="none" w:sz="0" w:space="0" w:color="auto"/>
      </w:divBdr>
    </w:div>
    <w:div w:id="861624858">
      <w:bodyDiv w:val="1"/>
      <w:marLeft w:val="0"/>
      <w:marRight w:val="0"/>
      <w:marTop w:val="0"/>
      <w:marBottom w:val="0"/>
      <w:divBdr>
        <w:top w:val="none" w:sz="0" w:space="0" w:color="auto"/>
        <w:left w:val="none" w:sz="0" w:space="0" w:color="auto"/>
        <w:bottom w:val="none" w:sz="0" w:space="0" w:color="auto"/>
        <w:right w:val="none" w:sz="0" w:space="0" w:color="auto"/>
      </w:divBdr>
    </w:div>
    <w:div w:id="866717176">
      <w:bodyDiv w:val="1"/>
      <w:marLeft w:val="0"/>
      <w:marRight w:val="0"/>
      <w:marTop w:val="0"/>
      <w:marBottom w:val="0"/>
      <w:divBdr>
        <w:top w:val="none" w:sz="0" w:space="0" w:color="auto"/>
        <w:left w:val="none" w:sz="0" w:space="0" w:color="auto"/>
        <w:bottom w:val="none" w:sz="0" w:space="0" w:color="auto"/>
        <w:right w:val="none" w:sz="0" w:space="0" w:color="auto"/>
      </w:divBdr>
    </w:div>
    <w:div w:id="872038072">
      <w:bodyDiv w:val="1"/>
      <w:marLeft w:val="0"/>
      <w:marRight w:val="0"/>
      <w:marTop w:val="0"/>
      <w:marBottom w:val="0"/>
      <w:divBdr>
        <w:top w:val="none" w:sz="0" w:space="0" w:color="auto"/>
        <w:left w:val="none" w:sz="0" w:space="0" w:color="auto"/>
        <w:bottom w:val="none" w:sz="0" w:space="0" w:color="auto"/>
        <w:right w:val="none" w:sz="0" w:space="0" w:color="auto"/>
      </w:divBdr>
    </w:div>
    <w:div w:id="888226027">
      <w:bodyDiv w:val="1"/>
      <w:marLeft w:val="0"/>
      <w:marRight w:val="0"/>
      <w:marTop w:val="0"/>
      <w:marBottom w:val="0"/>
      <w:divBdr>
        <w:top w:val="none" w:sz="0" w:space="0" w:color="auto"/>
        <w:left w:val="none" w:sz="0" w:space="0" w:color="auto"/>
        <w:bottom w:val="none" w:sz="0" w:space="0" w:color="auto"/>
        <w:right w:val="none" w:sz="0" w:space="0" w:color="auto"/>
      </w:divBdr>
    </w:div>
    <w:div w:id="899291509">
      <w:bodyDiv w:val="1"/>
      <w:marLeft w:val="0"/>
      <w:marRight w:val="0"/>
      <w:marTop w:val="0"/>
      <w:marBottom w:val="0"/>
      <w:divBdr>
        <w:top w:val="none" w:sz="0" w:space="0" w:color="auto"/>
        <w:left w:val="none" w:sz="0" w:space="0" w:color="auto"/>
        <w:bottom w:val="none" w:sz="0" w:space="0" w:color="auto"/>
        <w:right w:val="none" w:sz="0" w:space="0" w:color="auto"/>
      </w:divBdr>
    </w:div>
    <w:div w:id="912813519">
      <w:marLeft w:val="0"/>
      <w:marRight w:val="0"/>
      <w:marTop w:val="0"/>
      <w:marBottom w:val="0"/>
      <w:divBdr>
        <w:top w:val="none" w:sz="0" w:space="0" w:color="auto"/>
        <w:left w:val="none" w:sz="0" w:space="0" w:color="auto"/>
        <w:bottom w:val="none" w:sz="0" w:space="0" w:color="auto"/>
        <w:right w:val="none" w:sz="0" w:space="0" w:color="auto"/>
      </w:divBdr>
    </w:div>
    <w:div w:id="913586647">
      <w:bodyDiv w:val="1"/>
      <w:marLeft w:val="0"/>
      <w:marRight w:val="0"/>
      <w:marTop w:val="0"/>
      <w:marBottom w:val="0"/>
      <w:divBdr>
        <w:top w:val="none" w:sz="0" w:space="0" w:color="auto"/>
        <w:left w:val="none" w:sz="0" w:space="0" w:color="auto"/>
        <w:bottom w:val="none" w:sz="0" w:space="0" w:color="auto"/>
        <w:right w:val="none" w:sz="0" w:space="0" w:color="auto"/>
      </w:divBdr>
    </w:div>
    <w:div w:id="926958940">
      <w:bodyDiv w:val="1"/>
      <w:marLeft w:val="0"/>
      <w:marRight w:val="0"/>
      <w:marTop w:val="0"/>
      <w:marBottom w:val="0"/>
      <w:divBdr>
        <w:top w:val="none" w:sz="0" w:space="0" w:color="auto"/>
        <w:left w:val="none" w:sz="0" w:space="0" w:color="auto"/>
        <w:bottom w:val="none" w:sz="0" w:space="0" w:color="auto"/>
        <w:right w:val="none" w:sz="0" w:space="0" w:color="auto"/>
      </w:divBdr>
    </w:div>
    <w:div w:id="933048693">
      <w:bodyDiv w:val="1"/>
      <w:marLeft w:val="0"/>
      <w:marRight w:val="0"/>
      <w:marTop w:val="0"/>
      <w:marBottom w:val="0"/>
      <w:divBdr>
        <w:top w:val="none" w:sz="0" w:space="0" w:color="auto"/>
        <w:left w:val="none" w:sz="0" w:space="0" w:color="auto"/>
        <w:bottom w:val="none" w:sz="0" w:space="0" w:color="auto"/>
        <w:right w:val="none" w:sz="0" w:space="0" w:color="auto"/>
      </w:divBdr>
    </w:div>
    <w:div w:id="942103774">
      <w:bodyDiv w:val="1"/>
      <w:marLeft w:val="0"/>
      <w:marRight w:val="0"/>
      <w:marTop w:val="0"/>
      <w:marBottom w:val="0"/>
      <w:divBdr>
        <w:top w:val="none" w:sz="0" w:space="0" w:color="auto"/>
        <w:left w:val="none" w:sz="0" w:space="0" w:color="auto"/>
        <w:bottom w:val="none" w:sz="0" w:space="0" w:color="auto"/>
        <w:right w:val="none" w:sz="0" w:space="0" w:color="auto"/>
      </w:divBdr>
    </w:div>
    <w:div w:id="946886535">
      <w:bodyDiv w:val="1"/>
      <w:marLeft w:val="0"/>
      <w:marRight w:val="0"/>
      <w:marTop w:val="0"/>
      <w:marBottom w:val="0"/>
      <w:divBdr>
        <w:top w:val="none" w:sz="0" w:space="0" w:color="auto"/>
        <w:left w:val="none" w:sz="0" w:space="0" w:color="auto"/>
        <w:bottom w:val="none" w:sz="0" w:space="0" w:color="auto"/>
        <w:right w:val="none" w:sz="0" w:space="0" w:color="auto"/>
      </w:divBdr>
    </w:div>
    <w:div w:id="955714399">
      <w:bodyDiv w:val="1"/>
      <w:marLeft w:val="0"/>
      <w:marRight w:val="0"/>
      <w:marTop w:val="0"/>
      <w:marBottom w:val="0"/>
      <w:divBdr>
        <w:top w:val="none" w:sz="0" w:space="0" w:color="auto"/>
        <w:left w:val="none" w:sz="0" w:space="0" w:color="auto"/>
        <w:bottom w:val="none" w:sz="0" w:space="0" w:color="auto"/>
        <w:right w:val="none" w:sz="0" w:space="0" w:color="auto"/>
      </w:divBdr>
    </w:div>
    <w:div w:id="964774785">
      <w:marLeft w:val="0"/>
      <w:marRight w:val="0"/>
      <w:marTop w:val="0"/>
      <w:marBottom w:val="0"/>
      <w:divBdr>
        <w:top w:val="none" w:sz="0" w:space="0" w:color="auto"/>
        <w:left w:val="none" w:sz="0" w:space="0" w:color="auto"/>
        <w:bottom w:val="none" w:sz="0" w:space="0" w:color="auto"/>
        <w:right w:val="none" w:sz="0" w:space="0" w:color="auto"/>
      </w:divBdr>
    </w:div>
    <w:div w:id="976295923">
      <w:bodyDiv w:val="1"/>
      <w:marLeft w:val="0"/>
      <w:marRight w:val="0"/>
      <w:marTop w:val="0"/>
      <w:marBottom w:val="0"/>
      <w:divBdr>
        <w:top w:val="none" w:sz="0" w:space="0" w:color="auto"/>
        <w:left w:val="none" w:sz="0" w:space="0" w:color="auto"/>
        <w:bottom w:val="none" w:sz="0" w:space="0" w:color="auto"/>
        <w:right w:val="none" w:sz="0" w:space="0" w:color="auto"/>
      </w:divBdr>
    </w:div>
    <w:div w:id="985621043">
      <w:bodyDiv w:val="1"/>
      <w:marLeft w:val="0"/>
      <w:marRight w:val="0"/>
      <w:marTop w:val="0"/>
      <w:marBottom w:val="0"/>
      <w:divBdr>
        <w:top w:val="none" w:sz="0" w:space="0" w:color="auto"/>
        <w:left w:val="none" w:sz="0" w:space="0" w:color="auto"/>
        <w:bottom w:val="none" w:sz="0" w:space="0" w:color="auto"/>
        <w:right w:val="none" w:sz="0" w:space="0" w:color="auto"/>
      </w:divBdr>
    </w:div>
    <w:div w:id="994991803">
      <w:bodyDiv w:val="1"/>
      <w:marLeft w:val="0"/>
      <w:marRight w:val="0"/>
      <w:marTop w:val="0"/>
      <w:marBottom w:val="0"/>
      <w:divBdr>
        <w:top w:val="none" w:sz="0" w:space="0" w:color="auto"/>
        <w:left w:val="none" w:sz="0" w:space="0" w:color="auto"/>
        <w:bottom w:val="none" w:sz="0" w:space="0" w:color="auto"/>
        <w:right w:val="none" w:sz="0" w:space="0" w:color="auto"/>
      </w:divBdr>
    </w:div>
    <w:div w:id="1023366217">
      <w:bodyDiv w:val="1"/>
      <w:marLeft w:val="0"/>
      <w:marRight w:val="0"/>
      <w:marTop w:val="0"/>
      <w:marBottom w:val="0"/>
      <w:divBdr>
        <w:top w:val="none" w:sz="0" w:space="0" w:color="auto"/>
        <w:left w:val="none" w:sz="0" w:space="0" w:color="auto"/>
        <w:bottom w:val="none" w:sz="0" w:space="0" w:color="auto"/>
        <w:right w:val="none" w:sz="0" w:space="0" w:color="auto"/>
      </w:divBdr>
    </w:div>
    <w:div w:id="1032851419">
      <w:marLeft w:val="0"/>
      <w:marRight w:val="0"/>
      <w:marTop w:val="0"/>
      <w:marBottom w:val="0"/>
      <w:divBdr>
        <w:top w:val="none" w:sz="0" w:space="0" w:color="auto"/>
        <w:left w:val="none" w:sz="0" w:space="0" w:color="auto"/>
        <w:bottom w:val="none" w:sz="0" w:space="0" w:color="auto"/>
        <w:right w:val="none" w:sz="0" w:space="0" w:color="auto"/>
      </w:divBdr>
    </w:div>
    <w:div w:id="1050761873">
      <w:marLeft w:val="0"/>
      <w:marRight w:val="0"/>
      <w:marTop w:val="0"/>
      <w:marBottom w:val="0"/>
      <w:divBdr>
        <w:top w:val="none" w:sz="0" w:space="0" w:color="auto"/>
        <w:left w:val="none" w:sz="0" w:space="0" w:color="auto"/>
        <w:bottom w:val="none" w:sz="0" w:space="0" w:color="auto"/>
        <w:right w:val="none" w:sz="0" w:space="0" w:color="auto"/>
      </w:divBdr>
    </w:div>
    <w:div w:id="1092749475">
      <w:bodyDiv w:val="1"/>
      <w:marLeft w:val="0"/>
      <w:marRight w:val="0"/>
      <w:marTop w:val="0"/>
      <w:marBottom w:val="0"/>
      <w:divBdr>
        <w:top w:val="none" w:sz="0" w:space="0" w:color="auto"/>
        <w:left w:val="none" w:sz="0" w:space="0" w:color="auto"/>
        <w:bottom w:val="none" w:sz="0" w:space="0" w:color="auto"/>
        <w:right w:val="none" w:sz="0" w:space="0" w:color="auto"/>
      </w:divBdr>
    </w:div>
    <w:div w:id="1100678923">
      <w:marLeft w:val="0"/>
      <w:marRight w:val="0"/>
      <w:marTop w:val="0"/>
      <w:marBottom w:val="0"/>
      <w:divBdr>
        <w:top w:val="none" w:sz="0" w:space="0" w:color="auto"/>
        <w:left w:val="none" w:sz="0" w:space="0" w:color="auto"/>
        <w:bottom w:val="none" w:sz="0" w:space="0" w:color="auto"/>
        <w:right w:val="none" w:sz="0" w:space="0" w:color="auto"/>
      </w:divBdr>
    </w:div>
    <w:div w:id="1106192129">
      <w:bodyDiv w:val="1"/>
      <w:marLeft w:val="0"/>
      <w:marRight w:val="0"/>
      <w:marTop w:val="0"/>
      <w:marBottom w:val="0"/>
      <w:divBdr>
        <w:top w:val="none" w:sz="0" w:space="0" w:color="auto"/>
        <w:left w:val="none" w:sz="0" w:space="0" w:color="auto"/>
        <w:bottom w:val="none" w:sz="0" w:space="0" w:color="auto"/>
        <w:right w:val="none" w:sz="0" w:space="0" w:color="auto"/>
      </w:divBdr>
    </w:div>
    <w:div w:id="1126506159">
      <w:marLeft w:val="0"/>
      <w:marRight w:val="0"/>
      <w:marTop w:val="0"/>
      <w:marBottom w:val="0"/>
      <w:divBdr>
        <w:top w:val="none" w:sz="0" w:space="0" w:color="auto"/>
        <w:left w:val="none" w:sz="0" w:space="0" w:color="auto"/>
        <w:bottom w:val="none" w:sz="0" w:space="0" w:color="auto"/>
        <w:right w:val="none" w:sz="0" w:space="0" w:color="auto"/>
      </w:divBdr>
    </w:div>
    <w:div w:id="1126581302">
      <w:bodyDiv w:val="1"/>
      <w:marLeft w:val="0"/>
      <w:marRight w:val="0"/>
      <w:marTop w:val="0"/>
      <w:marBottom w:val="0"/>
      <w:divBdr>
        <w:top w:val="none" w:sz="0" w:space="0" w:color="auto"/>
        <w:left w:val="none" w:sz="0" w:space="0" w:color="auto"/>
        <w:bottom w:val="none" w:sz="0" w:space="0" w:color="auto"/>
        <w:right w:val="none" w:sz="0" w:space="0" w:color="auto"/>
      </w:divBdr>
    </w:div>
    <w:div w:id="1127700579">
      <w:bodyDiv w:val="1"/>
      <w:marLeft w:val="0"/>
      <w:marRight w:val="0"/>
      <w:marTop w:val="0"/>
      <w:marBottom w:val="0"/>
      <w:divBdr>
        <w:top w:val="none" w:sz="0" w:space="0" w:color="auto"/>
        <w:left w:val="none" w:sz="0" w:space="0" w:color="auto"/>
        <w:bottom w:val="none" w:sz="0" w:space="0" w:color="auto"/>
        <w:right w:val="none" w:sz="0" w:space="0" w:color="auto"/>
      </w:divBdr>
    </w:div>
    <w:div w:id="1137379435">
      <w:bodyDiv w:val="1"/>
      <w:marLeft w:val="0"/>
      <w:marRight w:val="0"/>
      <w:marTop w:val="0"/>
      <w:marBottom w:val="0"/>
      <w:divBdr>
        <w:top w:val="none" w:sz="0" w:space="0" w:color="auto"/>
        <w:left w:val="none" w:sz="0" w:space="0" w:color="auto"/>
        <w:bottom w:val="none" w:sz="0" w:space="0" w:color="auto"/>
        <w:right w:val="none" w:sz="0" w:space="0" w:color="auto"/>
      </w:divBdr>
    </w:div>
    <w:div w:id="1141192422">
      <w:bodyDiv w:val="1"/>
      <w:marLeft w:val="0"/>
      <w:marRight w:val="0"/>
      <w:marTop w:val="0"/>
      <w:marBottom w:val="0"/>
      <w:divBdr>
        <w:top w:val="none" w:sz="0" w:space="0" w:color="auto"/>
        <w:left w:val="none" w:sz="0" w:space="0" w:color="auto"/>
        <w:bottom w:val="none" w:sz="0" w:space="0" w:color="auto"/>
        <w:right w:val="none" w:sz="0" w:space="0" w:color="auto"/>
      </w:divBdr>
    </w:div>
    <w:div w:id="1143699502">
      <w:marLeft w:val="0"/>
      <w:marRight w:val="0"/>
      <w:marTop w:val="0"/>
      <w:marBottom w:val="0"/>
      <w:divBdr>
        <w:top w:val="none" w:sz="0" w:space="0" w:color="auto"/>
        <w:left w:val="none" w:sz="0" w:space="0" w:color="auto"/>
        <w:bottom w:val="none" w:sz="0" w:space="0" w:color="auto"/>
        <w:right w:val="none" w:sz="0" w:space="0" w:color="auto"/>
      </w:divBdr>
    </w:div>
    <w:div w:id="1157769978">
      <w:bodyDiv w:val="1"/>
      <w:marLeft w:val="0"/>
      <w:marRight w:val="0"/>
      <w:marTop w:val="0"/>
      <w:marBottom w:val="0"/>
      <w:divBdr>
        <w:top w:val="none" w:sz="0" w:space="0" w:color="auto"/>
        <w:left w:val="none" w:sz="0" w:space="0" w:color="auto"/>
        <w:bottom w:val="none" w:sz="0" w:space="0" w:color="auto"/>
        <w:right w:val="none" w:sz="0" w:space="0" w:color="auto"/>
      </w:divBdr>
    </w:div>
    <w:div w:id="1176655466">
      <w:bodyDiv w:val="1"/>
      <w:marLeft w:val="0"/>
      <w:marRight w:val="0"/>
      <w:marTop w:val="0"/>
      <w:marBottom w:val="0"/>
      <w:divBdr>
        <w:top w:val="none" w:sz="0" w:space="0" w:color="auto"/>
        <w:left w:val="none" w:sz="0" w:space="0" w:color="auto"/>
        <w:bottom w:val="none" w:sz="0" w:space="0" w:color="auto"/>
        <w:right w:val="none" w:sz="0" w:space="0" w:color="auto"/>
      </w:divBdr>
    </w:div>
    <w:div w:id="1208025431">
      <w:bodyDiv w:val="1"/>
      <w:marLeft w:val="0"/>
      <w:marRight w:val="0"/>
      <w:marTop w:val="0"/>
      <w:marBottom w:val="0"/>
      <w:divBdr>
        <w:top w:val="none" w:sz="0" w:space="0" w:color="auto"/>
        <w:left w:val="none" w:sz="0" w:space="0" w:color="auto"/>
        <w:bottom w:val="none" w:sz="0" w:space="0" w:color="auto"/>
        <w:right w:val="none" w:sz="0" w:space="0" w:color="auto"/>
      </w:divBdr>
    </w:div>
    <w:div w:id="1243492761">
      <w:bodyDiv w:val="1"/>
      <w:marLeft w:val="0"/>
      <w:marRight w:val="0"/>
      <w:marTop w:val="0"/>
      <w:marBottom w:val="0"/>
      <w:divBdr>
        <w:top w:val="none" w:sz="0" w:space="0" w:color="auto"/>
        <w:left w:val="none" w:sz="0" w:space="0" w:color="auto"/>
        <w:bottom w:val="none" w:sz="0" w:space="0" w:color="auto"/>
        <w:right w:val="none" w:sz="0" w:space="0" w:color="auto"/>
      </w:divBdr>
    </w:div>
    <w:div w:id="1255361760">
      <w:bodyDiv w:val="1"/>
      <w:marLeft w:val="0"/>
      <w:marRight w:val="0"/>
      <w:marTop w:val="0"/>
      <w:marBottom w:val="0"/>
      <w:divBdr>
        <w:top w:val="none" w:sz="0" w:space="0" w:color="auto"/>
        <w:left w:val="none" w:sz="0" w:space="0" w:color="auto"/>
        <w:bottom w:val="none" w:sz="0" w:space="0" w:color="auto"/>
        <w:right w:val="none" w:sz="0" w:space="0" w:color="auto"/>
      </w:divBdr>
    </w:div>
    <w:div w:id="1256475132">
      <w:bodyDiv w:val="1"/>
      <w:marLeft w:val="0"/>
      <w:marRight w:val="0"/>
      <w:marTop w:val="0"/>
      <w:marBottom w:val="0"/>
      <w:divBdr>
        <w:top w:val="none" w:sz="0" w:space="0" w:color="auto"/>
        <w:left w:val="none" w:sz="0" w:space="0" w:color="auto"/>
        <w:bottom w:val="none" w:sz="0" w:space="0" w:color="auto"/>
        <w:right w:val="none" w:sz="0" w:space="0" w:color="auto"/>
      </w:divBdr>
    </w:div>
    <w:div w:id="1258826400">
      <w:marLeft w:val="0"/>
      <w:marRight w:val="0"/>
      <w:marTop w:val="0"/>
      <w:marBottom w:val="0"/>
      <w:divBdr>
        <w:top w:val="none" w:sz="0" w:space="0" w:color="auto"/>
        <w:left w:val="none" w:sz="0" w:space="0" w:color="auto"/>
        <w:bottom w:val="none" w:sz="0" w:space="0" w:color="auto"/>
        <w:right w:val="none" w:sz="0" w:space="0" w:color="auto"/>
      </w:divBdr>
    </w:div>
    <w:div w:id="1259488021">
      <w:bodyDiv w:val="1"/>
      <w:marLeft w:val="0"/>
      <w:marRight w:val="0"/>
      <w:marTop w:val="0"/>
      <w:marBottom w:val="0"/>
      <w:divBdr>
        <w:top w:val="none" w:sz="0" w:space="0" w:color="auto"/>
        <w:left w:val="none" w:sz="0" w:space="0" w:color="auto"/>
        <w:bottom w:val="none" w:sz="0" w:space="0" w:color="auto"/>
        <w:right w:val="none" w:sz="0" w:space="0" w:color="auto"/>
      </w:divBdr>
    </w:div>
    <w:div w:id="1269772891">
      <w:bodyDiv w:val="1"/>
      <w:marLeft w:val="0"/>
      <w:marRight w:val="0"/>
      <w:marTop w:val="0"/>
      <w:marBottom w:val="0"/>
      <w:divBdr>
        <w:top w:val="none" w:sz="0" w:space="0" w:color="auto"/>
        <w:left w:val="none" w:sz="0" w:space="0" w:color="auto"/>
        <w:bottom w:val="none" w:sz="0" w:space="0" w:color="auto"/>
        <w:right w:val="none" w:sz="0" w:space="0" w:color="auto"/>
      </w:divBdr>
    </w:div>
    <w:div w:id="1274947416">
      <w:bodyDiv w:val="1"/>
      <w:marLeft w:val="0"/>
      <w:marRight w:val="0"/>
      <w:marTop w:val="0"/>
      <w:marBottom w:val="0"/>
      <w:divBdr>
        <w:top w:val="none" w:sz="0" w:space="0" w:color="auto"/>
        <w:left w:val="none" w:sz="0" w:space="0" w:color="auto"/>
        <w:bottom w:val="none" w:sz="0" w:space="0" w:color="auto"/>
        <w:right w:val="none" w:sz="0" w:space="0" w:color="auto"/>
      </w:divBdr>
    </w:div>
    <w:div w:id="1290359287">
      <w:bodyDiv w:val="1"/>
      <w:marLeft w:val="0"/>
      <w:marRight w:val="0"/>
      <w:marTop w:val="0"/>
      <w:marBottom w:val="0"/>
      <w:divBdr>
        <w:top w:val="none" w:sz="0" w:space="0" w:color="auto"/>
        <w:left w:val="none" w:sz="0" w:space="0" w:color="auto"/>
        <w:bottom w:val="none" w:sz="0" w:space="0" w:color="auto"/>
        <w:right w:val="none" w:sz="0" w:space="0" w:color="auto"/>
      </w:divBdr>
    </w:div>
    <w:div w:id="1315062557">
      <w:marLeft w:val="0"/>
      <w:marRight w:val="0"/>
      <w:marTop w:val="0"/>
      <w:marBottom w:val="0"/>
      <w:divBdr>
        <w:top w:val="none" w:sz="0" w:space="0" w:color="auto"/>
        <w:left w:val="none" w:sz="0" w:space="0" w:color="auto"/>
        <w:bottom w:val="none" w:sz="0" w:space="0" w:color="auto"/>
        <w:right w:val="none" w:sz="0" w:space="0" w:color="auto"/>
      </w:divBdr>
    </w:div>
    <w:div w:id="1322003939">
      <w:bodyDiv w:val="1"/>
      <w:marLeft w:val="0"/>
      <w:marRight w:val="0"/>
      <w:marTop w:val="0"/>
      <w:marBottom w:val="0"/>
      <w:divBdr>
        <w:top w:val="none" w:sz="0" w:space="0" w:color="auto"/>
        <w:left w:val="none" w:sz="0" w:space="0" w:color="auto"/>
        <w:bottom w:val="none" w:sz="0" w:space="0" w:color="auto"/>
        <w:right w:val="none" w:sz="0" w:space="0" w:color="auto"/>
      </w:divBdr>
    </w:div>
    <w:div w:id="1336878333">
      <w:marLeft w:val="0"/>
      <w:marRight w:val="0"/>
      <w:marTop w:val="0"/>
      <w:marBottom w:val="0"/>
      <w:divBdr>
        <w:top w:val="none" w:sz="0" w:space="0" w:color="auto"/>
        <w:left w:val="none" w:sz="0" w:space="0" w:color="auto"/>
        <w:bottom w:val="none" w:sz="0" w:space="0" w:color="auto"/>
        <w:right w:val="none" w:sz="0" w:space="0" w:color="auto"/>
      </w:divBdr>
    </w:div>
    <w:div w:id="1349870922">
      <w:marLeft w:val="0"/>
      <w:marRight w:val="0"/>
      <w:marTop w:val="0"/>
      <w:marBottom w:val="0"/>
      <w:divBdr>
        <w:top w:val="none" w:sz="0" w:space="0" w:color="auto"/>
        <w:left w:val="none" w:sz="0" w:space="0" w:color="auto"/>
        <w:bottom w:val="none" w:sz="0" w:space="0" w:color="auto"/>
        <w:right w:val="none" w:sz="0" w:space="0" w:color="auto"/>
      </w:divBdr>
    </w:div>
    <w:div w:id="1380276516">
      <w:bodyDiv w:val="1"/>
      <w:marLeft w:val="0"/>
      <w:marRight w:val="0"/>
      <w:marTop w:val="0"/>
      <w:marBottom w:val="0"/>
      <w:divBdr>
        <w:top w:val="none" w:sz="0" w:space="0" w:color="auto"/>
        <w:left w:val="none" w:sz="0" w:space="0" w:color="auto"/>
        <w:bottom w:val="none" w:sz="0" w:space="0" w:color="auto"/>
        <w:right w:val="none" w:sz="0" w:space="0" w:color="auto"/>
      </w:divBdr>
    </w:div>
    <w:div w:id="1382900153">
      <w:bodyDiv w:val="1"/>
      <w:marLeft w:val="0"/>
      <w:marRight w:val="0"/>
      <w:marTop w:val="0"/>
      <w:marBottom w:val="0"/>
      <w:divBdr>
        <w:top w:val="none" w:sz="0" w:space="0" w:color="auto"/>
        <w:left w:val="none" w:sz="0" w:space="0" w:color="auto"/>
        <w:bottom w:val="none" w:sz="0" w:space="0" w:color="auto"/>
        <w:right w:val="none" w:sz="0" w:space="0" w:color="auto"/>
      </w:divBdr>
    </w:div>
    <w:div w:id="1407335435">
      <w:bodyDiv w:val="1"/>
      <w:marLeft w:val="0"/>
      <w:marRight w:val="0"/>
      <w:marTop w:val="0"/>
      <w:marBottom w:val="0"/>
      <w:divBdr>
        <w:top w:val="none" w:sz="0" w:space="0" w:color="auto"/>
        <w:left w:val="none" w:sz="0" w:space="0" w:color="auto"/>
        <w:bottom w:val="none" w:sz="0" w:space="0" w:color="auto"/>
        <w:right w:val="none" w:sz="0" w:space="0" w:color="auto"/>
      </w:divBdr>
    </w:div>
    <w:div w:id="1413817586">
      <w:marLeft w:val="0"/>
      <w:marRight w:val="0"/>
      <w:marTop w:val="0"/>
      <w:marBottom w:val="0"/>
      <w:divBdr>
        <w:top w:val="none" w:sz="0" w:space="0" w:color="auto"/>
        <w:left w:val="none" w:sz="0" w:space="0" w:color="auto"/>
        <w:bottom w:val="none" w:sz="0" w:space="0" w:color="auto"/>
        <w:right w:val="none" w:sz="0" w:space="0" w:color="auto"/>
      </w:divBdr>
    </w:div>
    <w:div w:id="1456095549">
      <w:bodyDiv w:val="1"/>
      <w:marLeft w:val="0"/>
      <w:marRight w:val="0"/>
      <w:marTop w:val="0"/>
      <w:marBottom w:val="0"/>
      <w:divBdr>
        <w:top w:val="none" w:sz="0" w:space="0" w:color="auto"/>
        <w:left w:val="none" w:sz="0" w:space="0" w:color="auto"/>
        <w:bottom w:val="none" w:sz="0" w:space="0" w:color="auto"/>
        <w:right w:val="none" w:sz="0" w:space="0" w:color="auto"/>
      </w:divBdr>
    </w:div>
    <w:div w:id="1461607918">
      <w:marLeft w:val="0"/>
      <w:marRight w:val="0"/>
      <w:marTop w:val="0"/>
      <w:marBottom w:val="0"/>
      <w:divBdr>
        <w:top w:val="none" w:sz="0" w:space="0" w:color="auto"/>
        <w:left w:val="none" w:sz="0" w:space="0" w:color="auto"/>
        <w:bottom w:val="none" w:sz="0" w:space="0" w:color="auto"/>
        <w:right w:val="none" w:sz="0" w:space="0" w:color="auto"/>
      </w:divBdr>
    </w:div>
    <w:div w:id="1474374661">
      <w:bodyDiv w:val="1"/>
      <w:marLeft w:val="0"/>
      <w:marRight w:val="0"/>
      <w:marTop w:val="0"/>
      <w:marBottom w:val="0"/>
      <w:divBdr>
        <w:top w:val="none" w:sz="0" w:space="0" w:color="auto"/>
        <w:left w:val="none" w:sz="0" w:space="0" w:color="auto"/>
        <w:bottom w:val="none" w:sz="0" w:space="0" w:color="auto"/>
        <w:right w:val="none" w:sz="0" w:space="0" w:color="auto"/>
      </w:divBdr>
    </w:div>
    <w:div w:id="1482430148">
      <w:bodyDiv w:val="1"/>
      <w:marLeft w:val="0"/>
      <w:marRight w:val="0"/>
      <w:marTop w:val="0"/>
      <w:marBottom w:val="0"/>
      <w:divBdr>
        <w:top w:val="none" w:sz="0" w:space="0" w:color="auto"/>
        <w:left w:val="none" w:sz="0" w:space="0" w:color="auto"/>
        <w:bottom w:val="none" w:sz="0" w:space="0" w:color="auto"/>
        <w:right w:val="none" w:sz="0" w:space="0" w:color="auto"/>
      </w:divBdr>
    </w:div>
    <w:div w:id="1487896246">
      <w:marLeft w:val="0"/>
      <w:marRight w:val="0"/>
      <w:marTop w:val="0"/>
      <w:marBottom w:val="0"/>
      <w:divBdr>
        <w:top w:val="none" w:sz="0" w:space="0" w:color="auto"/>
        <w:left w:val="none" w:sz="0" w:space="0" w:color="auto"/>
        <w:bottom w:val="none" w:sz="0" w:space="0" w:color="auto"/>
        <w:right w:val="none" w:sz="0" w:space="0" w:color="auto"/>
      </w:divBdr>
    </w:div>
    <w:div w:id="1498612203">
      <w:bodyDiv w:val="1"/>
      <w:marLeft w:val="0"/>
      <w:marRight w:val="0"/>
      <w:marTop w:val="0"/>
      <w:marBottom w:val="0"/>
      <w:divBdr>
        <w:top w:val="none" w:sz="0" w:space="0" w:color="auto"/>
        <w:left w:val="none" w:sz="0" w:space="0" w:color="auto"/>
        <w:bottom w:val="none" w:sz="0" w:space="0" w:color="auto"/>
        <w:right w:val="none" w:sz="0" w:space="0" w:color="auto"/>
      </w:divBdr>
    </w:div>
    <w:div w:id="1499273898">
      <w:bodyDiv w:val="1"/>
      <w:marLeft w:val="0"/>
      <w:marRight w:val="0"/>
      <w:marTop w:val="0"/>
      <w:marBottom w:val="0"/>
      <w:divBdr>
        <w:top w:val="none" w:sz="0" w:space="0" w:color="auto"/>
        <w:left w:val="none" w:sz="0" w:space="0" w:color="auto"/>
        <w:bottom w:val="none" w:sz="0" w:space="0" w:color="auto"/>
        <w:right w:val="none" w:sz="0" w:space="0" w:color="auto"/>
      </w:divBdr>
    </w:div>
    <w:div w:id="1503618841">
      <w:bodyDiv w:val="1"/>
      <w:marLeft w:val="0"/>
      <w:marRight w:val="0"/>
      <w:marTop w:val="0"/>
      <w:marBottom w:val="0"/>
      <w:divBdr>
        <w:top w:val="none" w:sz="0" w:space="0" w:color="auto"/>
        <w:left w:val="none" w:sz="0" w:space="0" w:color="auto"/>
        <w:bottom w:val="none" w:sz="0" w:space="0" w:color="auto"/>
        <w:right w:val="none" w:sz="0" w:space="0" w:color="auto"/>
      </w:divBdr>
    </w:div>
    <w:div w:id="1512910335">
      <w:bodyDiv w:val="1"/>
      <w:marLeft w:val="0"/>
      <w:marRight w:val="0"/>
      <w:marTop w:val="0"/>
      <w:marBottom w:val="0"/>
      <w:divBdr>
        <w:top w:val="none" w:sz="0" w:space="0" w:color="auto"/>
        <w:left w:val="none" w:sz="0" w:space="0" w:color="auto"/>
        <w:bottom w:val="none" w:sz="0" w:space="0" w:color="auto"/>
        <w:right w:val="none" w:sz="0" w:space="0" w:color="auto"/>
      </w:divBdr>
    </w:div>
    <w:div w:id="1525750459">
      <w:marLeft w:val="0"/>
      <w:marRight w:val="0"/>
      <w:marTop w:val="0"/>
      <w:marBottom w:val="0"/>
      <w:divBdr>
        <w:top w:val="none" w:sz="0" w:space="0" w:color="auto"/>
        <w:left w:val="none" w:sz="0" w:space="0" w:color="auto"/>
        <w:bottom w:val="none" w:sz="0" w:space="0" w:color="auto"/>
        <w:right w:val="none" w:sz="0" w:space="0" w:color="auto"/>
      </w:divBdr>
    </w:div>
    <w:div w:id="1532642981">
      <w:marLeft w:val="0"/>
      <w:marRight w:val="0"/>
      <w:marTop w:val="0"/>
      <w:marBottom w:val="0"/>
      <w:divBdr>
        <w:top w:val="none" w:sz="0" w:space="0" w:color="auto"/>
        <w:left w:val="none" w:sz="0" w:space="0" w:color="auto"/>
        <w:bottom w:val="none" w:sz="0" w:space="0" w:color="auto"/>
        <w:right w:val="none" w:sz="0" w:space="0" w:color="auto"/>
      </w:divBdr>
    </w:div>
    <w:div w:id="1574851787">
      <w:bodyDiv w:val="1"/>
      <w:marLeft w:val="0"/>
      <w:marRight w:val="0"/>
      <w:marTop w:val="0"/>
      <w:marBottom w:val="0"/>
      <w:divBdr>
        <w:top w:val="none" w:sz="0" w:space="0" w:color="auto"/>
        <w:left w:val="none" w:sz="0" w:space="0" w:color="auto"/>
        <w:bottom w:val="none" w:sz="0" w:space="0" w:color="auto"/>
        <w:right w:val="none" w:sz="0" w:space="0" w:color="auto"/>
      </w:divBdr>
    </w:div>
    <w:div w:id="1603881245">
      <w:bodyDiv w:val="1"/>
      <w:marLeft w:val="0"/>
      <w:marRight w:val="0"/>
      <w:marTop w:val="0"/>
      <w:marBottom w:val="0"/>
      <w:divBdr>
        <w:top w:val="none" w:sz="0" w:space="0" w:color="auto"/>
        <w:left w:val="none" w:sz="0" w:space="0" w:color="auto"/>
        <w:bottom w:val="none" w:sz="0" w:space="0" w:color="auto"/>
        <w:right w:val="none" w:sz="0" w:space="0" w:color="auto"/>
      </w:divBdr>
    </w:div>
    <w:div w:id="1633557938">
      <w:bodyDiv w:val="1"/>
      <w:marLeft w:val="0"/>
      <w:marRight w:val="0"/>
      <w:marTop w:val="0"/>
      <w:marBottom w:val="0"/>
      <w:divBdr>
        <w:top w:val="none" w:sz="0" w:space="0" w:color="auto"/>
        <w:left w:val="none" w:sz="0" w:space="0" w:color="auto"/>
        <w:bottom w:val="none" w:sz="0" w:space="0" w:color="auto"/>
        <w:right w:val="none" w:sz="0" w:space="0" w:color="auto"/>
      </w:divBdr>
    </w:div>
    <w:div w:id="1648361674">
      <w:bodyDiv w:val="1"/>
      <w:marLeft w:val="0"/>
      <w:marRight w:val="0"/>
      <w:marTop w:val="0"/>
      <w:marBottom w:val="0"/>
      <w:divBdr>
        <w:top w:val="none" w:sz="0" w:space="0" w:color="auto"/>
        <w:left w:val="none" w:sz="0" w:space="0" w:color="auto"/>
        <w:bottom w:val="none" w:sz="0" w:space="0" w:color="auto"/>
        <w:right w:val="none" w:sz="0" w:space="0" w:color="auto"/>
      </w:divBdr>
    </w:div>
    <w:div w:id="1661808507">
      <w:bodyDiv w:val="1"/>
      <w:marLeft w:val="0"/>
      <w:marRight w:val="0"/>
      <w:marTop w:val="0"/>
      <w:marBottom w:val="0"/>
      <w:divBdr>
        <w:top w:val="none" w:sz="0" w:space="0" w:color="auto"/>
        <w:left w:val="none" w:sz="0" w:space="0" w:color="auto"/>
        <w:bottom w:val="none" w:sz="0" w:space="0" w:color="auto"/>
        <w:right w:val="none" w:sz="0" w:space="0" w:color="auto"/>
      </w:divBdr>
    </w:div>
    <w:div w:id="1689794117">
      <w:marLeft w:val="0"/>
      <w:marRight w:val="0"/>
      <w:marTop w:val="0"/>
      <w:marBottom w:val="0"/>
      <w:divBdr>
        <w:top w:val="none" w:sz="0" w:space="0" w:color="auto"/>
        <w:left w:val="none" w:sz="0" w:space="0" w:color="auto"/>
        <w:bottom w:val="none" w:sz="0" w:space="0" w:color="auto"/>
        <w:right w:val="none" w:sz="0" w:space="0" w:color="auto"/>
      </w:divBdr>
    </w:div>
    <w:div w:id="1697003306">
      <w:bodyDiv w:val="1"/>
      <w:marLeft w:val="0"/>
      <w:marRight w:val="0"/>
      <w:marTop w:val="0"/>
      <w:marBottom w:val="0"/>
      <w:divBdr>
        <w:top w:val="none" w:sz="0" w:space="0" w:color="auto"/>
        <w:left w:val="none" w:sz="0" w:space="0" w:color="auto"/>
        <w:bottom w:val="none" w:sz="0" w:space="0" w:color="auto"/>
        <w:right w:val="none" w:sz="0" w:space="0" w:color="auto"/>
      </w:divBdr>
    </w:div>
    <w:div w:id="1702243042">
      <w:bodyDiv w:val="1"/>
      <w:marLeft w:val="0"/>
      <w:marRight w:val="0"/>
      <w:marTop w:val="0"/>
      <w:marBottom w:val="0"/>
      <w:divBdr>
        <w:top w:val="none" w:sz="0" w:space="0" w:color="auto"/>
        <w:left w:val="none" w:sz="0" w:space="0" w:color="auto"/>
        <w:bottom w:val="none" w:sz="0" w:space="0" w:color="auto"/>
        <w:right w:val="none" w:sz="0" w:space="0" w:color="auto"/>
      </w:divBdr>
    </w:div>
    <w:div w:id="1711219150">
      <w:bodyDiv w:val="1"/>
      <w:marLeft w:val="0"/>
      <w:marRight w:val="0"/>
      <w:marTop w:val="0"/>
      <w:marBottom w:val="0"/>
      <w:divBdr>
        <w:top w:val="none" w:sz="0" w:space="0" w:color="auto"/>
        <w:left w:val="none" w:sz="0" w:space="0" w:color="auto"/>
        <w:bottom w:val="none" w:sz="0" w:space="0" w:color="auto"/>
        <w:right w:val="none" w:sz="0" w:space="0" w:color="auto"/>
      </w:divBdr>
    </w:div>
    <w:div w:id="1721517296">
      <w:bodyDiv w:val="1"/>
      <w:marLeft w:val="0"/>
      <w:marRight w:val="0"/>
      <w:marTop w:val="0"/>
      <w:marBottom w:val="0"/>
      <w:divBdr>
        <w:top w:val="none" w:sz="0" w:space="0" w:color="auto"/>
        <w:left w:val="none" w:sz="0" w:space="0" w:color="auto"/>
        <w:bottom w:val="none" w:sz="0" w:space="0" w:color="auto"/>
        <w:right w:val="none" w:sz="0" w:space="0" w:color="auto"/>
      </w:divBdr>
    </w:div>
    <w:div w:id="1729064269">
      <w:bodyDiv w:val="1"/>
      <w:marLeft w:val="0"/>
      <w:marRight w:val="0"/>
      <w:marTop w:val="0"/>
      <w:marBottom w:val="0"/>
      <w:divBdr>
        <w:top w:val="none" w:sz="0" w:space="0" w:color="auto"/>
        <w:left w:val="none" w:sz="0" w:space="0" w:color="auto"/>
        <w:bottom w:val="none" w:sz="0" w:space="0" w:color="auto"/>
        <w:right w:val="none" w:sz="0" w:space="0" w:color="auto"/>
      </w:divBdr>
    </w:div>
    <w:div w:id="1733042067">
      <w:bodyDiv w:val="1"/>
      <w:marLeft w:val="0"/>
      <w:marRight w:val="0"/>
      <w:marTop w:val="0"/>
      <w:marBottom w:val="0"/>
      <w:divBdr>
        <w:top w:val="none" w:sz="0" w:space="0" w:color="auto"/>
        <w:left w:val="none" w:sz="0" w:space="0" w:color="auto"/>
        <w:bottom w:val="none" w:sz="0" w:space="0" w:color="auto"/>
        <w:right w:val="none" w:sz="0" w:space="0" w:color="auto"/>
      </w:divBdr>
    </w:div>
    <w:div w:id="1767118997">
      <w:bodyDiv w:val="1"/>
      <w:marLeft w:val="0"/>
      <w:marRight w:val="0"/>
      <w:marTop w:val="0"/>
      <w:marBottom w:val="0"/>
      <w:divBdr>
        <w:top w:val="none" w:sz="0" w:space="0" w:color="auto"/>
        <w:left w:val="none" w:sz="0" w:space="0" w:color="auto"/>
        <w:bottom w:val="none" w:sz="0" w:space="0" w:color="auto"/>
        <w:right w:val="none" w:sz="0" w:space="0" w:color="auto"/>
      </w:divBdr>
    </w:div>
    <w:div w:id="1773894179">
      <w:bodyDiv w:val="1"/>
      <w:marLeft w:val="0"/>
      <w:marRight w:val="0"/>
      <w:marTop w:val="0"/>
      <w:marBottom w:val="0"/>
      <w:divBdr>
        <w:top w:val="none" w:sz="0" w:space="0" w:color="auto"/>
        <w:left w:val="none" w:sz="0" w:space="0" w:color="auto"/>
        <w:bottom w:val="none" w:sz="0" w:space="0" w:color="auto"/>
        <w:right w:val="none" w:sz="0" w:space="0" w:color="auto"/>
      </w:divBdr>
    </w:div>
    <w:div w:id="1796439135">
      <w:bodyDiv w:val="1"/>
      <w:marLeft w:val="0"/>
      <w:marRight w:val="0"/>
      <w:marTop w:val="0"/>
      <w:marBottom w:val="0"/>
      <w:divBdr>
        <w:top w:val="none" w:sz="0" w:space="0" w:color="auto"/>
        <w:left w:val="none" w:sz="0" w:space="0" w:color="auto"/>
        <w:bottom w:val="none" w:sz="0" w:space="0" w:color="auto"/>
        <w:right w:val="none" w:sz="0" w:space="0" w:color="auto"/>
      </w:divBdr>
    </w:div>
    <w:div w:id="1809202899">
      <w:bodyDiv w:val="1"/>
      <w:marLeft w:val="0"/>
      <w:marRight w:val="0"/>
      <w:marTop w:val="0"/>
      <w:marBottom w:val="0"/>
      <w:divBdr>
        <w:top w:val="none" w:sz="0" w:space="0" w:color="auto"/>
        <w:left w:val="none" w:sz="0" w:space="0" w:color="auto"/>
        <w:bottom w:val="none" w:sz="0" w:space="0" w:color="auto"/>
        <w:right w:val="none" w:sz="0" w:space="0" w:color="auto"/>
      </w:divBdr>
    </w:div>
    <w:div w:id="1814062076">
      <w:bodyDiv w:val="1"/>
      <w:marLeft w:val="0"/>
      <w:marRight w:val="0"/>
      <w:marTop w:val="0"/>
      <w:marBottom w:val="0"/>
      <w:divBdr>
        <w:top w:val="none" w:sz="0" w:space="0" w:color="auto"/>
        <w:left w:val="none" w:sz="0" w:space="0" w:color="auto"/>
        <w:bottom w:val="none" w:sz="0" w:space="0" w:color="auto"/>
        <w:right w:val="none" w:sz="0" w:space="0" w:color="auto"/>
      </w:divBdr>
    </w:div>
    <w:div w:id="1843659678">
      <w:bodyDiv w:val="1"/>
      <w:marLeft w:val="0"/>
      <w:marRight w:val="0"/>
      <w:marTop w:val="0"/>
      <w:marBottom w:val="0"/>
      <w:divBdr>
        <w:top w:val="none" w:sz="0" w:space="0" w:color="auto"/>
        <w:left w:val="none" w:sz="0" w:space="0" w:color="auto"/>
        <w:bottom w:val="none" w:sz="0" w:space="0" w:color="auto"/>
        <w:right w:val="none" w:sz="0" w:space="0" w:color="auto"/>
      </w:divBdr>
    </w:div>
    <w:div w:id="1850486362">
      <w:marLeft w:val="0"/>
      <w:marRight w:val="0"/>
      <w:marTop w:val="0"/>
      <w:marBottom w:val="0"/>
      <w:divBdr>
        <w:top w:val="none" w:sz="0" w:space="0" w:color="auto"/>
        <w:left w:val="none" w:sz="0" w:space="0" w:color="auto"/>
        <w:bottom w:val="none" w:sz="0" w:space="0" w:color="auto"/>
        <w:right w:val="none" w:sz="0" w:space="0" w:color="auto"/>
      </w:divBdr>
    </w:div>
    <w:div w:id="1876305653">
      <w:bodyDiv w:val="1"/>
      <w:marLeft w:val="0"/>
      <w:marRight w:val="0"/>
      <w:marTop w:val="0"/>
      <w:marBottom w:val="0"/>
      <w:divBdr>
        <w:top w:val="none" w:sz="0" w:space="0" w:color="auto"/>
        <w:left w:val="none" w:sz="0" w:space="0" w:color="auto"/>
        <w:bottom w:val="none" w:sz="0" w:space="0" w:color="auto"/>
        <w:right w:val="none" w:sz="0" w:space="0" w:color="auto"/>
      </w:divBdr>
    </w:div>
    <w:div w:id="1894388898">
      <w:bodyDiv w:val="1"/>
      <w:marLeft w:val="0"/>
      <w:marRight w:val="0"/>
      <w:marTop w:val="0"/>
      <w:marBottom w:val="0"/>
      <w:divBdr>
        <w:top w:val="none" w:sz="0" w:space="0" w:color="auto"/>
        <w:left w:val="none" w:sz="0" w:space="0" w:color="auto"/>
        <w:bottom w:val="none" w:sz="0" w:space="0" w:color="auto"/>
        <w:right w:val="none" w:sz="0" w:space="0" w:color="auto"/>
      </w:divBdr>
    </w:div>
    <w:div w:id="1900632421">
      <w:bodyDiv w:val="1"/>
      <w:marLeft w:val="0"/>
      <w:marRight w:val="0"/>
      <w:marTop w:val="0"/>
      <w:marBottom w:val="0"/>
      <w:divBdr>
        <w:top w:val="none" w:sz="0" w:space="0" w:color="auto"/>
        <w:left w:val="none" w:sz="0" w:space="0" w:color="auto"/>
        <w:bottom w:val="none" w:sz="0" w:space="0" w:color="auto"/>
        <w:right w:val="none" w:sz="0" w:space="0" w:color="auto"/>
      </w:divBdr>
    </w:div>
    <w:div w:id="1908882455">
      <w:bodyDiv w:val="1"/>
      <w:marLeft w:val="0"/>
      <w:marRight w:val="0"/>
      <w:marTop w:val="0"/>
      <w:marBottom w:val="0"/>
      <w:divBdr>
        <w:top w:val="none" w:sz="0" w:space="0" w:color="auto"/>
        <w:left w:val="none" w:sz="0" w:space="0" w:color="auto"/>
        <w:bottom w:val="none" w:sz="0" w:space="0" w:color="auto"/>
        <w:right w:val="none" w:sz="0" w:space="0" w:color="auto"/>
      </w:divBdr>
    </w:div>
    <w:div w:id="1930889603">
      <w:bodyDiv w:val="1"/>
      <w:marLeft w:val="0"/>
      <w:marRight w:val="0"/>
      <w:marTop w:val="0"/>
      <w:marBottom w:val="0"/>
      <w:divBdr>
        <w:top w:val="none" w:sz="0" w:space="0" w:color="auto"/>
        <w:left w:val="none" w:sz="0" w:space="0" w:color="auto"/>
        <w:bottom w:val="none" w:sz="0" w:space="0" w:color="auto"/>
        <w:right w:val="none" w:sz="0" w:space="0" w:color="auto"/>
      </w:divBdr>
    </w:div>
    <w:div w:id="1940260890">
      <w:bodyDiv w:val="1"/>
      <w:marLeft w:val="0"/>
      <w:marRight w:val="0"/>
      <w:marTop w:val="0"/>
      <w:marBottom w:val="0"/>
      <w:divBdr>
        <w:top w:val="none" w:sz="0" w:space="0" w:color="auto"/>
        <w:left w:val="none" w:sz="0" w:space="0" w:color="auto"/>
        <w:bottom w:val="none" w:sz="0" w:space="0" w:color="auto"/>
        <w:right w:val="none" w:sz="0" w:space="0" w:color="auto"/>
      </w:divBdr>
    </w:div>
    <w:div w:id="1954820029">
      <w:bodyDiv w:val="1"/>
      <w:marLeft w:val="0"/>
      <w:marRight w:val="0"/>
      <w:marTop w:val="0"/>
      <w:marBottom w:val="0"/>
      <w:divBdr>
        <w:top w:val="none" w:sz="0" w:space="0" w:color="auto"/>
        <w:left w:val="none" w:sz="0" w:space="0" w:color="auto"/>
        <w:bottom w:val="none" w:sz="0" w:space="0" w:color="auto"/>
        <w:right w:val="none" w:sz="0" w:space="0" w:color="auto"/>
      </w:divBdr>
    </w:div>
    <w:div w:id="1958485108">
      <w:bodyDiv w:val="1"/>
      <w:marLeft w:val="0"/>
      <w:marRight w:val="0"/>
      <w:marTop w:val="0"/>
      <w:marBottom w:val="0"/>
      <w:divBdr>
        <w:top w:val="none" w:sz="0" w:space="0" w:color="auto"/>
        <w:left w:val="none" w:sz="0" w:space="0" w:color="auto"/>
        <w:bottom w:val="none" w:sz="0" w:space="0" w:color="auto"/>
        <w:right w:val="none" w:sz="0" w:space="0" w:color="auto"/>
      </w:divBdr>
    </w:div>
    <w:div w:id="1962030364">
      <w:bodyDiv w:val="1"/>
      <w:marLeft w:val="0"/>
      <w:marRight w:val="0"/>
      <w:marTop w:val="0"/>
      <w:marBottom w:val="0"/>
      <w:divBdr>
        <w:top w:val="none" w:sz="0" w:space="0" w:color="auto"/>
        <w:left w:val="none" w:sz="0" w:space="0" w:color="auto"/>
        <w:bottom w:val="none" w:sz="0" w:space="0" w:color="auto"/>
        <w:right w:val="none" w:sz="0" w:space="0" w:color="auto"/>
      </w:divBdr>
    </w:div>
    <w:div w:id="1967588986">
      <w:bodyDiv w:val="1"/>
      <w:marLeft w:val="0"/>
      <w:marRight w:val="0"/>
      <w:marTop w:val="0"/>
      <w:marBottom w:val="0"/>
      <w:divBdr>
        <w:top w:val="none" w:sz="0" w:space="0" w:color="auto"/>
        <w:left w:val="none" w:sz="0" w:space="0" w:color="auto"/>
        <w:bottom w:val="none" w:sz="0" w:space="0" w:color="auto"/>
        <w:right w:val="none" w:sz="0" w:space="0" w:color="auto"/>
      </w:divBdr>
    </w:div>
    <w:div w:id="2022507697">
      <w:bodyDiv w:val="1"/>
      <w:marLeft w:val="0"/>
      <w:marRight w:val="0"/>
      <w:marTop w:val="0"/>
      <w:marBottom w:val="0"/>
      <w:divBdr>
        <w:top w:val="none" w:sz="0" w:space="0" w:color="auto"/>
        <w:left w:val="none" w:sz="0" w:space="0" w:color="auto"/>
        <w:bottom w:val="none" w:sz="0" w:space="0" w:color="auto"/>
        <w:right w:val="none" w:sz="0" w:space="0" w:color="auto"/>
      </w:divBdr>
    </w:div>
    <w:div w:id="2038968697">
      <w:bodyDiv w:val="1"/>
      <w:marLeft w:val="0"/>
      <w:marRight w:val="0"/>
      <w:marTop w:val="0"/>
      <w:marBottom w:val="0"/>
      <w:divBdr>
        <w:top w:val="none" w:sz="0" w:space="0" w:color="auto"/>
        <w:left w:val="none" w:sz="0" w:space="0" w:color="auto"/>
        <w:bottom w:val="none" w:sz="0" w:space="0" w:color="auto"/>
        <w:right w:val="none" w:sz="0" w:space="0" w:color="auto"/>
      </w:divBdr>
    </w:div>
    <w:div w:id="2057925696">
      <w:bodyDiv w:val="1"/>
      <w:marLeft w:val="0"/>
      <w:marRight w:val="0"/>
      <w:marTop w:val="0"/>
      <w:marBottom w:val="0"/>
      <w:divBdr>
        <w:top w:val="none" w:sz="0" w:space="0" w:color="auto"/>
        <w:left w:val="none" w:sz="0" w:space="0" w:color="auto"/>
        <w:bottom w:val="none" w:sz="0" w:space="0" w:color="auto"/>
        <w:right w:val="none" w:sz="0" w:space="0" w:color="auto"/>
      </w:divBdr>
    </w:div>
    <w:div w:id="2061241594">
      <w:bodyDiv w:val="1"/>
      <w:marLeft w:val="0"/>
      <w:marRight w:val="0"/>
      <w:marTop w:val="0"/>
      <w:marBottom w:val="0"/>
      <w:divBdr>
        <w:top w:val="none" w:sz="0" w:space="0" w:color="auto"/>
        <w:left w:val="none" w:sz="0" w:space="0" w:color="auto"/>
        <w:bottom w:val="none" w:sz="0" w:space="0" w:color="auto"/>
        <w:right w:val="none" w:sz="0" w:space="0" w:color="auto"/>
      </w:divBdr>
    </w:div>
    <w:div w:id="2081756216">
      <w:bodyDiv w:val="1"/>
      <w:marLeft w:val="0"/>
      <w:marRight w:val="0"/>
      <w:marTop w:val="0"/>
      <w:marBottom w:val="0"/>
      <w:divBdr>
        <w:top w:val="none" w:sz="0" w:space="0" w:color="auto"/>
        <w:left w:val="none" w:sz="0" w:space="0" w:color="auto"/>
        <w:bottom w:val="none" w:sz="0" w:space="0" w:color="auto"/>
        <w:right w:val="none" w:sz="0" w:space="0" w:color="auto"/>
      </w:divBdr>
      <w:divsChild>
        <w:div w:id="378020279">
          <w:marLeft w:val="0"/>
          <w:marRight w:val="0"/>
          <w:marTop w:val="0"/>
          <w:marBottom w:val="225"/>
          <w:divBdr>
            <w:top w:val="none" w:sz="0" w:space="0" w:color="auto"/>
            <w:left w:val="none" w:sz="0" w:space="0" w:color="auto"/>
            <w:bottom w:val="none" w:sz="0" w:space="0" w:color="auto"/>
            <w:right w:val="none" w:sz="0" w:space="0" w:color="auto"/>
          </w:divBdr>
          <w:divsChild>
            <w:div w:id="1355809996">
              <w:marLeft w:val="0"/>
              <w:marRight w:val="0"/>
              <w:marTop w:val="0"/>
              <w:marBottom w:val="0"/>
              <w:divBdr>
                <w:top w:val="none" w:sz="0" w:space="0" w:color="auto"/>
                <w:left w:val="none" w:sz="0" w:space="0" w:color="auto"/>
                <w:bottom w:val="none" w:sz="0" w:space="0" w:color="auto"/>
                <w:right w:val="none" w:sz="0" w:space="0" w:color="auto"/>
              </w:divBdr>
              <w:divsChild>
                <w:div w:id="484860810">
                  <w:marLeft w:val="3300"/>
                  <w:marRight w:val="0"/>
                  <w:marTop w:val="0"/>
                  <w:marBottom w:val="0"/>
                  <w:divBdr>
                    <w:top w:val="none" w:sz="0" w:space="0" w:color="auto"/>
                    <w:left w:val="none" w:sz="0" w:space="0" w:color="auto"/>
                    <w:bottom w:val="none" w:sz="0" w:space="0" w:color="auto"/>
                    <w:right w:val="none" w:sz="0" w:space="0" w:color="auto"/>
                  </w:divBdr>
                  <w:divsChild>
                    <w:div w:id="1944721680">
                      <w:marLeft w:val="450"/>
                      <w:marRight w:val="0"/>
                      <w:marTop w:val="225"/>
                      <w:marBottom w:val="0"/>
                      <w:divBdr>
                        <w:top w:val="none" w:sz="0" w:space="0" w:color="auto"/>
                        <w:left w:val="none" w:sz="0" w:space="0" w:color="auto"/>
                        <w:bottom w:val="none" w:sz="0" w:space="0" w:color="auto"/>
                        <w:right w:val="none" w:sz="0" w:space="0" w:color="auto"/>
                      </w:divBdr>
                      <w:divsChild>
                        <w:div w:id="1466310027">
                          <w:marLeft w:val="0"/>
                          <w:marRight w:val="0"/>
                          <w:marTop w:val="0"/>
                          <w:marBottom w:val="0"/>
                          <w:divBdr>
                            <w:top w:val="single" w:sz="2" w:space="0" w:color="999999"/>
                            <w:left w:val="single" w:sz="2" w:space="0" w:color="CCCCCC"/>
                            <w:bottom w:val="single" w:sz="2" w:space="0" w:color="CCCCCC"/>
                            <w:right w:val="single" w:sz="2" w:space="0" w:color="999999"/>
                          </w:divBdr>
                          <w:divsChild>
                            <w:div w:id="168744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987501">
      <w:bodyDiv w:val="1"/>
      <w:marLeft w:val="0"/>
      <w:marRight w:val="0"/>
      <w:marTop w:val="0"/>
      <w:marBottom w:val="0"/>
      <w:divBdr>
        <w:top w:val="none" w:sz="0" w:space="0" w:color="auto"/>
        <w:left w:val="none" w:sz="0" w:space="0" w:color="auto"/>
        <w:bottom w:val="none" w:sz="0" w:space="0" w:color="auto"/>
        <w:right w:val="none" w:sz="0" w:space="0" w:color="auto"/>
      </w:divBdr>
    </w:div>
    <w:div w:id="2084910804">
      <w:bodyDiv w:val="1"/>
      <w:marLeft w:val="0"/>
      <w:marRight w:val="0"/>
      <w:marTop w:val="0"/>
      <w:marBottom w:val="0"/>
      <w:divBdr>
        <w:top w:val="none" w:sz="0" w:space="0" w:color="auto"/>
        <w:left w:val="none" w:sz="0" w:space="0" w:color="auto"/>
        <w:bottom w:val="none" w:sz="0" w:space="0" w:color="auto"/>
        <w:right w:val="none" w:sz="0" w:space="0" w:color="auto"/>
      </w:divBdr>
    </w:div>
    <w:div w:id="2097094211">
      <w:bodyDiv w:val="1"/>
      <w:marLeft w:val="0"/>
      <w:marRight w:val="0"/>
      <w:marTop w:val="0"/>
      <w:marBottom w:val="0"/>
      <w:divBdr>
        <w:top w:val="none" w:sz="0" w:space="0" w:color="auto"/>
        <w:left w:val="none" w:sz="0" w:space="0" w:color="auto"/>
        <w:bottom w:val="none" w:sz="0" w:space="0" w:color="auto"/>
        <w:right w:val="none" w:sz="0" w:space="0" w:color="auto"/>
      </w:divBdr>
    </w:div>
    <w:div w:id="2099715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chart" Target="charts/chart6.xml"/><Relationship Id="rId47" Type="http://schemas.openxmlformats.org/officeDocument/2006/relationships/chart" Target="charts/chart11.xml"/><Relationship Id="rId63" Type="http://schemas.openxmlformats.org/officeDocument/2006/relationships/image" Target="media/image15.png"/><Relationship Id="rId68" Type="http://schemas.openxmlformats.org/officeDocument/2006/relationships/chart" Target="charts/chart21.xml"/><Relationship Id="rId84" Type="http://schemas.microsoft.com/office/2007/relationships/diagramDrawing" Target="diagrams/drawing5.xml"/><Relationship Id="rId89" Type="http://schemas.microsoft.com/office/2007/relationships/diagramDrawing" Target="diagrams/drawing6.xml"/><Relationship Id="rId16" Type="http://schemas.openxmlformats.org/officeDocument/2006/relationships/diagramData" Target="diagrams/data1.xml"/><Relationship Id="rId11" Type="http://schemas.openxmlformats.org/officeDocument/2006/relationships/image" Target="media/image1.jpeg"/><Relationship Id="rId32" Type="http://schemas.openxmlformats.org/officeDocument/2006/relationships/hyperlink" Target="https://florida.qlarant.com/Public2/qualityCouncil/index.html" TargetMode="External"/><Relationship Id="rId37" Type="http://schemas.openxmlformats.org/officeDocument/2006/relationships/chart" Target="charts/chart2.xml"/><Relationship Id="rId53" Type="http://schemas.openxmlformats.org/officeDocument/2006/relationships/diagramLayout" Target="diagrams/layout4.xml"/><Relationship Id="rId58" Type="http://schemas.microsoft.com/office/2007/relationships/hdphoto" Target="media/hdphoto1.wdp"/><Relationship Id="rId74" Type="http://schemas.openxmlformats.org/officeDocument/2006/relationships/image" Target="media/image21.jpeg"/><Relationship Id="rId79" Type="http://schemas.openxmlformats.org/officeDocument/2006/relationships/image" Target="media/image23.png"/><Relationship Id="rId5" Type="http://schemas.openxmlformats.org/officeDocument/2006/relationships/numbering" Target="numbering.xml"/><Relationship Id="rId90" Type="http://schemas.openxmlformats.org/officeDocument/2006/relationships/hyperlink" Target="mailto:APDProviderBilling@ahca.myflorida.com" TargetMode="Externa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chart" Target="charts/chart7.xml"/><Relationship Id="rId48" Type="http://schemas.openxmlformats.org/officeDocument/2006/relationships/chart" Target="charts/chart12.xml"/><Relationship Id="rId64" Type="http://schemas.openxmlformats.org/officeDocument/2006/relationships/image" Target="media/image16.jpeg"/><Relationship Id="rId69" Type="http://schemas.openxmlformats.org/officeDocument/2006/relationships/image" Target="media/image17.jpeg"/><Relationship Id="rId8" Type="http://schemas.openxmlformats.org/officeDocument/2006/relationships/webSettings" Target="webSettings.xml"/><Relationship Id="rId51" Type="http://schemas.openxmlformats.org/officeDocument/2006/relationships/image" Target="media/image13.jpeg"/><Relationship Id="rId72" Type="http://schemas.openxmlformats.org/officeDocument/2006/relationships/chart" Target="charts/chart22.xml"/><Relationship Id="rId80" Type="http://schemas.openxmlformats.org/officeDocument/2006/relationships/diagramData" Target="diagrams/data5.xml"/><Relationship Id="rId85" Type="http://schemas.openxmlformats.org/officeDocument/2006/relationships/diagramData" Target="diagrams/data6.xm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8.png"/><Relationship Id="rId38" Type="http://schemas.openxmlformats.org/officeDocument/2006/relationships/chart" Target="charts/chart3.xml"/><Relationship Id="rId46" Type="http://schemas.openxmlformats.org/officeDocument/2006/relationships/chart" Target="charts/chart10.xml"/><Relationship Id="rId59" Type="http://schemas.openxmlformats.org/officeDocument/2006/relationships/chart" Target="charts/chart14.xml"/><Relationship Id="rId67" Type="http://schemas.openxmlformats.org/officeDocument/2006/relationships/chart" Target="charts/chart20.xml"/><Relationship Id="rId20" Type="http://schemas.microsoft.com/office/2007/relationships/diagramDrawing" Target="diagrams/drawing1.xml"/><Relationship Id="rId41" Type="http://schemas.openxmlformats.org/officeDocument/2006/relationships/chart" Target="charts/chart5.xml"/><Relationship Id="rId54" Type="http://schemas.openxmlformats.org/officeDocument/2006/relationships/diagramQuickStyle" Target="diagrams/quickStyle4.xml"/><Relationship Id="rId62" Type="http://schemas.openxmlformats.org/officeDocument/2006/relationships/chart" Target="charts/chart17.xml"/><Relationship Id="rId70" Type="http://schemas.openxmlformats.org/officeDocument/2006/relationships/image" Target="media/image18.png"/><Relationship Id="rId75" Type="http://schemas.openxmlformats.org/officeDocument/2006/relationships/chart" Target="charts/chart23.xml"/><Relationship Id="rId83" Type="http://schemas.openxmlformats.org/officeDocument/2006/relationships/diagramColors" Target="diagrams/colors5.xml"/><Relationship Id="rId88" Type="http://schemas.openxmlformats.org/officeDocument/2006/relationships/diagramColors" Target="diagrams/colors6.xm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chart" Target="charts/chart1.xml"/><Relationship Id="rId49" Type="http://schemas.openxmlformats.org/officeDocument/2006/relationships/chart" Target="charts/chart13.xml"/><Relationship Id="rId57" Type="http://schemas.openxmlformats.org/officeDocument/2006/relationships/image" Target="media/image14.png"/><Relationship Id="rId10" Type="http://schemas.openxmlformats.org/officeDocument/2006/relationships/endnotes" Target="endnotes.xml"/><Relationship Id="rId31" Type="http://schemas.openxmlformats.org/officeDocument/2006/relationships/hyperlink" Target="https://florida.qlarant.com/Public2/resourceCenter/providers/discoveryReviewTools/index.html" TargetMode="External"/><Relationship Id="rId44" Type="http://schemas.openxmlformats.org/officeDocument/2006/relationships/chart" Target="charts/chart8.xml"/><Relationship Id="rId52" Type="http://schemas.openxmlformats.org/officeDocument/2006/relationships/diagramData" Target="diagrams/data4.xml"/><Relationship Id="rId60" Type="http://schemas.openxmlformats.org/officeDocument/2006/relationships/chart" Target="charts/chart15.xml"/><Relationship Id="rId65" Type="http://schemas.openxmlformats.org/officeDocument/2006/relationships/chart" Target="charts/chart18.xml"/><Relationship Id="rId73" Type="http://schemas.openxmlformats.org/officeDocument/2006/relationships/image" Target="media/image20.gif"/><Relationship Id="rId78" Type="http://schemas.openxmlformats.org/officeDocument/2006/relationships/chart" Target="charts/chart25.xml"/><Relationship Id="rId81" Type="http://schemas.openxmlformats.org/officeDocument/2006/relationships/diagramLayout" Target="diagrams/layout5.xml"/><Relationship Id="rId86" Type="http://schemas.openxmlformats.org/officeDocument/2006/relationships/diagramLayout" Target="diagrams/layout6.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diagramQuickStyle" Target="diagrams/quickStyle1.xml"/><Relationship Id="rId39" Type="http://schemas.openxmlformats.org/officeDocument/2006/relationships/image" Target="media/image11.png"/><Relationship Id="rId34"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diagramColors" Target="diagrams/colors4.xml"/><Relationship Id="rId76" Type="http://schemas.openxmlformats.org/officeDocument/2006/relationships/chart" Target="charts/chart24.xml"/><Relationship Id="rId7" Type="http://schemas.openxmlformats.org/officeDocument/2006/relationships/settings" Target="settings.xml"/><Relationship Id="rId71" Type="http://schemas.openxmlformats.org/officeDocument/2006/relationships/image" Target="media/image19.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chart" Target="charts/chart4.xml"/><Relationship Id="rId45" Type="http://schemas.openxmlformats.org/officeDocument/2006/relationships/chart" Target="charts/chart9.xml"/><Relationship Id="rId66" Type="http://schemas.openxmlformats.org/officeDocument/2006/relationships/chart" Target="charts/chart19.xml"/><Relationship Id="rId87" Type="http://schemas.openxmlformats.org/officeDocument/2006/relationships/diagramQuickStyle" Target="diagrams/quickStyle6.xml"/><Relationship Id="rId61" Type="http://schemas.openxmlformats.org/officeDocument/2006/relationships/chart" Target="charts/chart16.xml"/><Relationship Id="rId82" Type="http://schemas.openxmlformats.org/officeDocument/2006/relationships/diagramQuickStyle" Target="diagrams/quickStyle5.xml"/><Relationship Id="rId19" Type="http://schemas.openxmlformats.org/officeDocument/2006/relationships/diagramColors" Target="diagrams/colors1.xml"/><Relationship Id="rId14" Type="http://schemas.openxmlformats.org/officeDocument/2006/relationships/image" Target="media/image4.jpeg"/><Relationship Id="rId30" Type="http://schemas.microsoft.com/office/2007/relationships/diagramDrawing" Target="diagrams/drawing3.xml"/><Relationship Id="rId35" Type="http://schemas.openxmlformats.org/officeDocument/2006/relationships/image" Target="media/image10.jpg"/><Relationship Id="rId56" Type="http://schemas.microsoft.com/office/2007/relationships/diagramDrawing" Target="diagrams/drawing4.xml"/><Relationship Id="rId77" Type="http://schemas.openxmlformats.org/officeDocument/2006/relationships/image" Target="media/image22.jpeg"/></Relationships>
</file>

<file path=word/_rels/footer1.xml.rels><?xml version="1.0" encoding="UTF-8" standalone="yes"?>
<Relationships xmlns="http://schemas.openxmlformats.org/package/2006/relationships"><Relationship Id="rId1"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s://portal.qlarant.com/sites/PAV/archive/client/PDR%20Reports/Reports%20FY19/FSQAP%20FY19%20Annual%20Report%20version%201%20to%20post.docx" TargetMode="External"/><Relationship Id="rId2" Type="http://schemas.openxmlformats.org/officeDocument/2006/relationships/hyperlink" Target="https://florida.qlarant.com/Public2/resourceCenter/providers/discoveryReviewTools/index.html" TargetMode="External"/><Relationship Id="rId1" Type="http://schemas.openxmlformats.org/officeDocument/2006/relationships/hyperlink" Target="https://florida.qlarant.com/Public2/qualityCouncil/archive.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2. Distribution of PCRs </a:t>
            </a:r>
          </a:p>
          <a:p>
            <a:pPr>
              <a:defRPr sz="1100">
                <a:latin typeface="Franklin Gothic Medium" panose="020B0603020102020204" pitchFamily="34" charset="0"/>
              </a:defRPr>
            </a:pPr>
            <a:r>
              <a:rPr lang="en-US" sz="1100">
                <a:latin typeface="Franklin Gothic Medium" panose="020B0603020102020204" pitchFamily="34" charset="0"/>
              </a:rPr>
              <a:t>by Age</a:t>
            </a:r>
            <a:r>
              <a:rPr lang="en-US" sz="1100" baseline="0">
                <a:latin typeface="Franklin Gothic Medium" panose="020B0603020102020204" pitchFamily="34" charset="0"/>
              </a:rPr>
              <a:t> Group</a:t>
            </a:r>
          </a:p>
        </c:rich>
      </c:tx>
      <c:layout>
        <c:manualLayout>
          <c:xMode val="edge"/>
          <c:yMode val="edge"/>
          <c:x val="0.1522075634585412"/>
          <c:y val="4.4863167339614174E-3"/>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2295415260342391"/>
          <c:w val="0.84219035534465481"/>
          <c:h val="0.47053597494765009"/>
        </c:manualLayout>
      </c:layout>
      <c:barChart>
        <c:barDir val="col"/>
        <c:grouping val="clustered"/>
        <c:varyColors val="0"/>
        <c:ser>
          <c:idx val="0"/>
          <c:order val="0"/>
          <c:tx>
            <c:strRef>
              <c:f>Demographics!$H$3</c:f>
              <c:strCache>
                <c:ptCount val="1"/>
                <c:pt idx="0">
                  <c:v>Waiver (602)</c:v>
                </c:pt>
              </c:strCache>
            </c:strRef>
          </c:tx>
          <c:spPr>
            <a:solidFill>
              <a:schemeClr val="accent2">
                <a:lumMod val="75000"/>
              </a:schemeClr>
            </a:solidFill>
            <a:ln>
              <a:noFill/>
            </a:ln>
            <a:effectLst/>
            <a:scene3d>
              <a:camera prst="orthographicFront"/>
              <a:lightRig rig="threePt" dir="t"/>
            </a:scene3d>
            <a:sp3d>
              <a:bevelT prst="angle"/>
            </a:sp3d>
          </c:spPr>
          <c:invertIfNegative val="0"/>
          <c:dLbls>
            <c:dLbl>
              <c:idx val="0"/>
              <c:layout>
                <c:manualLayout>
                  <c:x val="-1.8656716417910446E-2"/>
                  <c:y val="1.6666666666666666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209-456C-A546-384BE97E99E4}"/>
                </c:ext>
              </c:extLst>
            </c:dLbl>
            <c:dLbl>
              <c:idx val="1"/>
              <c:layout>
                <c:manualLayout>
                  <c:x val="-7.4626865671642137E-3"/>
                  <c:y val="1.1111111111111112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209-456C-A546-384BE97E99E4}"/>
                </c:ext>
              </c:extLst>
            </c:dLbl>
            <c:dLbl>
              <c:idx val="2"/>
              <c:layout>
                <c:manualLayout>
                  <c:x val="-7.462686567164179E-3"/>
                  <c:y val="5.5555555555555558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209-456C-A546-384BE97E99E4}"/>
                </c:ext>
              </c:extLst>
            </c:dLbl>
            <c:dLbl>
              <c:idx val="4"/>
              <c:layout>
                <c:manualLayout>
                  <c:x val="-3.7313432835820895E-3"/>
                  <c:y val="1.1111111111111009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C209-456C-A546-384BE97E99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Demographics!$A$19:$A$23</c:f>
              <c:strCache>
                <c:ptCount val="5"/>
                <c:pt idx="0">
                  <c:v>&lt;18</c:v>
                </c:pt>
                <c:pt idx="1">
                  <c:v>18-21</c:v>
                </c:pt>
                <c:pt idx="2">
                  <c:v>22-44</c:v>
                </c:pt>
                <c:pt idx="3">
                  <c:v>45-65</c:v>
                </c:pt>
                <c:pt idx="4">
                  <c:v>65+</c:v>
                </c:pt>
              </c:strCache>
            </c:strRef>
          </c:cat>
          <c:val>
            <c:numRef>
              <c:f>Demographics!$C$19:$C$23</c:f>
              <c:numCache>
                <c:formatCode>0.0%</c:formatCode>
                <c:ptCount val="5"/>
                <c:pt idx="0">
                  <c:v>3.6544850498338874E-2</c:v>
                </c:pt>
                <c:pt idx="1">
                  <c:v>6.6445182724252497E-2</c:v>
                </c:pt>
                <c:pt idx="2">
                  <c:v>0.56976744186046513</c:v>
                </c:pt>
                <c:pt idx="3">
                  <c:v>0.27242524916943522</c:v>
                </c:pt>
                <c:pt idx="4">
                  <c:v>5.4817275747508304E-2</c:v>
                </c:pt>
              </c:numCache>
            </c:numRef>
          </c:val>
          <c:extLst>
            <c:ext xmlns:c16="http://schemas.microsoft.com/office/drawing/2014/chart" uri="{C3380CC4-5D6E-409C-BE32-E72D297353CC}">
              <c16:uniqueId val="{00000000-C209-456C-A546-384BE97E99E4}"/>
            </c:ext>
          </c:extLst>
        </c:ser>
        <c:ser>
          <c:idx val="1"/>
          <c:order val="1"/>
          <c:tx>
            <c:strRef>
              <c:f>Demographics!$J$3</c:f>
              <c:strCache>
                <c:ptCount val="1"/>
                <c:pt idx="0">
                  <c:v>CDC+ (72)</c:v>
                </c:pt>
              </c:strCache>
            </c:strRef>
          </c:tx>
          <c:spPr>
            <a:solidFill>
              <a:schemeClr val="bg1">
                <a:lumMod val="85000"/>
              </a:schemeClr>
            </a:solidFill>
            <a:ln>
              <a:noFill/>
            </a:ln>
            <a:effectLst/>
            <a:scene3d>
              <a:camera prst="orthographicFront"/>
              <a:lightRig rig="threePt" dir="t"/>
            </a:scene3d>
            <a:sp3d>
              <a:bevelT prst="angle"/>
            </a:sp3d>
          </c:spPr>
          <c:invertIfNegative val="0"/>
          <c:dLbls>
            <c:dLbl>
              <c:idx val="0"/>
              <c:layout>
                <c:manualLayout>
                  <c:x val="1.7660044150110375E-2"/>
                  <c:y val="-1.0185067526415994E-16"/>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209-456C-A546-384BE97E99E4}"/>
                </c:ext>
              </c:extLst>
            </c:dLbl>
            <c:dLbl>
              <c:idx val="1"/>
              <c:layout>
                <c:manualLayout>
                  <c:x val="2.6490066225165563E-2"/>
                  <c:y val="-5.5555555555556572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209-456C-A546-384BE97E99E4}"/>
                </c:ext>
              </c:extLst>
            </c:dLbl>
            <c:dLbl>
              <c:idx val="2"/>
              <c:layout>
                <c:manualLayout>
                  <c:x val="4.7093451066961001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209-456C-A546-384BE97E99E4}"/>
                </c:ext>
              </c:extLst>
            </c:dLbl>
            <c:dLbl>
              <c:idx val="3"/>
              <c:layout>
                <c:manualLayout>
                  <c:x val="3.3582089552238806E-2"/>
                  <c:y val="1.1111111111111112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209-456C-A546-384BE97E99E4}"/>
                </c:ext>
              </c:extLst>
            </c:dLbl>
            <c:dLbl>
              <c:idx val="4"/>
              <c:layout>
                <c:manualLayout>
                  <c:x val="2.0603384841795438E-2"/>
                  <c:y val="-1.0185067526415994E-16"/>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209-456C-A546-384BE97E99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Demographics!$A$19:$A$23</c:f>
              <c:strCache>
                <c:ptCount val="5"/>
                <c:pt idx="0">
                  <c:v>&lt;18</c:v>
                </c:pt>
                <c:pt idx="1">
                  <c:v>18-21</c:v>
                </c:pt>
                <c:pt idx="2">
                  <c:v>22-44</c:v>
                </c:pt>
                <c:pt idx="3">
                  <c:v>45-65</c:v>
                </c:pt>
                <c:pt idx="4">
                  <c:v>65+</c:v>
                </c:pt>
              </c:strCache>
            </c:strRef>
          </c:cat>
          <c:val>
            <c:numRef>
              <c:f>Demographics!$E$19:$E$23</c:f>
              <c:numCache>
                <c:formatCode>0.0%</c:formatCode>
                <c:ptCount val="5"/>
                <c:pt idx="0">
                  <c:v>5.5555555555555552E-2</c:v>
                </c:pt>
                <c:pt idx="1">
                  <c:v>0.1111111111111111</c:v>
                </c:pt>
                <c:pt idx="2">
                  <c:v>0.72222222222222221</c:v>
                </c:pt>
                <c:pt idx="3">
                  <c:v>0.1111111111111111</c:v>
                </c:pt>
                <c:pt idx="4">
                  <c:v>0</c:v>
                </c:pt>
              </c:numCache>
            </c:numRef>
          </c:val>
          <c:extLst>
            <c:ext xmlns:c16="http://schemas.microsoft.com/office/drawing/2014/chart" uri="{C3380CC4-5D6E-409C-BE32-E72D297353CC}">
              <c16:uniqueId val="{00000005-C209-456C-A546-384BE97E99E4}"/>
            </c:ext>
          </c:extLst>
        </c:ser>
        <c:dLbls>
          <c:dLblPos val="outEnd"/>
          <c:showLegendKey val="0"/>
          <c:showVal val="1"/>
          <c:showCatName val="0"/>
          <c:showSerName val="0"/>
          <c:showPercent val="0"/>
          <c:showBubbleSize val="0"/>
        </c:dLbls>
        <c:gapWidth val="219"/>
        <c:overlap val="-27"/>
        <c:axId val="582154400"/>
        <c:axId val="582154944"/>
      </c:barChart>
      <c:catAx>
        <c:axId val="58215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2154944"/>
        <c:crosses val="autoZero"/>
        <c:auto val="1"/>
        <c:lblAlgn val="ctr"/>
        <c:lblOffset val="100"/>
        <c:noMultiLvlLbl val="0"/>
      </c:catAx>
      <c:valAx>
        <c:axId val="5821549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2154400"/>
        <c:crosses val="autoZero"/>
        <c:crossBetween val="between"/>
        <c:minorUnit val="0.25"/>
      </c:valAx>
      <c:spPr>
        <a:noFill/>
        <a:ln>
          <a:noFill/>
        </a:ln>
        <a:effectLst/>
      </c:spPr>
    </c:plotArea>
    <c:legend>
      <c:legendPos val="r"/>
      <c:layout>
        <c:manualLayout>
          <c:xMode val="edge"/>
          <c:yMode val="edge"/>
          <c:x val="0.23904700654140085"/>
          <c:y val="0.91522400724182618"/>
          <c:w val="0.59575991680285245"/>
          <c:h val="8.206240824324806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7a. PCR</a:t>
            </a:r>
            <a:r>
              <a:rPr lang="en-US" sz="1100" b="0" baseline="0">
                <a:latin typeface="Franklin Gothic Medium" panose="020B0603020102020204" pitchFamily="34" charset="0"/>
              </a:rPr>
              <a:t> My Life Interview</a:t>
            </a:r>
          </a:p>
          <a:p>
            <a:pPr algn="ctr">
              <a:defRPr sz="1100">
                <a:latin typeface="Franklin Gothic Medium" panose="020B0603020102020204" pitchFamily="34" charset="0"/>
              </a:defRPr>
            </a:pPr>
            <a:r>
              <a:rPr lang="en-US" sz="1100" b="0" baseline="0">
                <a:latin typeface="Franklin Gothic Medium" panose="020B0603020102020204" pitchFamily="34" charset="0"/>
              </a:rPr>
              <a:t>by Disability (Waiver)</a:t>
            </a:r>
            <a:endParaRPr lang="en-US" sz="1100" b="0">
              <a:latin typeface="Franklin Gothic Medium" panose="020B0603020102020204" pitchFamily="34" charset="0"/>
            </a:endParaRPr>
          </a:p>
        </c:rich>
      </c:tx>
      <c:layout>
        <c:manualLayout>
          <c:xMode val="edge"/>
          <c:yMode val="edge"/>
          <c:x val="0.20920551659017608"/>
          <c:y val="4.4510385756676561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9197032662583844"/>
          <c:w val="0.87232174103237092"/>
          <c:h val="0.37282101606735357"/>
        </c:manualLayout>
      </c:layout>
      <c:barChart>
        <c:barDir val="col"/>
        <c:grouping val="clustered"/>
        <c:varyColors val="0"/>
        <c:ser>
          <c:idx val="0"/>
          <c:order val="0"/>
          <c:tx>
            <c:strRef>
              <c:f>'Individual Interview'!$L$55</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Interview'!$K$56:$K$59</c:f>
              <c:strCache>
                <c:ptCount val="4"/>
                <c:pt idx="0">
                  <c:v>Autism
 (81)</c:v>
                </c:pt>
                <c:pt idx="1">
                  <c:v>Cerebral
 Palsy
 (60)</c:v>
                </c:pt>
                <c:pt idx="2">
                  <c:v>Intellectual 
Disability
 (425)</c:v>
                </c:pt>
                <c:pt idx="3">
                  <c:v>Other
 (36)</c:v>
                </c:pt>
              </c:strCache>
            </c:strRef>
          </c:cat>
          <c:val>
            <c:numRef>
              <c:f>'Individual Interview'!$L$56:$L$59</c:f>
              <c:numCache>
                <c:formatCode>0.0%</c:formatCode>
                <c:ptCount val="4"/>
                <c:pt idx="0">
                  <c:v>0.86787999999999998</c:v>
                </c:pt>
                <c:pt idx="1">
                  <c:v>0.90127999999999997</c:v>
                </c:pt>
                <c:pt idx="2">
                  <c:v>0.89668999999999999</c:v>
                </c:pt>
                <c:pt idx="3">
                  <c:v>0.89251999999999998</c:v>
                </c:pt>
              </c:numCache>
            </c:numRef>
          </c:val>
          <c:extLst>
            <c:ext xmlns:c16="http://schemas.microsoft.com/office/drawing/2014/chart" uri="{C3380CC4-5D6E-409C-BE32-E72D297353CC}">
              <c16:uniqueId val="{00000000-C9A5-4EAA-B7DA-E727D719B8E2}"/>
            </c:ext>
          </c:extLst>
        </c:ser>
        <c:ser>
          <c:idx val="1"/>
          <c:order val="1"/>
          <c:tx>
            <c:strRef>
              <c:f>'Individual Interview'!$M$55</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Interview'!$K$56:$K$59</c:f>
              <c:strCache>
                <c:ptCount val="4"/>
                <c:pt idx="0">
                  <c:v>Autism
 (81)</c:v>
                </c:pt>
                <c:pt idx="1">
                  <c:v>Cerebral
 Palsy
 (60)</c:v>
                </c:pt>
                <c:pt idx="2">
                  <c:v>Intellectual 
Disability
 (425)</c:v>
                </c:pt>
                <c:pt idx="3">
                  <c:v>Other
 (36)</c:v>
                </c:pt>
              </c:strCache>
            </c:strRef>
          </c:cat>
          <c:val>
            <c:numRef>
              <c:f>'Individual Interview'!$M$56:$M$59</c:f>
              <c:numCache>
                <c:formatCode>0.0%</c:formatCode>
                <c:ptCount val="4"/>
                <c:pt idx="0">
                  <c:v>0.98090999999999995</c:v>
                </c:pt>
                <c:pt idx="1">
                  <c:v>0.97746</c:v>
                </c:pt>
                <c:pt idx="2">
                  <c:v>0.97785999999999995</c:v>
                </c:pt>
                <c:pt idx="3">
                  <c:v>0.99655000000000005</c:v>
                </c:pt>
              </c:numCache>
            </c:numRef>
          </c:val>
          <c:extLst>
            <c:ext xmlns:c16="http://schemas.microsoft.com/office/drawing/2014/chart" uri="{C3380CC4-5D6E-409C-BE32-E72D297353CC}">
              <c16:uniqueId val="{00000001-C9A5-4EAA-B7DA-E727D719B8E2}"/>
            </c:ext>
          </c:extLst>
        </c:ser>
        <c:dLbls>
          <c:showLegendKey val="0"/>
          <c:showVal val="0"/>
          <c:showCatName val="0"/>
          <c:showSerName val="0"/>
          <c:showPercent val="0"/>
          <c:showBubbleSize val="0"/>
        </c:dLbls>
        <c:gapWidth val="219"/>
        <c:overlap val="-27"/>
        <c:axId val="583926288"/>
        <c:axId val="583930640"/>
      </c:barChart>
      <c:catAx>
        <c:axId val="58392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0640"/>
        <c:crosses val="autoZero"/>
        <c:auto val="1"/>
        <c:lblAlgn val="ctr"/>
        <c:lblOffset val="100"/>
        <c:noMultiLvlLbl val="0"/>
      </c:catAx>
      <c:valAx>
        <c:axId val="583930640"/>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6288"/>
        <c:crosses val="autoZero"/>
        <c:crossBetween val="between"/>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6b. PCR</a:t>
            </a:r>
            <a:r>
              <a:rPr lang="en-US" sz="1100" b="0" baseline="0">
                <a:latin typeface="Franklin Gothic Medium" panose="020B0603020102020204" pitchFamily="34" charset="0"/>
              </a:rPr>
              <a:t> My Life Interview</a:t>
            </a:r>
          </a:p>
          <a:p>
            <a:pPr algn="ctr">
              <a:defRPr sz="1100">
                <a:latin typeface="Franklin Gothic Medium" panose="020B0603020102020204" pitchFamily="34" charset="0"/>
              </a:defRPr>
            </a:pPr>
            <a:r>
              <a:rPr lang="en-US" sz="1100" b="0" baseline="0">
                <a:latin typeface="Franklin Gothic Medium" panose="020B0603020102020204" pitchFamily="34" charset="0"/>
              </a:rPr>
              <a:t>by Residential Status (CDC+)</a:t>
            </a:r>
            <a:endParaRPr lang="en-US" sz="1100" b="0">
              <a:latin typeface="Franklin Gothic Medium" panose="020B0603020102020204" pitchFamily="34" charset="0"/>
            </a:endParaRPr>
          </a:p>
        </c:rich>
      </c:tx>
      <c:layout>
        <c:manualLayout>
          <c:xMode val="edge"/>
          <c:yMode val="edge"/>
          <c:x val="0.24860449631211229"/>
          <c:y val="1.6626407754807542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866639696608957"/>
          <c:y val="0.29197036914955904"/>
          <c:w val="0.87232174103237092"/>
          <c:h val="0.353586598487938"/>
        </c:manualLayout>
      </c:layout>
      <c:barChart>
        <c:barDir val="col"/>
        <c:grouping val="clustered"/>
        <c:varyColors val="0"/>
        <c:ser>
          <c:idx val="0"/>
          <c:order val="0"/>
          <c:tx>
            <c:strRef>
              <c:f>'Individual Interview'!$L$40</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Interview'!$K$41:$K$42</c:f>
              <c:strCache>
                <c:ptCount val="2"/>
                <c:pt idx="0">
                  <c:v>Family 
Home 
(37)</c:v>
                </c:pt>
                <c:pt idx="1">
                  <c:v>Independent 
or Supported (4))
</c:v>
                </c:pt>
              </c:strCache>
            </c:strRef>
          </c:cat>
          <c:val>
            <c:numRef>
              <c:f>'Individual Interview'!$L$41:$L$42</c:f>
              <c:numCache>
                <c:formatCode>0.0%</c:formatCode>
                <c:ptCount val="2"/>
                <c:pt idx="0">
                  <c:v>0.91452999999999995</c:v>
                </c:pt>
                <c:pt idx="1">
                  <c:v>0.97655999999999998</c:v>
                </c:pt>
              </c:numCache>
            </c:numRef>
          </c:val>
          <c:extLst>
            <c:ext xmlns:c16="http://schemas.microsoft.com/office/drawing/2014/chart" uri="{C3380CC4-5D6E-409C-BE32-E72D297353CC}">
              <c16:uniqueId val="{00000000-B127-4EC0-860F-A06BD97B46CE}"/>
            </c:ext>
          </c:extLst>
        </c:ser>
        <c:ser>
          <c:idx val="1"/>
          <c:order val="1"/>
          <c:tx>
            <c:strRef>
              <c:f>'Individual Interview'!$M$40</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Interview'!$K$41:$K$42</c:f>
              <c:strCache>
                <c:ptCount val="2"/>
                <c:pt idx="0">
                  <c:v>Family 
Home 
(37)</c:v>
                </c:pt>
                <c:pt idx="1">
                  <c:v>Independent 
or Supported (4))
</c:v>
                </c:pt>
              </c:strCache>
            </c:strRef>
          </c:cat>
          <c:val>
            <c:numRef>
              <c:f>'Individual Interview'!$M$41:$M$42</c:f>
              <c:numCache>
                <c:formatCode>0.0%</c:formatCode>
                <c:ptCount val="2"/>
                <c:pt idx="0">
                  <c:v>0.99287999999999998</c:v>
                </c:pt>
                <c:pt idx="1">
                  <c:v>1</c:v>
                </c:pt>
              </c:numCache>
            </c:numRef>
          </c:val>
          <c:extLst>
            <c:ext xmlns:c16="http://schemas.microsoft.com/office/drawing/2014/chart" uri="{C3380CC4-5D6E-409C-BE32-E72D297353CC}">
              <c16:uniqueId val="{00000001-B127-4EC0-860F-A06BD97B46CE}"/>
            </c:ext>
          </c:extLst>
        </c:ser>
        <c:dLbls>
          <c:showLegendKey val="0"/>
          <c:showVal val="0"/>
          <c:showCatName val="0"/>
          <c:showSerName val="0"/>
          <c:showPercent val="0"/>
          <c:showBubbleSize val="0"/>
        </c:dLbls>
        <c:gapWidth val="223"/>
        <c:overlap val="-27"/>
        <c:axId val="583929552"/>
        <c:axId val="583933360"/>
      </c:barChart>
      <c:catAx>
        <c:axId val="583929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3360"/>
        <c:crosses val="autoZero"/>
        <c:auto val="1"/>
        <c:lblAlgn val="ctr"/>
        <c:lblOffset val="100"/>
        <c:noMultiLvlLbl val="0"/>
      </c:catAx>
      <c:valAx>
        <c:axId val="583933360"/>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9552"/>
        <c:crosses val="autoZero"/>
        <c:crossBetween val="between"/>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6a. PCR</a:t>
            </a:r>
            <a:r>
              <a:rPr lang="en-US" sz="1100" b="0" baseline="0">
                <a:latin typeface="Franklin Gothic Medium" panose="020B0603020102020204" pitchFamily="34" charset="0"/>
              </a:rPr>
              <a:t> My Life Interview</a:t>
            </a:r>
          </a:p>
          <a:p>
            <a:pPr algn="ctr">
              <a:defRPr sz="1100">
                <a:latin typeface="Franklin Gothic Medium" panose="020B0603020102020204" pitchFamily="34" charset="0"/>
              </a:defRPr>
            </a:pPr>
            <a:r>
              <a:rPr lang="en-US" sz="1100" b="0" baseline="0">
                <a:latin typeface="Franklin Gothic Medium" panose="020B0603020102020204" pitchFamily="34" charset="0"/>
              </a:rPr>
              <a:t>by Residential Status (Waiver) </a:t>
            </a:r>
            <a:endParaRPr lang="en-US" sz="1100" b="0">
              <a:latin typeface="Franklin Gothic Medium" panose="020B0603020102020204" pitchFamily="34" charset="0"/>
            </a:endParaRPr>
          </a:p>
        </c:rich>
      </c:tx>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9197032662583844"/>
          <c:w val="0.87232174103237092"/>
          <c:h val="0.3713545117205177"/>
        </c:manualLayout>
      </c:layout>
      <c:barChart>
        <c:barDir val="col"/>
        <c:grouping val="clustered"/>
        <c:varyColors val="0"/>
        <c:ser>
          <c:idx val="0"/>
          <c:order val="0"/>
          <c:tx>
            <c:strRef>
              <c:f>'Individual Interview'!$L$34</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dLbl>
              <c:idx val="2"/>
              <c:layout>
                <c:manualLayout>
                  <c:x val="-1.973164956590371E-2"/>
                  <c:y val="1.63800163800163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894-4CBC-9676-5DD6F700D4BE}"/>
                </c:ext>
              </c:extLst>
            </c:dLbl>
            <c:dLbl>
              <c:idx val="3"/>
              <c:layout>
                <c:manualLayout>
                  <c:x val="-1.5785319652722968E-2"/>
                  <c:y val="1.092001092001092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894-4CBC-9676-5DD6F700D4B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Interview'!$K$35:$K$38</c:f>
              <c:strCache>
                <c:ptCount val="4"/>
                <c:pt idx="0">
                  <c:v>Family 
Home 
(142)</c:v>
                </c:pt>
                <c:pt idx="1">
                  <c:v>Group 
Home  
(96)</c:v>
                </c:pt>
                <c:pt idx="2">
                  <c:v>Independent 
or Supported 
(33)
</c:v>
                </c:pt>
                <c:pt idx="3">
                  <c:v>Other 
(9)</c:v>
                </c:pt>
              </c:strCache>
            </c:strRef>
          </c:cat>
          <c:val>
            <c:numRef>
              <c:f>'Individual Interview'!$L$35:$L$38</c:f>
              <c:numCache>
                <c:formatCode>0.0%</c:formatCode>
                <c:ptCount val="4"/>
                <c:pt idx="0">
                  <c:v>0.89685000000000004</c:v>
                </c:pt>
                <c:pt idx="1">
                  <c:v>0.86782999999999999</c:v>
                </c:pt>
                <c:pt idx="2">
                  <c:v>0.93408999999999998</c:v>
                </c:pt>
                <c:pt idx="3">
                  <c:v>0.95160999999999996</c:v>
                </c:pt>
              </c:numCache>
            </c:numRef>
          </c:val>
          <c:extLst>
            <c:ext xmlns:c16="http://schemas.microsoft.com/office/drawing/2014/chart" uri="{C3380CC4-5D6E-409C-BE32-E72D297353CC}">
              <c16:uniqueId val="{00000000-7894-4CBC-9676-5DD6F700D4BE}"/>
            </c:ext>
          </c:extLst>
        </c:ser>
        <c:ser>
          <c:idx val="1"/>
          <c:order val="1"/>
          <c:tx>
            <c:strRef>
              <c:f>'Individual Interview'!$M$34</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Interview'!$K$35:$K$38</c:f>
              <c:strCache>
                <c:ptCount val="4"/>
                <c:pt idx="0">
                  <c:v>Family 
Home 
(142)</c:v>
                </c:pt>
                <c:pt idx="1">
                  <c:v>Group 
Home  
(96)</c:v>
                </c:pt>
                <c:pt idx="2">
                  <c:v>Independent 
or Supported 
(33)
</c:v>
                </c:pt>
                <c:pt idx="3">
                  <c:v>Other 
(9)</c:v>
                </c:pt>
              </c:strCache>
            </c:strRef>
          </c:cat>
          <c:val>
            <c:numRef>
              <c:f>'Individual Interview'!$M$35:$M$38</c:f>
              <c:numCache>
                <c:formatCode>0.0%</c:formatCode>
                <c:ptCount val="4"/>
                <c:pt idx="0">
                  <c:v>0.98628000000000005</c:v>
                </c:pt>
                <c:pt idx="1">
                  <c:v>0.96799000000000002</c:v>
                </c:pt>
                <c:pt idx="2">
                  <c:v>0.98173999999999995</c:v>
                </c:pt>
                <c:pt idx="3">
                  <c:v>0.99380999999999997</c:v>
                </c:pt>
              </c:numCache>
            </c:numRef>
          </c:val>
          <c:extLst>
            <c:ext xmlns:c16="http://schemas.microsoft.com/office/drawing/2014/chart" uri="{C3380CC4-5D6E-409C-BE32-E72D297353CC}">
              <c16:uniqueId val="{00000001-7894-4CBC-9676-5DD6F700D4BE}"/>
            </c:ext>
          </c:extLst>
        </c:ser>
        <c:dLbls>
          <c:showLegendKey val="0"/>
          <c:showVal val="0"/>
          <c:showCatName val="0"/>
          <c:showSerName val="0"/>
          <c:showPercent val="0"/>
          <c:showBubbleSize val="0"/>
        </c:dLbls>
        <c:gapWidth val="219"/>
        <c:overlap val="-27"/>
        <c:axId val="582150592"/>
        <c:axId val="583922480"/>
      </c:barChart>
      <c:catAx>
        <c:axId val="58215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3922480"/>
        <c:crosses val="autoZero"/>
        <c:auto val="1"/>
        <c:lblAlgn val="ctr"/>
        <c:lblOffset val="100"/>
        <c:noMultiLvlLbl val="0"/>
      </c:catAx>
      <c:valAx>
        <c:axId val="583922480"/>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2150592"/>
        <c:crosses val="autoZero"/>
        <c:crossBetween val="between"/>
        <c:minorUnit val="0.1"/>
      </c:valAx>
      <c:spPr>
        <a:noFill/>
        <a:ln>
          <a:noFill/>
        </a:ln>
        <a:effectLst/>
      </c:spPr>
    </c:plotArea>
    <c:legend>
      <c:legendPos val="b"/>
      <c:layout>
        <c:manualLayout>
          <c:xMode val="edge"/>
          <c:yMode val="edge"/>
          <c:x val="0.23556575455692347"/>
          <c:y val="0.89464554031483168"/>
          <c:w val="0.52886818015151416"/>
          <c:h val="0.10535445968516835"/>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Franklin Gothic Medium" panose="020B0603020102020204" pitchFamily="34" charset="0"/>
                <a:ea typeface="+mn-ea"/>
                <a:cs typeface="+mn-cs"/>
              </a:defRPr>
            </a:pPr>
            <a:r>
              <a:rPr lang="en-US" sz="1100">
                <a:latin typeface="Franklin Gothic Medium" panose="020B0603020102020204" pitchFamily="34" charset="0"/>
              </a:rPr>
              <a:t>Figure 9. Satisfaction: Percent Agree or Strongly Angree</a:t>
            </a:r>
          </a:p>
        </c:rich>
      </c:tx>
      <c:layout>
        <c:manualLayout>
          <c:xMode val="edge"/>
          <c:yMode val="edge"/>
          <c:x val="0.2401966243444473"/>
          <c:y val="5.304768979349279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53872222222222221"/>
          <c:y val="0.13661141804788213"/>
          <c:w val="0.4059652230971128"/>
          <c:h val="0.69368918664172508"/>
        </c:manualLayout>
      </c:layout>
      <c:barChart>
        <c:barDir val="bar"/>
        <c:grouping val="clustered"/>
        <c:varyColors val="0"/>
        <c:ser>
          <c:idx val="1"/>
          <c:order val="0"/>
          <c:tx>
            <c:strRef>
              <c:f>'Individual Interview'!$Z$332</c:f>
              <c:strCache>
                <c:ptCount val="1"/>
                <c:pt idx="0">
                  <c:v>CDC+</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alibri "/>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Interview'!$X$333:$X$342</c:f>
              <c:strCache>
                <c:ptCount val="10"/>
                <c:pt idx="0">
                  <c:v>Total</c:v>
                </c:pt>
                <c:pt idx="1">
                  <c:v>I am in good health.</c:v>
                </c:pt>
                <c:pt idx="2">
                  <c:v>I am happy with how much involvement I have in my community.</c:v>
                </c:pt>
                <c:pt idx="3">
                  <c:v>My day activity is meaningful to me.</c:v>
                </c:pt>
                <c:pt idx="4">
                  <c:v>I am satisfied with service providers who support me in my desired day activity.</c:v>
                </c:pt>
                <c:pt idx="5">
                  <c:v>I am happy with where I live.</c:v>
                </c:pt>
                <c:pt idx="6">
                  <c:v>I am satisfied with services received in my home.</c:v>
                </c:pt>
                <c:pt idx="7">
                  <c:v>I am satisfied with Waiver Support Coordinator (WSC).</c:v>
                </c:pt>
                <c:pt idx="8">
                  <c:v>I am satisfied with my service providers.</c:v>
                </c:pt>
                <c:pt idx="9">
                  <c:v>I am satisfied with approved services.</c:v>
                </c:pt>
              </c:strCache>
            </c:strRef>
          </c:cat>
          <c:val>
            <c:numRef>
              <c:f>'Individual Interview'!$Z$333:$Z$342</c:f>
              <c:numCache>
                <c:formatCode>0.0%</c:formatCode>
                <c:ptCount val="10"/>
                <c:pt idx="0">
                  <c:v>0.98154362416107377</c:v>
                </c:pt>
                <c:pt idx="1">
                  <c:v>0.97142857142857153</c:v>
                </c:pt>
                <c:pt idx="2">
                  <c:v>0.88059701492537323</c:v>
                </c:pt>
                <c:pt idx="3">
                  <c:v>1</c:v>
                </c:pt>
                <c:pt idx="4">
                  <c:v>1</c:v>
                </c:pt>
                <c:pt idx="5">
                  <c:v>0.98550724637681164</c:v>
                </c:pt>
                <c:pt idx="6">
                  <c:v>1</c:v>
                </c:pt>
                <c:pt idx="7">
                  <c:v>1</c:v>
                </c:pt>
                <c:pt idx="8">
                  <c:v>1</c:v>
                </c:pt>
                <c:pt idx="9">
                  <c:v>1</c:v>
                </c:pt>
              </c:numCache>
            </c:numRef>
          </c:val>
          <c:extLst>
            <c:ext xmlns:c16="http://schemas.microsoft.com/office/drawing/2014/chart" uri="{C3380CC4-5D6E-409C-BE32-E72D297353CC}">
              <c16:uniqueId val="{00000000-4116-45D1-A854-74087472EDD4}"/>
            </c:ext>
          </c:extLst>
        </c:ser>
        <c:ser>
          <c:idx val="0"/>
          <c:order val="1"/>
          <c:tx>
            <c:strRef>
              <c:f>'Individual Interview'!$Y$332</c:f>
              <c:strCache>
                <c:ptCount val="1"/>
                <c:pt idx="0">
                  <c:v>Waiver </c:v>
                </c:pt>
              </c:strCache>
            </c:strRef>
          </c:tx>
          <c:spPr>
            <a:solidFill>
              <a:schemeClr val="accent5">
                <a:lumMod val="50000"/>
              </a:schemeClr>
            </a:solidFill>
            <a:ln>
              <a:noFill/>
            </a:ln>
            <a:effectLst/>
          </c:spPr>
          <c:invertIfNegative val="0"/>
          <c:dLbls>
            <c:dLbl>
              <c:idx val="7"/>
              <c:layout>
                <c:manualLayout>
                  <c:x val="-5.5734190782422297E-2"/>
                  <c:y val="-1.6322970119712794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8.0833333333333326E-2"/>
                      <c:h val="4.1714785651793526E-2"/>
                    </c:manualLayout>
                  </c15:layout>
                </c:ext>
                <c:ext xmlns:c16="http://schemas.microsoft.com/office/drawing/2014/chart" uri="{C3380CC4-5D6E-409C-BE32-E72D297353CC}">
                  <c16:uniqueId val="{00000001-4116-45D1-A854-74087472EDD4}"/>
                </c:ext>
              </c:extLst>
            </c:dLbl>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Calibri "/>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Interview'!$X$333:$X$342</c:f>
              <c:strCache>
                <c:ptCount val="10"/>
                <c:pt idx="0">
                  <c:v>Total</c:v>
                </c:pt>
                <c:pt idx="1">
                  <c:v>I am in good health.</c:v>
                </c:pt>
                <c:pt idx="2">
                  <c:v>I am happy with how much involvement I have in my community.</c:v>
                </c:pt>
                <c:pt idx="3">
                  <c:v>My day activity is meaningful to me.</c:v>
                </c:pt>
                <c:pt idx="4">
                  <c:v>I am satisfied with service providers who support me in my desired day activity.</c:v>
                </c:pt>
                <c:pt idx="5">
                  <c:v>I am happy with where I live.</c:v>
                </c:pt>
                <c:pt idx="6">
                  <c:v>I am satisfied with services received in my home.</c:v>
                </c:pt>
                <c:pt idx="7">
                  <c:v>I am satisfied with Waiver Support Coordinator (WSC).</c:v>
                </c:pt>
                <c:pt idx="8">
                  <c:v>I am satisfied with my service providers.</c:v>
                </c:pt>
                <c:pt idx="9">
                  <c:v>I am satisfied with approved services.</c:v>
                </c:pt>
              </c:strCache>
            </c:strRef>
          </c:cat>
          <c:val>
            <c:numRef>
              <c:f>'Individual Interview'!$Y$333:$Y$342</c:f>
              <c:numCache>
                <c:formatCode>0.0%</c:formatCode>
                <c:ptCount val="10"/>
                <c:pt idx="0">
                  <c:v>0.96684083601286175</c:v>
                </c:pt>
                <c:pt idx="1">
                  <c:v>0.96933560477001701</c:v>
                </c:pt>
                <c:pt idx="2">
                  <c:v>0.86219081272084797</c:v>
                </c:pt>
                <c:pt idx="3">
                  <c:v>0.98449612403100772</c:v>
                </c:pt>
                <c:pt idx="4">
                  <c:v>0.98428290766208248</c:v>
                </c:pt>
                <c:pt idx="5">
                  <c:v>0.96447602131438726</c:v>
                </c:pt>
                <c:pt idx="6">
                  <c:v>0.98627450980392151</c:v>
                </c:pt>
                <c:pt idx="7">
                  <c:v>0.98974358974358978</c:v>
                </c:pt>
                <c:pt idx="8">
                  <c:v>0.98409893992932862</c:v>
                </c:pt>
                <c:pt idx="9">
                  <c:v>0.98083623693379796</c:v>
                </c:pt>
              </c:numCache>
            </c:numRef>
          </c:val>
          <c:extLst>
            <c:ext xmlns:c16="http://schemas.microsoft.com/office/drawing/2014/chart" uri="{C3380CC4-5D6E-409C-BE32-E72D297353CC}">
              <c16:uniqueId val="{00000002-4116-45D1-A854-74087472EDD4}"/>
            </c:ext>
          </c:extLst>
        </c:ser>
        <c:dLbls>
          <c:showLegendKey val="0"/>
          <c:showVal val="0"/>
          <c:showCatName val="0"/>
          <c:showSerName val="0"/>
          <c:showPercent val="0"/>
          <c:showBubbleSize val="0"/>
        </c:dLbls>
        <c:gapWidth val="109"/>
        <c:axId val="583923568"/>
        <c:axId val="583936624"/>
      </c:barChart>
      <c:catAx>
        <c:axId val="58392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
                <a:ea typeface="+mn-ea"/>
                <a:cs typeface="+mn-cs"/>
              </a:defRPr>
            </a:pPr>
            <a:endParaRPr lang="en-US"/>
          </a:p>
        </c:txPr>
        <c:crossAx val="583936624"/>
        <c:crosses val="autoZero"/>
        <c:auto val="1"/>
        <c:lblAlgn val="ctr"/>
        <c:lblOffset val="100"/>
        <c:noMultiLvlLbl val="0"/>
      </c:catAx>
      <c:valAx>
        <c:axId val="583936624"/>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Calibri "/>
                <a:ea typeface="+mn-ea"/>
                <a:cs typeface="+mn-cs"/>
              </a:defRPr>
            </a:pPr>
            <a:endParaRPr lang="en-US"/>
          </a:p>
        </c:txPr>
        <c:crossAx val="583923568"/>
        <c:crosses val="autoZero"/>
        <c:crossBetween val="between"/>
        <c:majorUnit val="0.1"/>
        <c:minorUnit val="0.1"/>
      </c:valAx>
      <c:spPr>
        <a:noFill/>
        <a:ln>
          <a:noFill/>
        </a:ln>
        <a:effectLst/>
      </c:spPr>
    </c:plotArea>
    <c:legend>
      <c:legendPos val="b"/>
      <c:layout>
        <c:manualLayout>
          <c:xMode val="edge"/>
          <c:yMode val="edge"/>
          <c:x val="0.3822995839346448"/>
          <c:y val="0.91924141061314701"/>
          <c:w val="0.38759804542117121"/>
          <c:h val="6.0708464073569751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Calibri "/>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Calibri "/>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Calibri (Body)"/>
                <a:ea typeface="+mn-ea"/>
                <a:cs typeface="+mn-cs"/>
              </a:defRPr>
            </a:pPr>
            <a:r>
              <a:rPr lang="en-US" sz="1100">
                <a:latin typeface="Franklin Gothic Medium" panose="020B0603020102020204" pitchFamily="34" charset="0"/>
              </a:rPr>
              <a:t>Figure 11. Number of Medications by Waiver Type (Y4Q1-2)</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Calibri (Body)"/>
              <a:ea typeface="+mn-ea"/>
              <a:cs typeface="+mn-cs"/>
            </a:defRPr>
          </a:pPr>
          <a:endParaRPr lang="en-US"/>
        </a:p>
      </c:txPr>
    </c:title>
    <c:autoTitleDeleted val="0"/>
    <c:plotArea>
      <c:layout>
        <c:manualLayout>
          <c:layoutTarget val="inner"/>
          <c:xMode val="edge"/>
          <c:yMode val="edge"/>
          <c:x val="7.0567147856517937E-2"/>
          <c:y val="0.20805555555555555"/>
          <c:w val="0.88498840769903764"/>
          <c:h val="0.58856700204141144"/>
        </c:manualLayout>
      </c:layout>
      <c:barChart>
        <c:barDir val="col"/>
        <c:grouping val="clustered"/>
        <c:varyColors val="0"/>
        <c:ser>
          <c:idx val="0"/>
          <c:order val="0"/>
          <c:tx>
            <c:strRef>
              <c:f>'Health Summary'!$L$10</c:f>
              <c:strCache>
                <c:ptCount val="1"/>
                <c:pt idx="0">
                  <c:v>Waiver (N = 602)</c:v>
                </c:pt>
              </c:strCache>
            </c:strRef>
          </c:tx>
          <c:spPr>
            <a:solidFill>
              <a:schemeClr val="accent2">
                <a:lumMod val="50000"/>
              </a:schemeClr>
            </a:solidFill>
            <a:ln>
              <a:noFill/>
            </a:ln>
            <a:effectLst/>
            <a:scene3d>
              <a:camera prst="orthographicFront"/>
              <a:lightRig rig="threePt" dir="t"/>
            </a:scene3d>
            <a:sp3d>
              <a:bevelT prst="angle"/>
            </a:sp3d>
          </c:spPr>
          <c:invertIfNegative val="0"/>
          <c:dLbls>
            <c:dLbl>
              <c:idx val="1"/>
              <c:layout>
                <c:manualLayout>
                  <c:x val="-1.3888888888888888E-2"/>
                  <c:y val="1.38888888888888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234-49EB-A1BC-A12199C48DC2}"/>
                </c:ext>
              </c:extLst>
            </c:dLbl>
            <c:dLbl>
              <c:idx val="2"/>
              <c:layout>
                <c:manualLayout>
                  <c:x val="-1.8618506795755049E-2"/>
                  <c:y val="1.635768811341330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234-49EB-A1BC-A12199C4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Calibri (Body)"/>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Summary'!$M$8:$Q$8</c:f>
              <c:strCache>
                <c:ptCount val="5"/>
                <c:pt idx="0">
                  <c:v>0</c:v>
                </c:pt>
                <c:pt idx="1">
                  <c:v>1-2</c:v>
                </c:pt>
                <c:pt idx="2">
                  <c:v>3-4</c:v>
                </c:pt>
                <c:pt idx="3">
                  <c:v>5-6</c:v>
                </c:pt>
                <c:pt idx="4">
                  <c:v>7+</c:v>
                </c:pt>
              </c:strCache>
            </c:strRef>
          </c:cat>
          <c:val>
            <c:numRef>
              <c:f>'Health Summary'!$M$10:$Q$10</c:f>
              <c:numCache>
                <c:formatCode>0.0%</c:formatCode>
                <c:ptCount val="5"/>
                <c:pt idx="0">
                  <c:v>0.11960132890365449</c:v>
                </c:pt>
                <c:pt idx="1">
                  <c:v>0.24086378737541528</c:v>
                </c:pt>
                <c:pt idx="2">
                  <c:v>0.2159468438538206</c:v>
                </c:pt>
                <c:pt idx="3">
                  <c:v>0.20930232558139536</c:v>
                </c:pt>
                <c:pt idx="4">
                  <c:v>0.21428571428571427</c:v>
                </c:pt>
              </c:numCache>
            </c:numRef>
          </c:val>
          <c:extLst>
            <c:ext xmlns:c16="http://schemas.microsoft.com/office/drawing/2014/chart" uri="{C3380CC4-5D6E-409C-BE32-E72D297353CC}">
              <c16:uniqueId val="{00000002-D234-49EB-A1BC-A12199C48DC2}"/>
            </c:ext>
          </c:extLst>
        </c:ser>
        <c:ser>
          <c:idx val="1"/>
          <c:order val="1"/>
          <c:tx>
            <c:strRef>
              <c:f>'Health Summary'!$L$9</c:f>
              <c:strCache>
                <c:ptCount val="1"/>
                <c:pt idx="0">
                  <c:v>CDC+ (N = 72)</c:v>
                </c:pt>
              </c:strCache>
            </c:strRef>
          </c:tx>
          <c:spPr>
            <a:solidFill>
              <a:srgbClr val="FFFF99"/>
            </a:solidFill>
            <a:ln>
              <a:noFill/>
            </a:ln>
            <a:effectLst/>
            <a:scene3d>
              <a:camera prst="orthographicFront"/>
              <a:lightRig rig="threePt" dir="t"/>
            </a:scene3d>
            <a:sp3d>
              <a:bevelT prst="angle"/>
            </a:sp3d>
          </c:spPr>
          <c:invertIfNegative val="0"/>
          <c:dLbls>
            <c:dLbl>
              <c:idx val="1"/>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234-49EB-A1BC-A12199C48DC2}"/>
                </c:ext>
              </c:extLst>
            </c:dLbl>
            <c:dLbl>
              <c:idx val="2"/>
              <c:layout>
                <c:manualLayout>
                  <c:x val="1.861850679575491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234-49EB-A1BC-A12199C48DC2}"/>
                </c:ext>
              </c:extLst>
            </c:dLbl>
            <c:dLbl>
              <c:idx val="3"/>
              <c:layout>
                <c:manualLayout>
                  <c:x val="2.2342208154905976E-2"/>
                  <c:y val="-9.996249480670005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234-49EB-A1BC-A12199C48DC2}"/>
                </c:ext>
              </c:extLst>
            </c:dLbl>
            <c:dLbl>
              <c:idx val="4"/>
              <c:layout>
                <c:manualLayout>
                  <c:x val="1.4894805436603847E-2"/>
                  <c:y val="5.452562704471001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234-49EB-A1BC-A12199C48D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Calibri (Body)"/>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Summary'!$M$8:$Q$8</c:f>
              <c:strCache>
                <c:ptCount val="5"/>
                <c:pt idx="0">
                  <c:v>0</c:v>
                </c:pt>
                <c:pt idx="1">
                  <c:v>1-2</c:v>
                </c:pt>
                <c:pt idx="2">
                  <c:v>3-4</c:v>
                </c:pt>
                <c:pt idx="3">
                  <c:v>5-6</c:v>
                </c:pt>
                <c:pt idx="4">
                  <c:v>7+</c:v>
                </c:pt>
              </c:strCache>
            </c:strRef>
          </c:cat>
          <c:val>
            <c:numRef>
              <c:f>'Health Summary'!$M$9:$Q$9</c:f>
              <c:numCache>
                <c:formatCode>0.0%</c:formatCode>
                <c:ptCount val="5"/>
                <c:pt idx="0">
                  <c:v>0.22222222222222221</c:v>
                </c:pt>
                <c:pt idx="1">
                  <c:v>0.2638888888888889</c:v>
                </c:pt>
                <c:pt idx="2">
                  <c:v>0.2361111111111111</c:v>
                </c:pt>
                <c:pt idx="3">
                  <c:v>0.125</c:v>
                </c:pt>
                <c:pt idx="4">
                  <c:v>0.15277777777777779</c:v>
                </c:pt>
              </c:numCache>
            </c:numRef>
          </c:val>
          <c:extLst>
            <c:ext xmlns:c16="http://schemas.microsoft.com/office/drawing/2014/chart" uri="{C3380CC4-5D6E-409C-BE32-E72D297353CC}">
              <c16:uniqueId val="{00000007-D234-49EB-A1BC-A12199C48DC2}"/>
            </c:ext>
          </c:extLst>
        </c:ser>
        <c:dLbls>
          <c:showLegendKey val="0"/>
          <c:showVal val="0"/>
          <c:showCatName val="0"/>
          <c:showSerName val="0"/>
          <c:showPercent val="0"/>
          <c:showBubbleSize val="0"/>
        </c:dLbls>
        <c:gapWidth val="219"/>
        <c:overlap val="-27"/>
        <c:axId val="337508464"/>
        <c:axId val="337506288"/>
      </c:barChart>
      <c:catAx>
        <c:axId val="33750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Body)"/>
                <a:ea typeface="+mn-ea"/>
                <a:cs typeface="+mn-cs"/>
              </a:defRPr>
            </a:pPr>
            <a:endParaRPr lang="en-US"/>
          </a:p>
        </c:txPr>
        <c:crossAx val="337506288"/>
        <c:crosses val="autoZero"/>
        <c:auto val="1"/>
        <c:lblAlgn val="ctr"/>
        <c:lblOffset val="100"/>
        <c:noMultiLvlLbl val="0"/>
      </c:catAx>
      <c:valAx>
        <c:axId val="337506288"/>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337508464"/>
        <c:crosses val="autoZero"/>
        <c:crossBetween val="between"/>
        <c:maj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Calibri (Body)"/>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Calibri (Body)"/>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r>
              <a:rPr lang="en-US" sz="1100">
                <a:latin typeface="Franklin Gothic Medium" panose="020B0603020102020204" pitchFamily="34" charset="0"/>
              </a:rPr>
              <a:t>Figure 12. Percent</a:t>
            </a:r>
            <a:r>
              <a:rPr lang="en-US" sz="1100" baseline="0">
                <a:latin typeface="Franklin Gothic Medium" panose="020B0603020102020204" pitchFamily="34" charset="0"/>
              </a:rPr>
              <a:t> T</a:t>
            </a:r>
            <a:r>
              <a:rPr lang="en-US" sz="1100">
                <a:latin typeface="Franklin Gothic Medium" panose="020B0603020102020204" pitchFamily="34" charset="0"/>
              </a:rPr>
              <a:t>aking 5+ Medication by Residential Type (Y4Q1-2)</a:t>
            </a:r>
          </a:p>
        </c:rich>
      </c:tx>
      <c:layout>
        <c:manualLayout>
          <c:xMode val="edge"/>
          <c:yMode val="edge"/>
          <c:x val="0.13456623711107568"/>
          <c:y val="2.035623409669211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1967755475652249"/>
          <c:y val="0.1830710664983671"/>
          <c:w val="0.86601618547681536"/>
          <c:h val="0.56902286069203178"/>
        </c:manualLayout>
      </c:layout>
      <c:barChart>
        <c:barDir val="col"/>
        <c:grouping val="clustered"/>
        <c:varyColors val="0"/>
        <c:ser>
          <c:idx val="0"/>
          <c:order val="0"/>
          <c:tx>
            <c:strRef>
              <c:f>'Health Summary'!$N$39</c:f>
              <c:strCache>
                <c:ptCount val="1"/>
                <c:pt idx="0">
                  <c:v>Waiver</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Summary'!$M$40:$M$43</c:f>
              <c:strCache>
                <c:ptCount val="4"/>
                <c:pt idx="0">
                  <c:v>Family 
Home</c:v>
                </c:pt>
                <c:pt idx="1">
                  <c:v>Group
 Home</c:v>
                </c:pt>
                <c:pt idx="2">
                  <c:v>Independent/ 
Supported</c:v>
                </c:pt>
                <c:pt idx="3">
                  <c:v>Other </c:v>
                </c:pt>
              </c:strCache>
            </c:strRef>
          </c:cat>
          <c:val>
            <c:numRef>
              <c:f>'Health Summary'!$N$40:$N$43</c:f>
              <c:numCache>
                <c:formatCode>0.0%</c:formatCode>
                <c:ptCount val="4"/>
                <c:pt idx="0">
                  <c:v>0.27609427609427611</c:v>
                </c:pt>
                <c:pt idx="1">
                  <c:v>0.59808612440191389</c:v>
                </c:pt>
                <c:pt idx="2">
                  <c:v>0.49397590361445781</c:v>
                </c:pt>
                <c:pt idx="3">
                  <c:v>0.53846153846153844</c:v>
                </c:pt>
              </c:numCache>
            </c:numRef>
          </c:val>
          <c:extLst>
            <c:ext xmlns:c16="http://schemas.microsoft.com/office/drawing/2014/chart" uri="{C3380CC4-5D6E-409C-BE32-E72D297353CC}">
              <c16:uniqueId val="{00000000-D9FD-4B99-A2A1-0CE7E18162C2}"/>
            </c:ext>
          </c:extLst>
        </c:ser>
        <c:ser>
          <c:idx val="1"/>
          <c:order val="1"/>
          <c:tx>
            <c:strRef>
              <c:f>'Health Summary'!$O$39</c:f>
              <c:strCache>
                <c:ptCount val="1"/>
                <c:pt idx="0">
                  <c:v>CDC+</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dLbl>
              <c:idx val="0"/>
              <c:layout>
                <c:manualLayout>
                  <c:x val="3.2583739045031333E-2"/>
                  <c:y val="5.0890585241730284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9FD-4B99-A2A1-0CE7E18162C2}"/>
                </c:ext>
              </c:extLst>
            </c:dLbl>
            <c:dLbl>
              <c:idx val="1"/>
              <c:layout/>
              <c:tx>
                <c:rich>
                  <a:bodyPr/>
                  <a:lstStyle/>
                  <a:p>
                    <a:r>
                      <a:rPr lang="en-US"/>
                      <a:t>NA</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9FD-4B99-A2A1-0CE7E18162C2}"/>
                </c:ext>
              </c:extLst>
            </c:dLbl>
            <c:dLbl>
              <c:idx val="2"/>
              <c:layout>
                <c:manualLayout>
                  <c:x val="1.2747234878843555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9FD-4B99-A2A1-0CE7E18162C2}"/>
                </c:ext>
              </c:extLst>
            </c:dLbl>
            <c:dLbl>
              <c:idx val="3"/>
              <c:layout/>
              <c:tx>
                <c:rich>
                  <a:bodyPr/>
                  <a:lstStyle/>
                  <a:p>
                    <a:r>
                      <a:rPr lang="en-US"/>
                      <a:t>NA</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9FD-4B99-A2A1-0CE7E18162C2}"/>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Summary'!$M$40:$M$43</c:f>
              <c:strCache>
                <c:ptCount val="4"/>
                <c:pt idx="0">
                  <c:v>Family 
Home</c:v>
                </c:pt>
                <c:pt idx="1">
                  <c:v>Group
 Home</c:v>
                </c:pt>
                <c:pt idx="2">
                  <c:v>Independent/ 
Supported</c:v>
                </c:pt>
                <c:pt idx="3">
                  <c:v>Other </c:v>
                </c:pt>
              </c:strCache>
            </c:strRef>
          </c:cat>
          <c:val>
            <c:numRef>
              <c:f>'Health Summary'!$O$40:$O$43</c:f>
              <c:numCache>
                <c:formatCode>0.0%</c:formatCode>
                <c:ptCount val="4"/>
                <c:pt idx="0">
                  <c:v>0.26865671641791045</c:v>
                </c:pt>
                <c:pt idx="1">
                  <c:v>0</c:v>
                </c:pt>
                <c:pt idx="2">
                  <c:v>0.4</c:v>
                </c:pt>
                <c:pt idx="3">
                  <c:v>0</c:v>
                </c:pt>
              </c:numCache>
            </c:numRef>
          </c:val>
          <c:extLst>
            <c:ext xmlns:c16="http://schemas.microsoft.com/office/drawing/2014/chart" uri="{C3380CC4-5D6E-409C-BE32-E72D297353CC}">
              <c16:uniqueId val="{00000005-D9FD-4B99-A2A1-0CE7E18162C2}"/>
            </c:ext>
          </c:extLst>
        </c:ser>
        <c:dLbls>
          <c:dLblPos val="outEnd"/>
          <c:showLegendKey val="0"/>
          <c:showVal val="1"/>
          <c:showCatName val="0"/>
          <c:showSerName val="0"/>
          <c:showPercent val="0"/>
          <c:showBubbleSize val="0"/>
        </c:dLbls>
        <c:gapWidth val="219"/>
        <c:overlap val="-27"/>
        <c:axId val="583930096"/>
        <c:axId val="583937168"/>
      </c:barChart>
      <c:catAx>
        <c:axId val="58393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83937168"/>
        <c:crosses val="autoZero"/>
        <c:auto val="1"/>
        <c:lblAlgn val="ctr"/>
        <c:lblOffset val="100"/>
        <c:noMultiLvlLbl val="0"/>
      </c:catAx>
      <c:valAx>
        <c:axId val="583937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83930096"/>
        <c:crosses val="autoZero"/>
        <c:crossBetween val="between"/>
        <c:majorUnit val="0.25"/>
      </c:valAx>
      <c:spPr>
        <a:noFill/>
        <a:ln>
          <a:noFill/>
        </a:ln>
        <a:effectLst/>
      </c:spPr>
    </c:plotArea>
    <c:legend>
      <c:legendPos val="r"/>
      <c:layout>
        <c:manualLayout>
          <c:xMode val="edge"/>
          <c:yMode val="edge"/>
          <c:x val="0.33902318460192477"/>
          <c:y val="0.94276004973062577"/>
          <c:w val="0.39082588664856205"/>
          <c:h val="5.5348607739821983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r>
              <a:rPr lang="en-US" sz="1100">
                <a:latin typeface="Franklin Gothic Medium" panose="020B0603020102020204" pitchFamily="34" charset="0"/>
              </a:rPr>
              <a:t>Figure 13.</a:t>
            </a:r>
            <a:r>
              <a:rPr lang="en-US" sz="1100" baseline="0">
                <a:latin typeface="Franklin Gothic Medium" panose="020B0603020102020204" pitchFamily="34" charset="0"/>
              </a:rPr>
              <a:t> Percent T</a:t>
            </a:r>
            <a:r>
              <a:rPr lang="en-US" sz="1100">
                <a:latin typeface="Franklin Gothic Medium" panose="020B0603020102020204" pitchFamily="34" charset="0"/>
              </a:rPr>
              <a:t>aking 5+ Medications by Primary Disability</a:t>
            </a:r>
            <a:r>
              <a:rPr lang="en-US" sz="1100" baseline="0">
                <a:latin typeface="Franklin Gothic Medium" panose="020B0603020102020204" pitchFamily="34" charset="0"/>
              </a:rPr>
              <a:t> (Y4Q1-2)</a:t>
            </a:r>
            <a:endParaRPr lang="en-US" sz="1100">
              <a:latin typeface="Franklin Gothic Medium" panose="020B0603020102020204" pitchFamily="34" charset="0"/>
            </a:endParaRPr>
          </a:p>
        </c:rich>
      </c:tx>
      <c:layout>
        <c:manualLayout>
          <c:xMode val="edge"/>
          <c:yMode val="edge"/>
          <c:x val="0.17647880211481518"/>
          <c:y val="4.258149473619800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3349369564098607"/>
          <c:y val="0.19649599562114708"/>
          <c:w val="0.86601618547681536"/>
          <c:h val="0.56164320982324911"/>
        </c:manualLayout>
      </c:layout>
      <c:barChart>
        <c:barDir val="col"/>
        <c:grouping val="clustered"/>
        <c:varyColors val="0"/>
        <c:ser>
          <c:idx val="0"/>
          <c:order val="0"/>
          <c:tx>
            <c:strRef>
              <c:f>'Health Summary'!$M$57</c:f>
              <c:strCache>
                <c:ptCount val="1"/>
                <c:pt idx="0">
                  <c:v>Waiver</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Summary'!$L$58:$L$61</c:f>
              <c:strCache>
                <c:ptCount val="4"/>
                <c:pt idx="0">
                  <c:v>Autism</c:v>
                </c:pt>
                <c:pt idx="1">
                  <c:v>Cerebral 
Palsy</c:v>
                </c:pt>
                <c:pt idx="2">
                  <c:v>Intellectual 
Disability</c:v>
                </c:pt>
                <c:pt idx="3">
                  <c:v>Other</c:v>
                </c:pt>
              </c:strCache>
            </c:strRef>
          </c:cat>
          <c:val>
            <c:numRef>
              <c:f>'Health Summary'!$M$58:$M$61</c:f>
              <c:numCache>
                <c:formatCode>0.0%</c:formatCode>
                <c:ptCount val="4"/>
                <c:pt idx="0">
                  <c:v>0.33333333333333331</c:v>
                </c:pt>
                <c:pt idx="1">
                  <c:v>0.38333333333333336</c:v>
                </c:pt>
                <c:pt idx="2">
                  <c:v>0.46588235294117647</c:v>
                </c:pt>
                <c:pt idx="3">
                  <c:v>0.19444444444444445</c:v>
                </c:pt>
              </c:numCache>
            </c:numRef>
          </c:val>
          <c:extLst>
            <c:ext xmlns:c16="http://schemas.microsoft.com/office/drawing/2014/chart" uri="{C3380CC4-5D6E-409C-BE32-E72D297353CC}">
              <c16:uniqueId val="{00000000-EF97-45FA-B7EF-B014FE3894CC}"/>
            </c:ext>
          </c:extLst>
        </c:ser>
        <c:ser>
          <c:idx val="1"/>
          <c:order val="1"/>
          <c:tx>
            <c:strRef>
              <c:f>'Health Summary'!$N$57</c:f>
              <c:strCache>
                <c:ptCount val="1"/>
                <c:pt idx="0">
                  <c:v>CDC+</c:v>
                </c:pt>
              </c:strCache>
            </c:strRef>
          </c:tx>
          <c:spPr>
            <a:solidFill>
              <a:schemeClr val="accent2">
                <a:lumMod val="20000"/>
                <a:lumOff val="80000"/>
              </a:schemeClr>
            </a:solidFill>
            <a:ln>
              <a:noFill/>
            </a:ln>
            <a:effectLst/>
            <a:scene3d>
              <a:camera prst="orthographicFront"/>
              <a:lightRig rig="threePt" dir="t"/>
            </a:scene3d>
            <a:sp3d>
              <a:bevelT prst="angle"/>
            </a:sp3d>
          </c:spPr>
          <c:invertIfNegative val="0"/>
          <c:dLbls>
            <c:dLbl>
              <c:idx val="0"/>
              <c:layout>
                <c:manualLayout>
                  <c:x val="1.9105846388994999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F97-45FA-B7EF-B014FE3894CC}"/>
                </c:ext>
              </c:extLst>
            </c:dLbl>
            <c:dLbl>
              <c:idx val="1"/>
              <c:layout>
                <c:manualLayout>
                  <c:x val="1.9105846388995033E-2"/>
                  <c:y val="-8.9277436316283371E-17"/>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F97-45FA-B7EF-B014FE3894CC}"/>
                </c:ext>
              </c:extLst>
            </c:dLbl>
            <c:dLbl>
              <c:idx val="2"/>
              <c:layout>
                <c:manualLayout>
                  <c:x val="3.0569354222392053E-2"/>
                  <c:y val="2.434867299732164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F97-45FA-B7EF-B014FE3894C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Summary'!$L$58:$L$61</c:f>
              <c:strCache>
                <c:ptCount val="4"/>
                <c:pt idx="0">
                  <c:v>Autism</c:v>
                </c:pt>
                <c:pt idx="1">
                  <c:v>Cerebral 
Palsy</c:v>
                </c:pt>
                <c:pt idx="2">
                  <c:v>Intellectual 
Disability</c:v>
                </c:pt>
                <c:pt idx="3">
                  <c:v>Other</c:v>
                </c:pt>
              </c:strCache>
            </c:strRef>
          </c:cat>
          <c:val>
            <c:numRef>
              <c:f>'Health Summary'!$N$58:$N$61</c:f>
              <c:numCache>
                <c:formatCode>0.0%</c:formatCode>
                <c:ptCount val="4"/>
                <c:pt idx="0">
                  <c:v>6.25E-2</c:v>
                </c:pt>
                <c:pt idx="1">
                  <c:v>0.1111111111111111</c:v>
                </c:pt>
                <c:pt idx="2">
                  <c:v>0.37777777777777777</c:v>
                </c:pt>
                <c:pt idx="3">
                  <c:v>0.5</c:v>
                </c:pt>
              </c:numCache>
            </c:numRef>
          </c:val>
          <c:extLst>
            <c:ext xmlns:c16="http://schemas.microsoft.com/office/drawing/2014/chart" uri="{C3380CC4-5D6E-409C-BE32-E72D297353CC}">
              <c16:uniqueId val="{00000004-EF97-45FA-B7EF-B014FE3894CC}"/>
            </c:ext>
          </c:extLst>
        </c:ser>
        <c:dLbls>
          <c:dLblPos val="outEnd"/>
          <c:showLegendKey val="0"/>
          <c:showVal val="1"/>
          <c:showCatName val="0"/>
          <c:showSerName val="0"/>
          <c:showPercent val="0"/>
          <c:showBubbleSize val="0"/>
        </c:dLbls>
        <c:gapWidth val="219"/>
        <c:overlap val="-27"/>
        <c:axId val="583935536"/>
        <c:axId val="583937712"/>
      </c:barChart>
      <c:catAx>
        <c:axId val="58393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83937712"/>
        <c:crosses val="autoZero"/>
        <c:auto val="1"/>
        <c:lblAlgn val="ctr"/>
        <c:lblOffset val="100"/>
        <c:noMultiLvlLbl val="0"/>
      </c:catAx>
      <c:valAx>
        <c:axId val="5839377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83935536"/>
        <c:crosses val="autoZero"/>
        <c:crossBetween val="between"/>
        <c:majorUnit val="0.25"/>
      </c:valAx>
      <c:spPr>
        <a:noFill/>
        <a:ln>
          <a:noFill/>
        </a:ln>
        <a:effectLst/>
      </c:spPr>
    </c:plotArea>
    <c:legend>
      <c:legendPos val="r"/>
      <c:layout>
        <c:manualLayout>
          <c:xMode val="edge"/>
          <c:yMode val="edge"/>
          <c:x val="0.37791207349081363"/>
          <c:y val="0.90452063756567969"/>
          <c:w val="0.31375459317585302"/>
          <c:h val="8.8265235771976078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r>
              <a:rPr lang="en-US" sz="1100">
                <a:latin typeface="Franklin Gothic Medium" panose="020B0603020102020204" pitchFamily="34" charset="0"/>
              </a:rPr>
              <a:t>Figure 14.  Percent Taking 5+ Medications by Age Group</a:t>
            </a:r>
            <a:r>
              <a:rPr lang="en-US" sz="1100" baseline="0">
                <a:latin typeface="Franklin Gothic Medium" panose="020B0603020102020204" pitchFamily="34" charset="0"/>
              </a:rPr>
              <a:t> (Y4Q1-2)</a:t>
            </a:r>
            <a:endParaRPr lang="en-US" sz="1100">
              <a:latin typeface="Franklin Gothic Medium" panose="020B0603020102020204" pitchFamily="34" charset="0"/>
            </a:endParaRPr>
          </a:p>
        </c:rich>
      </c:tx>
      <c:layout>
        <c:manualLayout>
          <c:xMode val="edge"/>
          <c:yMode val="edge"/>
          <c:x val="0.22149427423987036"/>
          <c:y val="2.1290747368099001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2565048118985128"/>
          <c:y val="0.18052793509507284"/>
          <c:w val="0.86601618547681536"/>
          <c:h val="0.58293395719134811"/>
        </c:manualLayout>
      </c:layout>
      <c:barChart>
        <c:barDir val="col"/>
        <c:grouping val="clustered"/>
        <c:varyColors val="0"/>
        <c:ser>
          <c:idx val="0"/>
          <c:order val="0"/>
          <c:tx>
            <c:strRef>
              <c:f>'Health Summary'!$M$76</c:f>
              <c:strCache>
                <c:ptCount val="1"/>
                <c:pt idx="0">
                  <c:v>Waiver</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Summary'!$L$77:$L$81</c:f>
              <c:strCache>
                <c:ptCount val="5"/>
                <c:pt idx="0">
                  <c:v>&lt;18</c:v>
                </c:pt>
                <c:pt idx="1">
                  <c:v>18-21</c:v>
                </c:pt>
                <c:pt idx="2">
                  <c:v>22-44</c:v>
                </c:pt>
                <c:pt idx="3">
                  <c:v>45-65</c:v>
                </c:pt>
                <c:pt idx="4">
                  <c:v>65+</c:v>
                </c:pt>
              </c:strCache>
            </c:strRef>
          </c:cat>
          <c:val>
            <c:numRef>
              <c:f>'Health Summary'!$M$77:$M$81</c:f>
              <c:numCache>
                <c:formatCode>0.0%</c:formatCode>
                <c:ptCount val="5"/>
                <c:pt idx="0">
                  <c:v>0.31818181818181818</c:v>
                </c:pt>
                <c:pt idx="1">
                  <c:v>0.3</c:v>
                </c:pt>
                <c:pt idx="2">
                  <c:v>0.36734693877551022</c:v>
                </c:pt>
                <c:pt idx="3">
                  <c:v>0.54878048780487809</c:v>
                </c:pt>
                <c:pt idx="4">
                  <c:v>0.60606060606060608</c:v>
                </c:pt>
              </c:numCache>
            </c:numRef>
          </c:val>
          <c:extLst>
            <c:ext xmlns:c16="http://schemas.microsoft.com/office/drawing/2014/chart" uri="{C3380CC4-5D6E-409C-BE32-E72D297353CC}">
              <c16:uniqueId val="{00000000-0979-4066-8B11-7079DAE3B809}"/>
            </c:ext>
          </c:extLst>
        </c:ser>
        <c:ser>
          <c:idx val="1"/>
          <c:order val="1"/>
          <c:tx>
            <c:strRef>
              <c:f>'Health Summary'!$N$76</c:f>
              <c:strCache>
                <c:ptCount val="1"/>
                <c:pt idx="0">
                  <c:v>CDC+</c:v>
                </c:pt>
              </c:strCache>
            </c:strRef>
          </c:tx>
          <c:spPr>
            <a:solidFill>
              <a:schemeClr val="accent2">
                <a:lumMod val="20000"/>
                <a:lumOff val="80000"/>
              </a:schemeClr>
            </a:solidFill>
            <a:ln>
              <a:noFill/>
            </a:ln>
            <a:effectLst/>
            <a:scene3d>
              <a:camera prst="orthographicFront"/>
              <a:lightRig rig="threePt" dir="t"/>
            </a:scene3d>
            <a:sp3d>
              <a:bevelT prst="angle"/>
            </a:sp3d>
          </c:spPr>
          <c:invertIfNegative val="0"/>
          <c:dLbls>
            <c:dLbl>
              <c:idx val="0"/>
              <c:layout>
                <c:manualLayout>
                  <c:x val="1.7495472700495188E-2"/>
                  <c:y val="5.32339632685643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79-4066-8B11-7079DAE3B809}"/>
                </c:ext>
              </c:extLst>
            </c:dLbl>
            <c:dLbl>
              <c:idx val="1"/>
              <c:layout>
                <c:manualLayout>
                  <c:x val="1.8835938971557734E-2"/>
                  <c:y val="-9.759447190603560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79-4066-8B11-7079DAE3B809}"/>
                </c:ext>
              </c:extLst>
            </c:dLbl>
            <c:dLbl>
              <c:idx val="2"/>
              <c:layout>
                <c:manualLayout>
                  <c:x val="1.1301563382934639E-2"/>
                  <c:y val="5.32339632685653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79-4066-8B11-7079DAE3B809}"/>
                </c:ext>
              </c:extLst>
            </c:dLbl>
            <c:dLbl>
              <c:idx val="3"/>
              <c:layout>
                <c:manualLayout>
                  <c:x val="1.5068751177246186E-2"/>
                  <c:y val="5.32339632685653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79-4066-8B11-7079DAE3B809}"/>
                </c:ext>
              </c:extLst>
            </c:dLbl>
            <c:dLbl>
              <c:idx val="4"/>
              <c:tx>
                <c:rich>
                  <a:bodyPr/>
                  <a:lstStyle/>
                  <a:p>
                    <a:r>
                      <a:rPr lang="en-US"/>
                      <a:t>NA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79-4066-8B11-7079DAE3B809}"/>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Summary'!$L$77:$L$81</c:f>
              <c:strCache>
                <c:ptCount val="5"/>
                <c:pt idx="0">
                  <c:v>&lt;18</c:v>
                </c:pt>
                <c:pt idx="1">
                  <c:v>18-21</c:v>
                </c:pt>
                <c:pt idx="2">
                  <c:v>22-44</c:v>
                </c:pt>
                <c:pt idx="3">
                  <c:v>45-65</c:v>
                </c:pt>
                <c:pt idx="4">
                  <c:v>65+</c:v>
                </c:pt>
              </c:strCache>
            </c:strRef>
          </c:cat>
          <c:val>
            <c:numRef>
              <c:f>'Health Summary'!$N$77:$N$81</c:f>
              <c:numCache>
                <c:formatCode>0.0%</c:formatCode>
                <c:ptCount val="5"/>
                <c:pt idx="0">
                  <c:v>0</c:v>
                </c:pt>
                <c:pt idx="1">
                  <c:v>0.125</c:v>
                </c:pt>
                <c:pt idx="2">
                  <c:v>0.28846153846153844</c:v>
                </c:pt>
                <c:pt idx="3">
                  <c:v>0.5</c:v>
                </c:pt>
                <c:pt idx="4">
                  <c:v>0</c:v>
                </c:pt>
              </c:numCache>
            </c:numRef>
          </c:val>
          <c:extLst>
            <c:ext xmlns:c16="http://schemas.microsoft.com/office/drawing/2014/chart" uri="{C3380CC4-5D6E-409C-BE32-E72D297353CC}">
              <c16:uniqueId val="{00000006-0979-4066-8B11-7079DAE3B809}"/>
            </c:ext>
          </c:extLst>
        </c:ser>
        <c:dLbls>
          <c:dLblPos val="outEnd"/>
          <c:showLegendKey val="0"/>
          <c:showVal val="1"/>
          <c:showCatName val="0"/>
          <c:showSerName val="0"/>
          <c:showPercent val="0"/>
          <c:showBubbleSize val="0"/>
        </c:dLbls>
        <c:gapWidth val="219"/>
        <c:overlap val="-27"/>
        <c:axId val="583923024"/>
        <c:axId val="583924112"/>
      </c:barChart>
      <c:catAx>
        <c:axId val="58392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83924112"/>
        <c:crosses val="autoZero"/>
        <c:auto val="1"/>
        <c:lblAlgn val="ctr"/>
        <c:lblOffset val="100"/>
        <c:noMultiLvlLbl val="0"/>
      </c:catAx>
      <c:valAx>
        <c:axId val="5839241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83923024"/>
        <c:crosses val="autoZero"/>
        <c:crossBetween val="between"/>
        <c:majorUnit val="0.25"/>
      </c:valAx>
      <c:spPr>
        <a:noFill/>
        <a:ln>
          <a:noFill/>
        </a:ln>
        <a:effectLst/>
      </c:spPr>
    </c:plotArea>
    <c:legend>
      <c:legendPos val="r"/>
      <c:layout>
        <c:manualLayout>
          <c:xMode val="edge"/>
          <c:yMode val="edge"/>
          <c:x val="0.37791207349081363"/>
          <c:y val="0.86726182967150645"/>
          <c:w val="0.31375459317585302"/>
          <c:h val="0.12552387272371063"/>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a:latin typeface="Franklin Gothic Medium" panose="020B0603020102020204" pitchFamily="34" charset="0"/>
              </a:rPr>
              <a:t>Figure 15b.  PDR</a:t>
            </a:r>
            <a:r>
              <a:rPr lang="en-US" sz="1000" baseline="0">
                <a:latin typeface="Franklin Gothic Medium" panose="020B0603020102020204" pitchFamily="34" charset="0"/>
              </a:rPr>
              <a:t> MLI by Life Areas</a:t>
            </a:r>
          </a:p>
          <a:p>
            <a:pPr>
              <a:defRPr sz="1000">
                <a:latin typeface="Franklin Gothic Medium" panose="020B0603020102020204" pitchFamily="34" charset="0"/>
              </a:defRPr>
            </a:pPr>
            <a:r>
              <a:rPr lang="en-US" sz="1000" baseline="0">
                <a:latin typeface="Franklin Gothic Medium" panose="020B0603020102020204" pitchFamily="34" charset="0"/>
              </a:rPr>
              <a:t>July - December 2020  (N = 1,204)</a:t>
            </a:r>
            <a:endParaRPr lang="en-US" sz="1000">
              <a:latin typeface="Franklin Gothic Medium" panose="020B0603020102020204" pitchFamily="34" charset="0"/>
            </a:endParaRPr>
          </a:p>
        </c:rich>
      </c:tx>
      <c:layout>
        <c:manualLayout>
          <c:xMode val="edge"/>
          <c:yMode val="edge"/>
          <c:x val="0.20321796065992645"/>
          <c:y val="2.971216341689879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1903338142930467"/>
          <c:y val="0.18577605502236966"/>
          <c:w val="0.72585837333128356"/>
          <c:h val="0.65777555820639078"/>
        </c:manualLayout>
      </c:layout>
      <c:barChart>
        <c:barDir val="bar"/>
        <c:grouping val="clustered"/>
        <c:varyColors val="0"/>
        <c:ser>
          <c:idx val="1"/>
          <c:order val="0"/>
          <c:tx>
            <c:strRef>
              <c:f>'2.PDR Indiv Interview'!$N$22</c:f>
              <c:strCache>
                <c:ptCount val="1"/>
                <c:pt idx="0">
                  <c:v>Supports</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Interview'!$L$23:$L$29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Interview'!$N$23:$N$29</c:f>
              <c:numCache>
                <c:formatCode>0.0%</c:formatCode>
                <c:ptCount val="7"/>
                <c:pt idx="0">
                  <c:v>0.98898555693652768</c:v>
                </c:pt>
                <c:pt idx="1">
                  <c:v>0.98599649912478116</c:v>
                </c:pt>
                <c:pt idx="2">
                  <c:v>0.99364098837209303</c:v>
                </c:pt>
                <c:pt idx="3">
                  <c:v>0.98560411311053986</c:v>
                </c:pt>
                <c:pt idx="4">
                  <c:v>0.99746031746031749</c:v>
                </c:pt>
                <c:pt idx="5">
                  <c:v>0.99009900990099009</c:v>
                </c:pt>
                <c:pt idx="6">
                  <c:v>0.98619760982999494</c:v>
                </c:pt>
              </c:numCache>
            </c:numRef>
          </c:val>
          <c:extLst>
            <c:ext xmlns:c16="http://schemas.microsoft.com/office/drawing/2014/chart" uri="{C3380CC4-5D6E-409C-BE32-E72D297353CC}">
              <c16:uniqueId val="{00000000-8C16-4E47-8D9F-6FD279F1E830}"/>
            </c:ext>
          </c:extLst>
        </c:ser>
        <c:ser>
          <c:idx val="0"/>
          <c:order val="1"/>
          <c:tx>
            <c:strRef>
              <c:f>'2.PDR Indiv Interview'!$M$22</c:f>
              <c:strCache>
                <c:ptCount val="1"/>
                <c:pt idx="0">
                  <c:v>Outcomes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Interview'!$L$23:$L$29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Interview'!$M$23:$M$29</c:f>
              <c:numCache>
                <c:formatCode>0.0%</c:formatCode>
                <c:ptCount val="7"/>
                <c:pt idx="0">
                  <c:v>0.91199163070485156</c:v>
                </c:pt>
                <c:pt idx="1">
                  <c:v>0.79444588632234625</c:v>
                </c:pt>
                <c:pt idx="2">
                  <c:v>0.93151437465665632</c:v>
                </c:pt>
                <c:pt idx="3">
                  <c:v>0.89473684210526316</c:v>
                </c:pt>
                <c:pt idx="4">
                  <c:v>0.99033505154639179</c:v>
                </c:pt>
                <c:pt idx="5">
                  <c:v>0.96157059314954052</c:v>
                </c:pt>
                <c:pt idx="6">
                  <c:v>0.94146842375492046</c:v>
                </c:pt>
              </c:numCache>
            </c:numRef>
          </c:val>
          <c:extLst>
            <c:ext xmlns:c16="http://schemas.microsoft.com/office/drawing/2014/chart" uri="{C3380CC4-5D6E-409C-BE32-E72D297353CC}">
              <c16:uniqueId val="{00000001-8C16-4E47-8D9F-6FD279F1E830}"/>
            </c:ext>
          </c:extLst>
        </c:ser>
        <c:dLbls>
          <c:showLegendKey val="0"/>
          <c:showVal val="0"/>
          <c:showCatName val="0"/>
          <c:showSerName val="0"/>
          <c:showPercent val="0"/>
          <c:showBubbleSize val="0"/>
        </c:dLbls>
        <c:gapWidth val="182"/>
        <c:axId val="239996816"/>
        <c:axId val="240008240"/>
      </c:barChart>
      <c:catAx>
        <c:axId val="239996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240"/>
        <c:crosses val="autoZero"/>
        <c:auto val="1"/>
        <c:lblAlgn val="ctr"/>
        <c:lblOffset val="100"/>
        <c:noMultiLvlLbl val="0"/>
      </c:catAx>
      <c:valAx>
        <c:axId val="240008240"/>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39996816"/>
        <c:crosses val="autoZero"/>
        <c:crossBetween val="between"/>
        <c:minorUnit val="0.1"/>
      </c:valAx>
      <c:spPr>
        <a:noFill/>
        <a:ln>
          <a:noFill/>
        </a:ln>
        <a:effectLst/>
      </c:spPr>
    </c:plotArea>
    <c:legend>
      <c:legendPos val="b"/>
      <c:layout>
        <c:manualLayout>
          <c:xMode val="edge"/>
          <c:yMode val="edge"/>
          <c:x val="0.24416142391748771"/>
          <c:y val="0.95349779487282771"/>
          <c:w val="0.53952631746717616"/>
          <c:h val="4.6206577119036599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00">
                <a:latin typeface="Franklin Gothic Medium" panose="020B0603020102020204" pitchFamily="34" charset="0"/>
              </a:rPr>
              <a:t>Figure 15a.  PDR</a:t>
            </a:r>
            <a:r>
              <a:rPr lang="en-US" sz="1000" baseline="0">
                <a:latin typeface="Franklin Gothic Medium" panose="020B0603020102020204" pitchFamily="34" charset="0"/>
              </a:rPr>
              <a:t> MLI by Life Areas</a:t>
            </a:r>
          </a:p>
          <a:p>
            <a:pPr>
              <a:defRPr sz="1050">
                <a:latin typeface="Franklin Gothic Medium" panose="020B0603020102020204" pitchFamily="34" charset="0"/>
              </a:defRPr>
            </a:pPr>
            <a:r>
              <a:rPr lang="en-US" sz="1000" baseline="0">
                <a:latin typeface="Franklin Gothic Medium" panose="020B0603020102020204" pitchFamily="34" charset="0"/>
              </a:rPr>
              <a:t>April - June 2020 (N = 696)</a:t>
            </a:r>
            <a:endParaRPr lang="en-US" sz="1000">
              <a:latin typeface="Franklin Gothic Medium" panose="020B0603020102020204" pitchFamily="34" charset="0"/>
            </a:endParaRPr>
          </a:p>
        </c:rich>
      </c:tx>
      <c:layout>
        <c:manualLayout>
          <c:xMode val="edge"/>
          <c:yMode val="edge"/>
          <c:x val="0.20321796065992645"/>
          <c:y val="2.971216341689879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8698458856999698"/>
          <c:y val="0.16051106819194771"/>
          <c:w val="0.62615224531639768"/>
          <c:h val="0.63976754645304013"/>
        </c:manualLayout>
      </c:layout>
      <c:barChart>
        <c:barDir val="bar"/>
        <c:grouping val="clustered"/>
        <c:varyColors val="0"/>
        <c:ser>
          <c:idx val="1"/>
          <c:order val="0"/>
          <c:tx>
            <c:strRef>
              <c:f>'2.PDR Indiv Interview'!$M$22</c:f>
              <c:strCache>
                <c:ptCount val="1"/>
                <c:pt idx="0">
                  <c:v>Supports</c:v>
                </c:pt>
              </c:strCache>
            </c:strRef>
          </c:tx>
          <c:spPr>
            <a:solidFill>
              <a:srgbClr val="FFC000">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Interview'!$K$23:$K$29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Interview'!$M$23:$M$29</c:f>
              <c:numCache>
                <c:formatCode>0.0%</c:formatCode>
                <c:ptCount val="7"/>
                <c:pt idx="0">
                  <c:v>0.98897672057437092</c:v>
                </c:pt>
                <c:pt idx="1">
                  <c:v>0.98322580645161295</c:v>
                </c:pt>
                <c:pt idx="2">
                  <c:v>0.99359365466748018</c:v>
                </c:pt>
                <c:pt idx="3">
                  <c:v>0.98705096073517129</c:v>
                </c:pt>
                <c:pt idx="4">
                  <c:v>0.99883040935672518</c:v>
                </c:pt>
                <c:pt idx="5">
                  <c:v>0.99130434782608701</c:v>
                </c:pt>
                <c:pt idx="6">
                  <c:v>0.98634514816966878</c:v>
                </c:pt>
              </c:numCache>
            </c:numRef>
          </c:val>
          <c:extLst>
            <c:ext xmlns:c16="http://schemas.microsoft.com/office/drawing/2014/chart" uri="{C3380CC4-5D6E-409C-BE32-E72D297353CC}">
              <c16:uniqueId val="{00000000-7FF8-4159-9DB3-725AA2F83FB9}"/>
            </c:ext>
          </c:extLst>
        </c:ser>
        <c:ser>
          <c:idx val="0"/>
          <c:order val="1"/>
          <c:tx>
            <c:strRef>
              <c:f>'2.PDR Indiv Interview'!$L$22</c:f>
              <c:strCache>
                <c:ptCount val="1"/>
                <c:pt idx="0">
                  <c:v>Outcomes</c:v>
                </c:pt>
              </c:strCache>
            </c:strRef>
          </c:tx>
          <c:spPr>
            <a:solidFill>
              <a:srgbClr val="5B9BD5">
                <a:lumMod val="5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Interview'!$K$23:$K$29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Interview'!$L$23:$L$29</c:f>
              <c:numCache>
                <c:formatCode>0.0%</c:formatCode>
                <c:ptCount val="7"/>
                <c:pt idx="0">
                  <c:v>0.916241967649014</c:v>
                </c:pt>
                <c:pt idx="1">
                  <c:v>0.78568252556691864</c:v>
                </c:pt>
                <c:pt idx="2">
                  <c:v>0.93446153846153845</c:v>
                </c:pt>
                <c:pt idx="3">
                  <c:v>0.93657505285412257</c:v>
                </c:pt>
                <c:pt idx="4">
                  <c:v>0.98933649289099523</c:v>
                </c:pt>
                <c:pt idx="5">
                  <c:v>0.96653005464480879</c:v>
                </c:pt>
                <c:pt idx="6">
                  <c:v>0.93139293139293144</c:v>
                </c:pt>
              </c:numCache>
            </c:numRef>
          </c:val>
          <c:extLst>
            <c:ext xmlns:c16="http://schemas.microsoft.com/office/drawing/2014/chart" uri="{C3380CC4-5D6E-409C-BE32-E72D297353CC}">
              <c16:uniqueId val="{00000001-7FF8-4159-9DB3-725AA2F83FB9}"/>
            </c:ext>
          </c:extLst>
        </c:ser>
        <c:dLbls>
          <c:showLegendKey val="0"/>
          <c:showVal val="0"/>
          <c:showCatName val="0"/>
          <c:showSerName val="0"/>
          <c:showPercent val="0"/>
          <c:showBubbleSize val="0"/>
        </c:dLbls>
        <c:gapWidth val="182"/>
        <c:axId val="239996816"/>
        <c:axId val="240008240"/>
      </c:barChart>
      <c:catAx>
        <c:axId val="239996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240"/>
        <c:crosses val="autoZero"/>
        <c:auto val="1"/>
        <c:lblAlgn val="ctr"/>
        <c:lblOffset val="100"/>
        <c:noMultiLvlLbl val="0"/>
      </c:catAx>
      <c:valAx>
        <c:axId val="240008240"/>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39996816"/>
        <c:crosses val="autoZero"/>
        <c:crossBetween val="between"/>
        <c:majorUnit val="0.1"/>
        <c:minorUnit val="0.1"/>
      </c:valAx>
      <c:spPr>
        <a:noFill/>
        <a:ln>
          <a:noFill/>
        </a:ln>
        <a:effectLst/>
      </c:spPr>
    </c:plotArea>
    <c:legend>
      <c:legendPos val="b"/>
      <c:layout>
        <c:manualLayout>
          <c:xMode val="edge"/>
          <c:yMode val="edge"/>
          <c:x val="0.21691540907562817"/>
          <c:y val="0.90962699005689984"/>
          <c:w val="0.53952631746717616"/>
          <c:h val="4.6444341995688185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1. Distribution of PCRs by Residential Type</a:t>
            </a:r>
          </a:p>
        </c:rich>
      </c:tx>
      <c:layout>
        <c:manualLayout>
          <c:xMode val="edge"/>
          <c:yMode val="edge"/>
          <c:x val="0.14021971535489211"/>
          <c:y val="0"/>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3670278057348096"/>
          <c:w val="0.85114950007303047"/>
          <c:h val="0.39492866023326034"/>
        </c:manualLayout>
      </c:layout>
      <c:barChart>
        <c:barDir val="col"/>
        <c:grouping val="clustered"/>
        <c:varyColors val="0"/>
        <c:ser>
          <c:idx val="0"/>
          <c:order val="0"/>
          <c:tx>
            <c:strRef>
              <c:f>Demographics!$H$3</c:f>
              <c:strCache>
                <c:ptCount val="1"/>
                <c:pt idx="0">
                  <c:v>Waiver (602)</c:v>
                </c:pt>
              </c:strCache>
            </c:strRef>
          </c:tx>
          <c:spPr>
            <a:solidFill>
              <a:schemeClr val="accent2">
                <a:lumMod val="75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Demographics!$A$26:$A$29</c:f>
              <c:strCache>
                <c:ptCount val="4"/>
                <c:pt idx="0">
                  <c:v>Family
Home</c:v>
                </c:pt>
                <c:pt idx="1">
                  <c:v>Group 
Home</c:v>
                </c:pt>
                <c:pt idx="2">
                  <c:v>Independent/
Supported Living</c:v>
                </c:pt>
                <c:pt idx="3">
                  <c:v>Other</c:v>
                </c:pt>
              </c:strCache>
            </c:strRef>
          </c:cat>
          <c:val>
            <c:numRef>
              <c:f>Demographics!$C$26:$C$29</c:f>
              <c:numCache>
                <c:formatCode>0.0%</c:formatCode>
                <c:ptCount val="4"/>
                <c:pt idx="0">
                  <c:v>0.49335548172757476</c:v>
                </c:pt>
                <c:pt idx="1">
                  <c:v>0.34717607973421927</c:v>
                </c:pt>
                <c:pt idx="2">
                  <c:v>0.13787375415282391</c:v>
                </c:pt>
                <c:pt idx="3">
                  <c:v>2.1594684385382059E-2</c:v>
                </c:pt>
              </c:numCache>
            </c:numRef>
          </c:val>
          <c:extLst>
            <c:ext xmlns:c16="http://schemas.microsoft.com/office/drawing/2014/chart" uri="{C3380CC4-5D6E-409C-BE32-E72D297353CC}">
              <c16:uniqueId val="{00000000-DF7A-4D50-A521-BA4E8C06A2BB}"/>
            </c:ext>
          </c:extLst>
        </c:ser>
        <c:ser>
          <c:idx val="1"/>
          <c:order val="1"/>
          <c:tx>
            <c:strRef>
              <c:f>Demographics!$J$3</c:f>
              <c:strCache>
                <c:ptCount val="1"/>
                <c:pt idx="0">
                  <c:v>CDC+ (72)</c:v>
                </c:pt>
              </c:strCache>
            </c:strRef>
          </c:tx>
          <c:spPr>
            <a:solidFill>
              <a:schemeClr val="bg1">
                <a:lumMod val="85000"/>
              </a:schemeClr>
            </a:solidFill>
            <a:ln>
              <a:noFill/>
            </a:ln>
            <a:effectLst/>
            <a:scene3d>
              <a:camera prst="orthographicFront"/>
              <a:lightRig rig="threePt" dir="t"/>
            </a:scene3d>
            <a:sp3d>
              <a:bevelT prst="angle"/>
            </a:sp3d>
          </c:spPr>
          <c:invertIfNegative val="0"/>
          <c:dLbls>
            <c:dLbl>
              <c:idx val="1"/>
              <c:layout>
                <c:manualLayout>
                  <c:x val="1.6227180527383367E-2"/>
                  <c:y val="5.0125313283207098E-3"/>
                </c:manualLayout>
              </c:layout>
              <c:tx>
                <c:rich>
                  <a:bodyPr/>
                  <a:lstStyle/>
                  <a:p>
                    <a:r>
                      <a:rPr lang="en-US"/>
                      <a:t>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F7A-4D50-A521-BA4E8C06A2BB}"/>
                </c:ext>
              </c:extLst>
            </c:dLbl>
            <c:dLbl>
              <c:idx val="2"/>
              <c:layout>
                <c:manualLayout>
                  <c:x val="4.7093451066961001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F7A-4D50-A521-BA4E8C06A2BB}"/>
                </c:ext>
              </c:extLst>
            </c:dLbl>
            <c:dLbl>
              <c:idx val="3"/>
              <c:layout>
                <c:manualLayout>
                  <c:x val="2.3546661129833415E-2"/>
                  <c:y val="1.1603812681309573E-2"/>
                </c:manualLayout>
              </c:layout>
              <c:tx>
                <c:rich>
                  <a:bodyPr/>
                  <a:lstStyle/>
                  <a:p>
                    <a:r>
                      <a:rPr lang="en-US"/>
                      <a:t>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F7A-4D50-A521-BA4E8C06A2B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Demographics!$A$26:$A$29</c:f>
              <c:strCache>
                <c:ptCount val="4"/>
                <c:pt idx="0">
                  <c:v>Family
Home</c:v>
                </c:pt>
                <c:pt idx="1">
                  <c:v>Group 
Home</c:v>
                </c:pt>
                <c:pt idx="2">
                  <c:v>Independent/
Supported Living</c:v>
                </c:pt>
                <c:pt idx="3">
                  <c:v>Other</c:v>
                </c:pt>
              </c:strCache>
            </c:strRef>
          </c:cat>
          <c:val>
            <c:numRef>
              <c:f>Demographics!$E$26:$E$29</c:f>
              <c:numCache>
                <c:formatCode>0.0%</c:formatCode>
                <c:ptCount val="4"/>
                <c:pt idx="0">
                  <c:v>0.93055555555555558</c:v>
                </c:pt>
                <c:pt idx="1">
                  <c:v>0</c:v>
                </c:pt>
                <c:pt idx="2">
                  <c:v>6.9444444444444448E-2</c:v>
                </c:pt>
                <c:pt idx="3">
                  <c:v>0</c:v>
                </c:pt>
              </c:numCache>
            </c:numRef>
          </c:val>
          <c:extLst>
            <c:ext xmlns:c16="http://schemas.microsoft.com/office/drawing/2014/chart" uri="{C3380CC4-5D6E-409C-BE32-E72D297353CC}">
              <c16:uniqueId val="{00000003-DF7A-4D50-A521-BA4E8C06A2BB}"/>
            </c:ext>
          </c:extLst>
        </c:ser>
        <c:dLbls>
          <c:dLblPos val="outEnd"/>
          <c:showLegendKey val="0"/>
          <c:showVal val="1"/>
          <c:showCatName val="0"/>
          <c:showSerName val="0"/>
          <c:showPercent val="0"/>
          <c:showBubbleSize val="0"/>
        </c:dLbls>
        <c:gapWidth val="219"/>
        <c:overlap val="-27"/>
        <c:axId val="582152768"/>
        <c:axId val="582149504"/>
      </c:barChart>
      <c:catAx>
        <c:axId val="58215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49504"/>
        <c:crosses val="autoZero"/>
        <c:auto val="1"/>
        <c:lblAlgn val="ctr"/>
        <c:lblOffset val="100"/>
        <c:noMultiLvlLbl val="0"/>
      </c:catAx>
      <c:valAx>
        <c:axId val="5821495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2152768"/>
        <c:crosses val="autoZero"/>
        <c:crossBetween val="between"/>
        <c:minorUnit val="0.25"/>
      </c:valAx>
      <c:spPr>
        <a:noFill/>
        <a:ln>
          <a:noFill/>
        </a:ln>
        <a:effectLst/>
      </c:spPr>
    </c:plotArea>
    <c:legend>
      <c:legendPos val="r"/>
      <c:layout>
        <c:manualLayout>
          <c:xMode val="edge"/>
          <c:yMode val="edge"/>
          <c:x val="0.21388226349481829"/>
          <c:y val="0.85949637874213092"/>
          <c:w val="0.61510181916915563"/>
          <c:h val="9.627651806682059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latin typeface="Franklin Gothic Medium" panose="020B0603020102020204" pitchFamily="34" charset="0"/>
              </a:rPr>
              <a:t>Figure 16b. PDR MLI by Region</a:t>
            </a:r>
          </a:p>
          <a:p>
            <a:pPr>
              <a:defRPr/>
            </a:pPr>
            <a:r>
              <a:rPr lang="en-US" sz="1000">
                <a:latin typeface="Franklin Gothic Medium" panose="020B0603020102020204" pitchFamily="34" charset="0"/>
              </a:rPr>
              <a:t> July - December 2020 (N = 1,204)</a:t>
            </a:r>
          </a:p>
        </c:rich>
      </c:tx>
      <c:layout>
        <c:manualLayout>
          <c:xMode val="edge"/>
          <c:yMode val="edge"/>
          <c:x val="0.21527740357574349"/>
          <c:y val="2.346041055718475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1"/>
          <c:order val="0"/>
          <c:tx>
            <c:strRef>
              <c:f>'2.PDR Indiv Interview'!$N$4</c:f>
              <c:strCache>
                <c:ptCount val="1"/>
                <c:pt idx="0">
                  <c:v>Supports</c:v>
                </c:pt>
              </c:strCache>
            </c:strRef>
          </c:tx>
          <c:spPr>
            <a:solidFill>
              <a:srgbClr val="FFC000">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Interview'!$N$5:$N$11</c:f>
              <c:numCache>
                <c:formatCode>0.0%</c:formatCode>
                <c:ptCount val="7"/>
                <c:pt idx="0">
                  <c:v>0.98898555693652768</c:v>
                </c:pt>
                <c:pt idx="1">
                  <c:v>0.99254102436598712</c:v>
                </c:pt>
                <c:pt idx="2">
                  <c:v>0.99448123620309048</c:v>
                </c:pt>
                <c:pt idx="3">
                  <c:v>0.98569364161849715</c:v>
                </c:pt>
                <c:pt idx="4">
                  <c:v>0.98299188248936997</c:v>
                </c:pt>
                <c:pt idx="5">
                  <c:v>0.99463395937140664</c:v>
                </c:pt>
                <c:pt idx="6">
                  <c:v>0.99390243902439024</c:v>
                </c:pt>
              </c:numCache>
            </c:numRef>
          </c:val>
          <c:extLst>
            <c:ext xmlns:c16="http://schemas.microsoft.com/office/drawing/2014/chart" uri="{C3380CC4-5D6E-409C-BE32-E72D297353CC}">
              <c16:uniqueId val="{00000000-D68B-47E8-891F-265E4ED8E34F}"/>
            </c:ext>
          </c:extLst>
        </c:ser>
        <c:ser>
          <c:idx val="0"/>
          <c:order val="1"/>
          <c:tx>
            <c:strRef>
              <c:f>'2.PDR Indiv Interview'!$M$4</c:f>
              <c:strCache>
                <c:ptCount val="1"/>
                <c:pt idx="0">
                  <c:v>Outcomes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Interview'!$M$5:$M$11</c:f>
              <c:numCache>
                <c:formatCode>0.0%</c:formatCode>
                <c:ptCount val="7"/>
                <c:pt idx="0">
                  <c:v>0.91199163070485156</c:v>
                </c:pt>
                <c:pt idx="1">
                  <c:v>0.91975927783350053</c:v>
                </c:pt>
                <c:pt idx="2">
                  <c:v>0.85753727222528986</c:v>
                </c:pt>
                <c:pt idx="3">
                  <c:v>0.90372810300943252</c:v>
                </c:pt>
                <c:pt idx="4">
                  <c:v>0.91866404715127703</c:v>
                </c:pt>
                <c:pt idx="5">
                  <c:v>0.96866431649040341</c:v>
                </c:pt>
                <c:pt idx="6">
                  <c:v>0.95441030723488607</c:v>
                </c:pt>
              </c:numCache>
            </c:numRef>
          </c:val>
          <c:extLst>
            <c:ext xmlns:c16="http://schemas.microsoft.com/office/drawing/2014/chart" uri="{C3380CC4-5D6E-409C-BE32-E72D297353CC}">
              <c16:uniqueId val="{00000001-D68B-47E8-891F-265E4ED8E34F}"/>
            </c:ext>
          </c:extLst>
        </c:ser>
        <c:dLbls>
          <c:showLegendKey val="0"/>
          <c:showVal val="0"/>
          <c:showCatName val="0"/>
          <c:showSerName val="0"/>
          <c:showPercent val="0"/>
          <c:showBubbleSize val="0"/>
        </c:dLbls>
        <c:gapWidth val="100"/>
        <c:axId val="240008784"/>
        <c:axId val="240007152"/>
      </c:barChart>
      <c:catAx>
        <c:axId val="240008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7152"/>
        <c:crosses val="autoZero"/>
        <c:auto val="1"/>
        <c:lblAlgn val="ctr"/>
        <c:lblOffset val="100"/>
        <c:noMultiLvlLbl val="0"/>
      </c:catAx>
      <c:valAx>
        <c:axId val="240007152"/>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latin typeface="Franklin Gothic Medium" panose="020B0603020102020204" pitchFamily="34" charset="0"/>
              </a:rPr>
              <a:t>Figure 16a. PDR MLI by Region</a:t>
            </a:r>
          </a:p>
          <a:p>
            <a:pPr>
              <a:defRPr/>
            </a:pPr>
            <a:r>
              <a:rPr lang="en-US" sz="1000">
                <a:latin typeface="Franklin Gothic Medium" panose="020B0603020102020204" pitchFamily="34" charset="0"/>
              </a:rPr>
              <a:t> April -  June 2020 (N = 696)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1"/>
          <c:order val="0"/>
          <c:tx>
            <c:strRef>
              <c:f>'2.PDR Indiv Interview'!$N$4</c:f>
              <c:strCache>
                <c:ptCount val="1"/>
                <c:pt idx="0">
                  <c:v>Supports</c:v>
                </c:pt>
              </c:strCache>
            </c:strRef>
          </c:tx>
          <c:spPr>
            <a:solidFill>
              <a:srgbClr val="FFC000">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Interview'!$N$5:$N$11</c:f>
              <c:numCache>
                <c:formatCode>0.0%</c:formatCode>
                <c:ptCount val="7"/>
                <c:pt idx="0">
                  <c:v>0.98897672057437092</c:v>
                </c:pt>
                <c:pt idx="1">
                  <c:v>0.99117647058823533</c:v>
                </c:pt>
                <c:pt idx="2">
                  <c:v>0.98937474458520636</c:v>
                </c:pt>
                <c:pt idx="3">
                  <c:v>0.98320022032497933</c:v>
                </c:pt>
                <c:pt idx="4">
                  <c:v>0.99046104928457868</c:v>
                </c:pt>
                <c:pt idx="5">
                  <c:v>0.9952198852772467</c:v>
                </c:pt>
                <c:pt idx="6">
                  <c:v>0.98777046095954846</c:v>
                </c:pt>
              </c:numCache>
            </c:numRef>
          </c:val>
          <c:extLst>
            <c:ext xmlns:c16="http://schemas.microsoft.com/office/drawing/2014/chart" uri="{C3380CC4-5D6E-409C-BE32-E72D297353CC}">
              <c16:uniqueId val="{00000000-0030-46AB-9E81-6606F704E9EC}"/>
            </c:ext>
          </c:extLst>
        </c:ser>
        <c:ser>
          <c:idx val="0"/>
          <c:order val="1"/>
          <c:tx>
            <c:strRef>
              <c:f>'2.PDR Indiv Interview'!$M$4</c:f>
              <c:strCache>
                <c:ptCount val="1"/>
                <c:pt idx="0">
                  <c:v>Outcomes</c:v>
                </c:pt>
              </c:strCache>
            </c:strRef>
          </c:tx>
          <c:spPr>
            <a:solidFill>
              <a:srgbClr val="4472C4">
                <a:lumMod val="5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Interview'!$M$5:$M$11</c:f>
              <c:numCache>
                <c:formatCode>0.0%</c:formatCode>
                <c:ptCount val="7"/>
                <c:pt idx="0">
                  <c:v>0.916241967649014</c:v>
                </c:pt>
                <c:pt idx="1">
                  <c:v>0.94380905022376926</c:v>
                </c:pt>
                <c:pt idx="2">
                  <c:v>0.86564144071226223</c:v>
                </c:pt>
                <c:pt idx="3">
                  <c:v>0.88437321121923296</c:v>
                </c:pt>
                <c:pt idx="4">
                  <c:v>0.93400402414486916</c:v>
                </c:pt>
                <c:pt idx="5">
                  <c:v>0.96996996996996998</c:v>
                </c:pt>
                <c:pt idx="6">
                  <c:v>0.94351851851851853</c:v>
                </c:pt>
              </c:numCache>
            </c:numRef>
          </c:val>
          <c:extLst>
            <c:ext xmlns:c16="http://schemas.microsoft.com/office/drawing/2014/chart" uri="{C3380CC4-5D6E-409C-BE32-E72D297353CC}">
              <c16:uniqueId val="{00000001-0030-46AB-9E81-6606F704E9EC}"/>
            </c:ext>
          </c:extLst>
        </c:ser>
        <c:dLbls>
          <c:showLegendKey val="0"/>
          <c:showVal val="0"/>
          <c:showCatName val="0"/>
          <c:showSerName val="0"/>
          <c:showPercent val="0"/>
          <c:showBubbleSize val="0"/>
        </c:dLbls>
        <c:gapWidth val="100"/>
        <c:axId val="240008784"/>
        <c:axId val="240007152"/>
      </c:barChart>
      <c:catAx>
        <c:axId val="240008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7152"/>
        <c:crosses val="autoZero"/>
        <c:auto val="1"/>
        <c:lblAlgn val="ctr"/>
        <c:lblOffset val="100"/>
        <c:noMultiLvlLbl val="0"/>
      </c:catAx>
      <c:valAx>
        <c:axId val="240007152"/>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b="0">
                <a:latin typeface="Franklin Gothic Medium" panose="020B0603020102020204" pitchFamily="34" charset="0"/>
              </a:defRPr>
            </a:pPr>
            <a:r>
              <a:rPr lang="en-US" sz="1100" b="0">
                <a:latin typeface="Franklin Gothic Medium" panose="020B0603020102020204" pitchFamily="34" charset="0"/>
              </a:rPr>
              <a:t>Figure</a:t>
            </a:r>
            <a:r>
              <a:rPr lang="en-US" sz="1100" b="0" baseline="0">
                <a:latin typeface="Franklin Gothic Medium" panose="020B0603020102020204" pitchFamily="34" charset="0"/>
              </a:rPr>
              <a:t> 17. Service Specific Record Reviews</a:t>
            </a:r>
          </a:p>
          <a:p>
            <a:pPr>
              <a:defRPr sz="1100" b="0">
                <a:latin typeface="Franklin Gothic Medium" panose="020B0603020102020204" pitchFamily="34" charset="0"/>
              </a:defRPr>
            </a:pPr>
            <a:r>
              <a:rPr lang="en-US" sz="1100" b="0" baseline="0">
                <a:latin typeface="Franklin Gothic Medium" panose="020B0603020102020204" pitchFamily="34" charset="0"/>
              </a:rPr>
              <a:t>Percent Met by Service</a:t>
            </a:r>
          </a:p>
          <a:p>
            <a:pPr>
              <a:defRPr sz="1100" b="0">
                <a:latin typeface="Franklin Gothic Medium" panose="020B0603020102020204" pitchFamily="34" charset="0"/>
              </a:defRPr>
            </a:pPr>
            <a:r>
              <a:rPr lang="en-US" sz="1100" b="0" baseline="0">
                <a:latin typeface="Franklin Gothic Medium" panose="020B0603020102020204" pitchFamily="34" charset="0"/>
              </a:rPr>
              <a:t>July - December 2020</a:t>
            </a:r>
            <a:endParaRPr lang="en-US" sz="1100" b="0">
              <a:latin typeface="Franklin Gothic Medium" panose="020B0603020102020204" pitchFamily="34" charset="0"/>
            </a:endParaRPr>
          </a:p>
        </c:rich>
      </c:tx>
      <c:overlay val="0"/>
    </c:title>
    <c:autoTitleDeleted val="0"/>
    <c:plotArea>
      <c:layout>
        <c:manualLayout>
          <c:layoutTarget val="inner"/>
          <c:xMode val="edge"/>
          <c:yMode val="edge"/>
          <c:x val="0.44310118629022038"/>
          <c:y val="0.1726111605611097"/>
          <c:w val="0.49299362469881602"/>
          <c:h val="0.72298617584640712"/>
        </c:manualLayout>
      </c:layout>
      <c:barChart>
        <c:barDir val="bar"/>
        <c:grouping val="clustered"/>
        <c:varyColors val="0"/>
        <c:ser>
          <c:idx val="0"/>
          <c:order val="0"/>
          <c:tx>
            <c:strRef>
              <c:f>'8c.SSRR by Service group'!$B$21</c:f>
              <c:strCache>
                <c:ptCount val="1"/>
                <c:pt idx="0">
                  <c:v>Pct Met</c:v>
                </c:pt>
              </c:strCache>
            </c:strRef>
          </c:tx>
          <c:spPr>
            <a:solidFill>
              <a:schemeClr val="accent1">
                <a:lumMod val="50000"/>
              </a:schemeClr>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'8c.SSRR by Service group'!$A$22:$A$36</c:f>
              <c:strCache>
                <c:ptCount val="14"/>
                <c:pt idx="0">
                  <c:v>Average SSRR WSC (998)</c:v>
                </c:pt>
                <c:pt idx="1">
                  <c:v>Average SSRR Service Providers (1,568)</c:v>
                </c:pt>
                <c:pt idx="2">
                  <c:v>Supported Living Coach (244)</c:v>
                </c:pt>
                <c:pt idx="3">
                  <c:v>Respite (218)</c:v>
                </c:pt>
                <c:pt idx="4">
                  <c:v>ResHab Standard (455)</c:v>
                </c:pt>
                <c:pt idx="5">
                  <c:v>ResHab Intensive (24)</c:v>
                </c:pt>
                <c:pt idx="6">
                  <c:v>Reshab EIB (2)</c:v>
                </c:pt>
                <c:pt idx="7">
                  <c:v>ResHab Behavior Focus (106)</c:v>
                </c:pt>
                <c:pt idx="8">
                  <c:v>Personal Supports (863)</c:v>
                </c:pt>
                <c:pt idx="9">
                  <c:v>LSD 3 ADT(261)</c:v>
                </c:pt>
                <c:pt idx="10">
                  <c:v>LSD 2 Supported Employment (118)</c:v>
                </c:pt>
                <c:pt idx="11">
                  <c:v>LSD 1 Companion (528)</c:v>
                </c:pt>
                <c:pt idx="12">
                  <c:v>Behavior Assistant (21)</c:v>
                </c:pt>
                <c:pt idx="13">
                  <c:v>Behavior Analysis (125)</c:v>
                </c:pt>
              </c:strCache>
            </c:strRef>
          </c:cat>
          <c:val>
            <c:numRef>
              <c:f>'8c.SSRR by Service group'!$B$22:$B$36</c:f>
              <c:numCache>
                <c:formatCode>0.0%</c:formatCode>
                <c:ptCount val="14"/>
                <c:pt idx="0">
                  <c:v>0.95867672663958214</c:v>
                </c:pt>
                <c:pt idx="1">
                  <c:v>0.91748821701278116</c:v>
                </c:pt>
                <c:pt idx="2">
                  <c:v>0.89093</c:v>
                </c:pt>
                <c:pt idx="3">
                  <c:v>0.90844999999999998</c:v>
                </c:pt>
                <c:pt idx="4">
                  <c:v>0.93301000000000001</c:v>
                </c:pt>
                <c:pt idx="5">
                  <c:v>0.95337000000000005</c:v>
                </c:pt>
                <c:pt idx="6">
                  <c:v>0.97916999999999998</c:v>
                </c:pt>
                <c:pt idx="7">
                  <c:v>0.95340000000000003</c:v>
                </c:pt>
                <c:pt idx="8">
                  <c:v>0.90368000000000004</c:v>
                </c:pt>
                <c:pt idx="9">
                  <c:v>0.94213000000000002</c:v>
                </c:pt>
                <c:pt idx="10">
                  <c:v>0.87775999999999998</c:v>
                </c:pt>
                <c:pt idx="11">
                  <c:v>0.91363000000000005</c:v>
                </c:pt>
                <c:pt idx="12">
                  <c:v>0.91044999999999998</c:v>
                </c:pt>
                <c:pt idx="13">
                  <c:v>0.97289999999999999</c:v>
                </c:pt>
              </c:numCache>
            </c:numRef>
          </c:val>
          <c:extLst>
            <c:ext xmlns:c16="http://schemas.microsoft.com/office/drawing/2014/chart" uri="{C3380CC4-5D6E-409C-BE32-E72D297353CC}">
              <c16:uniqueId val="{00000000-94C5-45E6-974C-BA82B0793582}"/>
            </c:ext>
          </c:extLst>
        </c:ser>
        <c:dLbls>
          <c:dLblPos val="outEnd"/>
          <c:showLegendKey val="0"/>
          <c:showVal val="1"/>
          <c:showCatName val="0"/>
          <c:showSerName val="0"/>
          <c:showPercent val="0"/>
          <c:showBubbleSize val="0"/>
        </c:dLbls>
        <c:gapWidth val="73"/>
        <c:axId val="239994640"/>
        <c:axId val="240009328"/>
      </c:barChart>
      <c:dateAx>
        <c:axId val="239994640"/>
        <c:scaling>
          <c:orientation val="minMax"/>
        </c:scaling>
        <c:delete val="0"/>
        <c:axPos val="l"/>
        <c:numFmt formatCode="General" sourceLinked="1"/>
        <c:majorTickMark val="out"/>
        <c:minorTickMark val="none"/>
        <c:tickLblPos val="nextTo"/>
        <c:crossAx val="240009328"/>
        <c:crosses val="autoZero"/>
        <c:auto val="0"/>
        <c:lblOffset val="100"/>
        <c:baseTimeUnit val="days"/>
      </c:dateAx>
      <c:valAx>
        <c:axId val="240009328"/>
        <c:scaling>
          <c:orientation val="minMax"/>
          <c:max val="1"/>
          <c:min val="0.5"/>
        </c:scaling>
        <c:delete val="0"/>
        <c:axPos val="b"/>
        <c:majorGridlines/>
        <c:numFmt formatCode="0%" sourceLinked="0"/>
        <c:majorTickMark val="out"/>
        <c:minorTickMark val="none"/>
        <c:tickLblPos val="nextTo"/>
        <c:crossAx val="239994640"/>
        <c:crosses val="autoZero"/>
        <c:crossBetween val="between"/>
        <c:majorUnit val="0.1"/>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a:latin typeface="Franklin Gothic Medium" panose="020B0603020102020204" pitchFamily="34" charset="0"/>
              </a:rPr>
              <a:t>Figure 18b. Percent of Providers  with All Background Standards Met</a:t>
            </a:r>
          </a:p>
          <a:p>
            <a:pPr>
              <a:defRPr sz="1050">
                <a:latin typeface="Franklin Gothic Medium" panose="020B0603020102020204" pitchFamily="34" charset="0"/>
              </a:defRPr>
            </a:pPr>
            <a:r>
              <a:rPr lang="en-US" sz="1050">
                <a:latin typeface="Franklin Gothic Medium" panose="020B0603020102020204" pitchFamily="34" charset="0"/>
              </a:rPr>
              <a:t>July - December 2020</a:t>
            </a:r>
          </a:p>
        </c:rich>
      </c:tx>
      <c:layout>
        <c:manualLayout>
          <c:xMode val="edge"/>
          <c:yMode val="edge"/>
          <c:x val="0.16745399568935732"/>
          <c:y val="2.222222222222222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6497244239763524E-2"/>
          <c:y val="0.2092108202745647"/>
          <c:w val="0.87314397450992409"/>
          <c:h val="0.60609069784053482"/>
        </c:manualLayout>
      </c:layout>
      <c:barChart>
        <c:barDir val="bar"/>
        <c:grouping val="clustered"/>
        <c:varyColors val="0"/>
        <c:ser>
          <c:idx val="1"/>
          <c:order val="0"/>
          <c:tx>
            <c:strRef>
              <c:f>'5.Backgroung Screening'!$X$4</c:f>
              <c:strCache>
                <c:ptCount val="1"/>
                <c:pt idx="0">
                  <c:v>WSCs (250)</c:v>
                </c:pt>
              </c:strCache>
            </c:strRef>
          </c:tx>
          <c:spPr>
            <a:solidFill>
              <a:schemeClr val="bg1">
                <a:lumMod val="85000"/>
              </a:schemeClr>
            </a:solidFill>
            <a:ln>
              <a:noFill/>
            </a:ln>
            <a:effectLst/>
            <a:scene3d>
              <a:camera prst="orthographicFront"/>
              <a:lightRig rig="threePt" dir="t"/>
            </a:scene3d>
            <a:sp3d/>
          </c:spPr>
          <c:invertIfNegative val="0"/>
          <c:dLbls>
            <c:dLbl>
              <c:idx val="0"/>
              <c:layout>
                <c:manualLayout>
                  <c:x val="-0.14778162349443758"/>
                  <c:y val="7.7205172746574024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F2F-49B0-A365-5968FC1EC5A4}"/>
                </c:ext>
              </c:extLst>
            </c:dLbl>
            <c:dLbl>
              <c:idx val="1"/>
              <c:layout>
                <c:manualLayout>
                  <c:x val="-0.14778162349443749"/>
                  <c:y val="7.7205172746572601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F2F-49B0-A365-5968FC1EC5A4}"/>
                </c:ext>
              </c:extLst>
            </c:dLbl>
            <c:dLbl>
              <c:idx val="6"/>
              <c:layout/>
              <c:tx>
                <c:rich>
                  <a:bodyPr/>
                  <a:lstStyle/>
                  <a:p>
                    <a:r>
                      <a:rPr lang="en-US"/>
                      <a:t>100%</a:t>
                    </a:r>
                  </a:p>
                </c:rich>
              </c:tx>
              <c:dLblPos val="in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F2F-49B0-A365-5968FC1EC5A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Screening'!$R$5:$R$11</c:f>
              <c:strCache>
                <c:ptCount val="7"/>
                <c:pt idx="0">
                  <c:v>State</c:v>
                </c:pt>
                <c:pt idx="1">
                  <c:v>Southern</c:v>
                </c:pt>
                <c:pt idx="2">
                  <c:v>Southeast</c:v>
                </c:pt>
                <c:pt idx="3">
                  <c:v>Suncoast</c:v>
                </c:pt>
                <c:pt idx="4">
                  <c:v>Central</c:v>
                </c:pt>
                <c:pt idx="5">
                  <c:v>Northeast</c:v>
                </c:pt>
                <c:pt idx="6">
                  <c:v>Northwest</c:v>
                </c:pt>
              </c:strCache>
            </c:strRef>
          </c:cat>
          <c:val>
            <c:numRef>
              <c:f>'5.Backgroung Screening'!$X$5:$X$11</c:f>
              <c:numCache>
                <c:formatCode>0.0%</c:formatCode>
                <c:ptCount val="7"/>
                <c:pt idx="0">
                  <c:v>0.91600000000000004</c:v>
                </c:pt>
                <c:pt idx="1">
                  <c:v>0.85185185185185186</c:v>
                </c:pt>
                <c:pt idx="2">
                  <c:v>0.89189189189189189</c:v>
                </c:pt>
                <c:pt idx="3">
                  <c:v>0.93478260869565222</c:v>
                </c:pt>
                <c:pt idx="4">
                  <c:v>0.94</c:v>
                </c:pt>
                <c:pt idx="5">
                  <c:v>0.92307692307692313</c:v>
                </c:pt>
                <c:pt idx="6">
                  <c:v>1</c:v>
                </c:pt>
              </c:numCache>
            </c:numRef>
          </c:val>
          <c:extLst>
            <c:ext xmlns:c16="http://schemas.microsoft.com/office/drawing/2014/chart" uri="{C3380CC4-5D6E-409C-BE32-E72D297353CC}">
              <c16:uniqueId val="{00000000-8F2F-49B0-A365-5968FC1EC5A4}"/>
            </c:ext>
          </c:extLst>
        </c:ser>
        <c:ser>
          <c:idx val="0"/>
          <c:order val="1"/>
          <c:tx>
            <c:strRef>
              <c:f>'5.Backgroung Screening'!$U$4</c:f>
              <c:strCache>
                <c:ptCount val="1"/>
                <c:pt idx="0">
                  <c:v>Service Providers (817)</c:v>
                </c:pt>
              </c:strCache>
            </c:strRef>
          </c:tx>
          <c:spPr>
            <a:solidFill>
              <a:schemeClr val="accent5">
                <a:lumMod val="75000"/>
              </a:schemeClr>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Screening'!$R$5:$R$11</c:f>
              <c:strCache>
                <c:ptCount val="7"/>
                <c:pt idx="0">
                  <c:v>State</c:v>
                </c:pt>
                <c:pt idx="1">
                  <c:v>Southern</c:v>
                </c:pt>
                <c:pt idx="2">
                  <c:v>Southeast</c:v>
                </c:pt>
                <c:pt idx="3">
                  <c:v>Suncoast</c:v>
                </c:pt>
                <c:pt idx="4">
                  <c:v>Central</c:v>
                </c:pt>
                <c:pt idx="5">
                  <c:v>Northeast</c:v>
                </c:pt>
                <c:pt idx="6">
                  <c:v>Northwest</c:v>
                </c:pt>
              </c:strCache>
            </c:strRef>
          </c:cat>
          <c:val>
            <c:numRef>
              <c:f>'5.Backgroung Screening'!$U$5:$U$11</c:f>
              <c:numCache>
                <c:formatCode>0.0%</c:formatCode>
                <c:ptCount val="7"/>
                <c:pt idx="0">
                  <c:v>0.84822521419828645</c:v>
                </c:pt>
                <c:pt idx="1">
                  <c:v>0.80152671755725191</c:v>
                </c:pt>
                <c:pt idx="2">
                  <c:v>0.86399999999999999</c:v>
                </c:pt>
                <c:pt idx="3">
                  <c:v>0.81196581196581197</c:v>
                </c:pt>
                <c:pt idx="4">
                  <c:v>0.86470588235294121</c:v>
                </c:pt>
                <c:pt idx="5">
                  <c:v>0.90517241379310343</c:v>
                </c:pt>
                <c:pt idx="6">
                  <c:v>0.92682926829268297</c:v>
                </c:pt>
              </c:numCache>
            </c:numRef>
          </c:val>
          <c:extLst>
            <c:ext xmlns:c16="http://schemas.microsoft.com/office/drawing/2014/chart" uri="{C3380CC4-5D6E-409C-BE32-E72D297353CC}">
              <c16:uniqueId val="{00000001-8F2F-49B0-A365-5968FC1EC5A4}"/>
            </c:ext>
          </c:extLst>
        </c:ser>
        <c:dLbls>
          <c:showLegendKey val="0"/>
          <c:showVal val="0"/>
          <c:showCatName val="0"/>
          <c:showSerName val="0"/>
          <c:showPercent val="0"/>
          <c:showBubbleSize val="0"/>
        </c:dLbls>
        <c:gapWidth val="200"/>
        <c:axId val="239998992"/>
        <c:axId val="240000080"/>
      </c:barChart>
      <c:catAx>
        <c:axId val="239998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40000080"/>
        <c:crosses val="autoZero"/>
        <c:auto val="1"/>
        <c:lblAlgn val="ctr"/>
        <c:lblOffset val="100"/>
        <c:noMultiLvlLbl val="0"/>
      </c:catAx>
      <c:valAx>
        <c:axId val="240000080"/>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9998992"/>
        <c:crosses val="autoZero"/>
        <c:crossBetween val="between"/>
        <c:minorUnit val="0.1"/>
      </c:valAx>
      <c:spPr>
        <a:noFill/>
        <a:ln>
          <a:noFill/>
        </a:ln>
        <a:effectLst/>
      </c:spPr>
    </c:plotArea>
    <c:legend>
      <c:legendPos val="b"/>
      <c:layout>
        <c:manualLayout>
          <c:xMode val="edge"/>
          <c:yMode val="edge"/>
          <c:x val="9.3115489306961507E-2"/>
          <c:y val="0.92745069855234996"/>
          <c:w val="0.78932380345917752"/>
          <c:h val="7.2549301447650039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a:latin typeface="Franklin Gothic Medium" panose="020B0603020102020204" pitchFamily="34" charset="0"/>
              </a:rPr>
              <a:t>Figure 18a. Percent of Providers  with All Background Standards Met</a:t>
            </a:r>
          </a:p>
          <a:p>
            <a:pPr>
              <a:defRPr sz="1050">
                <a:latin typeface="Franklin Gothic Medium" panose="020B0603020102020204" pitchFamily="34" charset="0"/>
              </a:defRPr>
            </a:pPr>
            <a:r>
              <a:rPr lang="en-US" sz="1050">
                <a:latin typeface="Franklin Gothic Medium" panose="020B0603020102020204" pitchFamily="34" charset="0"/>
              </a:rPr>
              <a:t>July 2019 - March 2020</a:t>
            </a:r>
          </a:p>
        </c:rich>
      </c:tx>
      <c:layout>
        <c:manualLayout>
          <c:xMode val="edge"/>
          <c:yMode val="edge"/>
          <c:x val="0.16745399568935732"/>
          <c:y val="2.222222222222222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barChart>
        <c:barDir val="bar"/>
        <c:grouping val="clustered"/>
        <c:varyColors val="0"/>
        <c:ser>
          <c:idx val="1"/>
          <c:order val="0"/>
          <c:tx>
            <c:strRef>
              <c:f>'5.Backgroung Screening'!$P$4</c:f>
              <c:strCache>
                <c:ptCount val="1"/>
                <c:pt idx="0">
                  <c:v>WSCs (404)</c:v>
                </c:pt>
              </c:strCache>
            </c:strRef>
          </c:tx>
          <c:spPr>
            <a:solidFill>
              <a:srgbClr val="E7E6E6">
                <a:lumMod val="90000"/>
              </a:srgbClr>
            </a:solidFill>
            <a:ln>
              <a:noFill/>
            </a:ln>
            <a:effectLst/>
            <a:scene3d>
              <a:camera prst="orthographicFront"/>
              <a:lightRig rig="threePt" dir="t"/>
            </a:scene3d>
            <a:sp3d/>
          </c:spPr>
          <c:invertIfNegative val="0"/>
          <c:dLbls>
            <c:dLbl>
              <c:idx val="6"/>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0-0301-4276-9D19-9135347C03A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Screening'!$J$5:$J$11</c:f>
              <c:strCache>
                <c:ptCount val="7"/>
                <c:pt idx="0">
                  <c:v>State</c:v>
                </c:pt>
                <c:pt idx="1">
                  <c:v>Southern</c:v>
                </c:pt>
                <c:pt idx="2">
                  <c:v>Southeast</c:v>
                </c:pt>
                <c:pt idx="3">
                  <c:v>Suncoast</c:v>
                </c:pt>
                <c:pt idx="4">
                  <c:v>Central</c:v>
                </c:pt>
                <c:pt idx="5">
                  <c:v>Northeast</c:v>
                </c:pt>
                <c:pt idx="6">
                  <c:v>Northwest</c:v>
                </c:pt>
              </c:strCache>
            </c:strRef>
          </c:cat>
          <c:val>
            <c:numRef>
              <c:f>'5.Backgroung Screening'!$P$5:$P$11</c:f>
              <c:numCache>
                <c:formatCode>0.0%</c:formatCode>
                <c:ptCount val="7"/>
                <c:pt idx="0">
                  <c:v>0.94059405940594054</c:v>
                </c:pt>
                <c:pt idx="1">
                  <c:v>0.95652173913043481</c:v>
                </c:pt>
                <c:pt idx="2">
                  <c:v>0.9042553191489362</c:v>
                </c:pt>
                <c:pt idx="3">
                  <c:v>0.95714285714285718</c:v>
                </c:pt>
                <c:pt idx="4">
                  <c:v>0.93548387096774188</c:v>
                </c:pt>
                <c:pt idx="5">
                  <c:v>0.93939393939393945</c:v>
                </c:pt>
                <c:pt idx="6">
                  <c:v>1</c:v>
                </c:pt>
              </c:numCache>
            </c:numRef>
          </c:val>
          <c:extLst>
            <c:ext xmlns:c16="http://schemas.microsoft.com/office/drawing/2014/chart" uri="{C3380CC4-5D6E-409C-BE32-E72D297353CC}">
              <c16:uniqueId val="{00000001-0301-4276-9D19-9135347C03AE}"/>
            </c:ext>
          </c:extLst>
        </c:ser>
        <c:ser>
          <c:idx val="0"/>
          <c:order val="1"/>
          <c:tx>
            <c:strRef>
              <c:f>'5.Backgroung Screening'!$M$4</c:f>
              <c:strCache>
                <c:ptCount val="1"/>
                <c:pt idx="0">
                  <c:v>Service Providers (1,006)</c:v>
                </c:pt>
              </c:strCache>
            </c:strRef>
          </c:tx>
          <c:spPr>
            <a:solidFill>
              <a:srgbClr val="4472C4">
                <a:lumMod val="75000"/>
              </a:srgbClr>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Screening'!$J$5:$J$11</c:f>
              <c:strCache>
                <c:ptCount val="7"/>
                <c:pt idx="0">
                  <c:v>State</c:v>
                </c:pt>
                <c:pt idx="1">
                  <c:v>Southern</c:v>
                </c:pt>
                <c:pt idx="2">
                  <c:v>Southeast</c:v>
                </c:pt>
                <c:pt idx="3">
                  <c:v>Suncoast</c:v>
                </c:pt>
                <c:pt idx="4">
                  <c:v>Central</c:v>
                </c:pt>
                <c:pt idx="5">
                  <c:v>Northeast</c:v>
                </c:pt>
                <c:pt idx="6">
                  <c:v>Northwest</c:v>
                </c:pt>
              </c:strCache>
            </c:strRef>
          </c:cat>
          <c:val>
            <c:numRef>
              <c:f>'5.Backgroung Screening'!$M$5:$M$11</c:f>
              <c:numCache>
                <c:formatCode>0.0%</c:formatCode>
                <c:ptCount val="7"/>
                <c:pt idx="0">
                  <c:v>0.8499005964214712</c:v>
                </c:pt>
                <c:pt idx="1">
                  <c:v>0.86029411764705888</c:v>
                </c:pt>
                <c:pt idx="2">
                  <c:v>0.86387434554973819</c:v>
                </c:pt>
                <c:pt idx="3">
                  <c:v>0.84647302904564314</c:v>
                </c:pt>
                <c:pt idx="4">
                  <c:v>0.84153005464480879</c:v>
                </c:pt>
                <c:pt idx="5">
                  <c:v>0.82065217391304346</c:v>
                </c:pt>
                <c:pt idx="6">
                  <c:v>0.90140845070422537</c:v>
                </c:pt>
              </c:numCache>
            </c:numRef>
          </c:val>
          <c:extLst>
            <c:ext xmlns:c16="http://schemas.microsoft.com/office/drawing/2014/chart" uri="{C3380CC4-5D6E-409C-BE32-E72D297353CC}">
              <c16:uniqueId val="{00000002-0301-4276-9D19-9135347C03AE}"/>
            </c:ext>
          </c:extLst>
        </c:ser>
        <c:dLbls>
          <c:showLegendKey val="0"/>
          <c:showVal val="0"/>
          <c:showCatName val="0"/>
          <c:showSerName val="0"/>
          <c:showPercent val="0"/>
          <c:showBubbleSize val="0"/>
        </c:dLbls>
        <c:gapWidth val="200"/>
        <c:axId val="846559584"/>
        <c:axId val="930749168"/>
      </c:barChart>
      <c:catAx>
        <c:axId val="846559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30749168"/>
        <c:crosses val="autoZero"/>
        <c:auto val="1"/>
        <c:lblAlgn val="ctr"/>
        <c:lblOffset val="100"/>
        <c:noMultiLvlLbl val="0"/>
      </c:catAx>
      <c:valAx>
        <c:axId val="930749168"/>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46559584"/>
        <c:crosses val="autoZero"/>
        <c:crossBetween val="between"/>
        <c:minorUnit val="0.1"/>
      </c:valAx>
      <c:spPr>
        <a:noFill/>
        <a:ln>
          <a:noFill/>
        </a:ln>
        <a:effectLst/>
      </c:spPr>
    </c:plotArea>
    <c:legend>
      <c:legendPos val="b"/>
      <c:layout>
        <c:manualLayout>
          <c:xMode val="edge"/>
          <c:yMode val="edge"/>
          <c:x val="1.4211861348190098E-2"/>
          <c:y val="0.91963821846454441"/>
          <c:w val="0.8854988994677796"/>
          <c:h val="6.8926675760727169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solidFill>
                <a:latin typeface="Franklin Gothic Medium" panose="020B0603020102020204" pitchFamily="34" charset="0"/>
                <a:ea typeface="+mn-ea"/>
                <a:cs typeface="+mn-cs"/>
              </a:defRPr>
            </a:pPr>
            <a:r>
              <a:rPr lang="en-US" sz="1050">
                <a:solidFill>
                  <a:schemeClr val="tx1"/>
                </a:solidFill>
                <a:latin typeface="Franklin Gothic Medium" panose="020B0603020102020204" pitchFamily="34" charset="0"/>
              </a:rPr>
              <a:t>Figure 17.  Percent with ALL Billing</a:t>
            </a:r>
            <a:r>
              <a:rPr lang="en-US" sz="1050" baseline="0">
                <a:solidFill>
                  <a:schemeClr val="tx1"/>
                </a:solidFill>
                <a:latin typeface="Franklin Gothic Medium" panose="020B0603020102020204" pitchFamily="34" charset="0"/>
              </a:rPr>
              <a:t> Discrepancy Standards Met</a:t>
            </a:r>
          </a:p>
          <a:p>
            <a:pPr>
              <a:defRPr sz="1050">
                <a:solidFill>
                  <a:schemeClr val="tx1"/>
                </a:solidFill>
                <a:latin typeface="Franklin Gothic Medium" panose="020B0603020102020204" pitchFamily="34" charset="0"/>
              </a:defRPr>
            </a:pPr>
            <a:r>
              <a:rPr lang="en-US" sz="1050" baseline="0">
                <a:solidFill>
                  <a:schemeClr val="tx1"/>
                </a:solidFill>
                <a:latin typeface="Franklin Gothic Medium" panose="020B0603020102020204" pitchFamily="34" charset="0"/>
              </a:rPr>
              <a:t>July - December 2020</a:t>
            </a:r>
            <a:endParaRPr lang="en-US" sz="1050">
              <a:solidFill>
                <a:schemeClr val="tx1"/>
              </a:solidFill>
              <a:latin typeface="Franklin Gothic Medium" panose="020B0603020102020204" pitchFamily="34" charset="0"/>
            </a:endParaRPr>
          </a:p>
        </c:rich>
      </c:tx>
      <c:layout>
        <c:manualLayout>
          <c:xMode val="edge"/>
          <c:yMode val="edge"/>
          <c:x val="0.16929265091863518"/>
          <c:y val="3.2222222222222222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1186544696618809"/>
          <c:w val="0.87232174103237092"/>
          <c:h val="0.53721668982553661"/>
        </c:manualLayout>
      </c:layout>
      <c:barChart>
        <c:barDir val="col"/>
        <c:grouping val="clustered"/>
        <c:varyColors val="0"/>
        <c:ser>
          <c:idx val="0"/>
          <c:order val="0"/>
          <c:tx>
            <c:strRef>
              <c:f>'9.Billing Discrepancy'!$I$3:$M$3</c:f>
              <c:strCache>
                <c:ptCount val="1"/>
                <c:pt idx="0">
                  <c:v>Service Providers</c:v>
                </c:pt>
              </c:strCache>
            </c:strRef>
          </c:tx>
          <c:spPr>
            <a:solidFill>
              <a:schemeClr val="tx2">
                <a:lumMod val="75000"/>
              </a:schemeClr>
            </a:solidFill>
            <a:ln>
              <a:noFill/>
            </a:ln>
            <a:effectLst/>
            <a:scene3d>
              <a:camera prst="orthographicFront"/>
              <a:lightRig rig="threePt" dir="t"/>
            </a:scene3d>
            <a:sp3d>
              <a:bevelT prst="angle"/>
            </a:sp3d>
          </c:spPr>
          <c:invertIfNegative val="0"/>
          <c:dLbls>
            <c:dLbl>
              <c:idx val="1"/>
              <c:layout>
                <c:manualLayout>
                  <c:x val="-5.1941306323854044E-3"/>
                  <c:y val="9.80392156862745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DF4-44D4-A429-1F3058F997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'9.Billing Discrepancy'!$I$4:$I$10</c:f>
              <c:strCache>
                <c:ptCount val="7"/>
                <c:pt idx="0">
                  <c:v>Northwest</c:v>
                </c:pt>
                <c:pt idx="1">
                  <c:v>Northeast</c:v>
                </c:pt>
                <c:pt idx="2">
                  <c:v>Central</c:v>
                </c:pt>
                <c:pt idx="3">
                  <c:v>Suncoast</c:v>
                </c:pt>
                <c:pt idx="4">
                  <c:v>Southeast</c:v>
                </c:pt>
                <c:pt idx="5">
                  <c:v>Southern</c:v>
                </c:pt>
                <c:pt idx="6">
                  <c:v>State</c:v>
                </c:pt>
              </c:strCache>
            </c:strRef>
          </c:cat>
          <c:val>
            <c:numRef>
              <c:f>'9.Billing Discrepancy'!$M$4:$M$10</c:f>
              <c:numCache>
                <c:formatCode>0.0%</c:formatCode>
                <c:ptCount val="7"/>
                <c:pt idx="0">
                  <c:v>0.57499999999999996</c:v>
                </c:pt>
                <c:pt idx="1">
                  <c:v>0.66086956521739126</c:v>
                </c:pt>
                <c:pt idx="2">
                  <c:v>0.63095238095238093</c:v>
                </c:pt>
                <c:pt idx="3">
                  <c:v>0.46153846153846156</c:v>
                </c:pt>
                <c:pt idx="4">
                  <c:v>0.70399999999999996</c:v>
                </c:pt>
                <c:pt idx="5">
                  <c:v>0.67938931297709926</c:v>
                </c:pt>
                <c:pt idx="6">
                  <c:v>0.60270602706027065</c:v>
                </c:pt>
              </c:numCache>
            </c:numRef>
          </c:val>
          <c:extLst>
            <c:ext xmlns:c16="http://schemas.microsoft.com/office/drawing/2014/chart" uri="{C3380CC4-5D6E-409C-BE32-E72D297353CC}">
              <c16:uniqueId val="{00000000-3DF4-44D4-A429-1F3058F997E7}"/>
            </c:ext>
          </c:extLst>
        </c:ser>
        <c:ser>
          <c:idx val="1"/>
          <c:order val="1"/>
          <c:tx>
            <c:strRef>
              <c:f>'9.Billing Discrepancy'!$I$11</c:f>
              <c:strCache>
                <c:ptCount val="1"/>
                <c:pt idx="0">
                  <c:v>WSCs</c:v>
                </c:pt>
              </c:strCache>
            </c:strRef>
          </c:tx>
          <c:spPr>
            <a:solidFill>
              <a:schemeClr val="bg2"/>
            </a:solidFill>
            <a:ln>
              <a:noFill/>
            </a:ln>
            <a:effectLst/>
            <a:scene3d>
              <a:camera prst="orthographicFront"/>
              <a:lightRig rig="threePt" dir="t"/>
            </a:scene3d>
            <a:sp3d>
              <a:bevelT prst="angle"/>
            </a:sp3d>
          </c:spPr>
          <c:invertIfNegative val="0"/>
          <c:dLbls>
            <c:dLbl>
              <c:idx val="1"/>
              <c:layout>
                <c:manualLayout>
                  <c:x val="2.5970653161927024E-2"/>
                  <c:y val="-4.90196078431377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DF4-44D4-A429-1F3058F997E7}"/>
                </c:ext>
              </c:extLst>
            </c:dLbl>
            <c:dLbl>
              <c:idx val="2"/>
              <c:layout>
                <c:manualLayout>
                  <c:x val="3.6417399519645115E-2"/>
                  <c:y val="5.2146055272502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F4-44D4-A429-1F3058F997E7}"/>
                </c:ext>
              </c:extLst>
            </c:dLbl>
            <c:dLbl>
              <c:idx val="3"/>
              <c:layout>
                <c:manualLayout>
                  <c:x val="2.575107296137339E-2"/>
                  <c:y val="5.3333333333333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F4-44D4-A429-1F3058F997E7}"/>
                </c:ext>
              </c:extLst>
            </c:dLbl>
            <c:dLbl>
              <c:idx val="4"/>
              <c:layout>
                <c:manualLayout>
                  <c:x val="1.8179457213348914E-2"/>
                  <c:y val="1.47058823529411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DF4-44D4-A429-1F3058F997E7}"/>
                </c:ext>
              </c:extLst>
            </c:dLbl>
            <c:dLbl>
              <c:idx val="5"/>
              <c:layout>
                <c:manualLayout>
                  <c:x val="1.8179457213348914E-2"/>
                  <c:y val="1.47058823529411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DF4-44D4-A429-1F3058F997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'9.Billing Discrepancy'!$I$4:$I$10</c:f>
              <c:strCache>
                <c:ptCount val="7"/>
                <c:pt idx="0">
                  <c:v>Northwest</c:v>
                </c:pt>
                <c:pt idx="1">
                  <c:v>Northeast</c:v>
                </c:pt>
                <c:pt idx="2">
                  <c:v>Central</c:v>
                </c:pt>
                <c:pt idx="3">
                  <c:v>Suncoast</c:v>
                </c:pt>
                <c:pt idx="4">
                  <c:v>Southeast</c:v>
                </c:pt>
                <c:pt idx="5">
                  <c:v>Southern</c:v>
                </c:pt>
                <c:pt idx="6">
                  <c:v>State</c:v>
                </c:pt>
              </c:strCache>
            </c:strRef>
          </c:cat>
          <c:val>
            <c:numRef>
              <c:f>'9.Billing Discrepancy'!$M$12:$M$18</c:f>
              <c:numCache>
                <c:formatCode>0.0%</c:formatCode>
                <c:ptCount val="7"/>
                <c:pt idx="0">
                  <c:v>0.9285714285714286</c:v>
                </c:pt>
                <c:pt idx="1">
                  <c:v>0.74358974358974361</c:v>
                </c:pt>
                <c:pt idx="2">
                  <c:v>0.8</c:v>
                </c:pt>
                <c:pt idx="3">
                  <c:v>0.69565217391304346</c:v>
                </c:pt>
                <c:pt idx="4">
                  <c:v>0.8904109589041096</c:v>
                </c:pt>
                <c:pt idx="5">
                  <c:v>0.96296296296296291</c:v>
                </c:pt>
                <c:pt idx="6">
                  <c:v>0.82329317269076308</c:v>
                </c:pt>
              </c:numCache>
            </c:numRef>
          </c:val>
          <c:extLst>
            <c:ext xmlns:c16="http://schemas.microsoft.com/office/drawing/2014/chart" uri="{C3380CC4-5D6E-409C-BE32-E72D297353CC}">
              <c16:uniqueId val="{00000003-3DF4-44D4-A429-1F3058F997E7}"/>
            </c:ext>
          </c:extLst>
        </c:ser>
        <c:dLbls>
          <c:showLegendKey val="0"/>
          <c:showVal val="0"/>
          <c:showCatName val="0"/>
          <c:showSerName val="0"/>
          <c:showPercent val="0"/>
          <c:showBubbleSize val="0"/>
        </c:dLbls>
        <c:gapWidth val="219"/>
        <c:overlap val="-27"/>
        <c:axId val="239995184"/>
        <c:axId val="240000624"/>
      </c:barChart>
      <c:catAx>
        <c:axId val="23999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40000624"/>
        <c:crosses val="autoZero"/>
        <c:auto val="1"/>
        <c:lblAlgn val="ctr"/>
        <c:lblOffset val="100"/>
        <c:noMultiLvlLbl val="0"/>
      </c:catAx>
      <c:valAx>
        <c:axId val="2400006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39995184"/>
        <c:crosses val="autoZero"/>
        <c:crossBetween val="between"/>
        <c:minorUnit val="0.25"/>
      </c:valAx>
      <c:spPr>
        <a:noFill/>
        <a:ln>
          <a:noFill/>
        </a:ln>
        <a:effectLst/>
      </c:spPr>
    </c:plotArea>
    <c:legend>
      <c:legendPos val="b"/>
      <c:layout>
        <c:manualLayout>
          <c:xMode val="edge"/>
          <c:yMode val="edge"/>
          <c:x val="0.28655118110236222"/>
          <c:y val="0.88757480314960635"/>
          <c:w val="0.49356430446194227"/>
          <c:h val="8.5758530183727033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3. Distribution of PCRs by Disability</a:t>
            </a:r>
          </a:p>
          <a:p>
            <a:pPr>
              <a:defRPr sz="1100">
                <a:latin typeface="Franklin Gothic Medium" panose="020B0603020102020204" pitchFamily="34" charset="0"/>
              </a:defRPr>
            </a:pPr>
            <a:r>
              <a:rPr lang="en-US" sz="900">
                <a:latin typeface="Franklin Gothic Medium" panose="020B0603020102020204" pitchFamily="34" charset="0"/>
              </a:rPr>
              <a:t>July - December 2020</a:t>
            </a:r>
          </a:p>
        </c:rich>
      </c:tx>
      <c:layout>
        <c:manualLayout>
          <c:xMode val="edge"/>
          <c:yMode val="edge"/>
          <c:x val="0.1522075634585412"/>
          <c:y val="4.4863167339614174E-3"/>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016150740242261"/>
          <c:w val="0.85985039949476527"/>
          <c:h val="0.43922528433945768"/>
        </c:manualLayout>
      </c:layout>
      <c:barChart>
        <c:barDir val="col"/>
        <c:grouping val="clustered"/>
        <c:varyColors val="0"/>
        <c:ser>
          <c:idx val="0"/>
          <c:order val="0"/>
          <c:tx>
            <c:strRef>
              <c:f>Demographics!$H$3</c:f>
              <c:strCache>
                <c:ptCount val="1"/>
                <c:pt idx="0">
                  <c:v>Waiver (602)</c:v>
                </c:pt>
              </c:strCache>
            </c:strRef>
          </c:tx>
          <c:spPr>
            <a:solidFill>
              <a:schemeClr val="accent2">
                <a:lumMod val="75000"/>
              </a:schemeClr>
            </a:solidFill>
            <a:ln>
              <a:noFill/>
            </a:ln>
            <a:effectLst/>
            <a:scene3d>
              <a:camera prst="orthographicFront"/>
              <a:lightRig rig="threePt" dir="t"/>
            </a:scene3d>
            <a:sp3d>
              <a:bevelT prst="angle"/>
            </a:sp3d>
          </c:spPr>
          <c:invertIfNegative val="0"/>
          <c:dLbls>
            <c:dLbl>
              <c:idx val="1"/>
              <c:layout>
                <c:manualLayout>
                  <c:x val="-6.7226890756303141E-3"/>
                  <c:y val="1.017811704834605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039-4CCB-B3E9-77971DE5D20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Demographics!$A$13:$A$16</c:f>
              <c:strCache>
                <c:ptCount val="4"/>
                <c:pt idx="0">
                  <c:v>Autism</c:v>
                </c:pt>
                <c:pt idx="1">
                  <c:v>Cerebral Palsy</c:v>
                </c:pt>
                <c:pt idx="2">
                  <c:v>Intellectual Disability</c:v>
                </c:pt>
                <c:pt idx="3">
                  <c:v>Other</c:v>
                </c:pt>
              </c:strCache>
            </c:strRef>
          </c:cat>
          <c:val>
            <c:numRef>
              <c:f>Demographics!$C$13:$C$16</c:f>
              <c:numCache>
                <c:formatCode>0.0%</c:formatCode>
                <c:ptCount val="4"/>
                <c:pt idx="0">
                  <c:v>0.13455149501661129</c:v>
                </c:pt>
                <c:pt idx="1">
                  <c:v>9.9667774086378738E-2</c:v>
                </c:pt>
                <c:pt idx="2">
                  <c:v>0.70598006644518274</c:v>
                </c:pt>
                <c:pt idx="3">
                  <c:v>5.9800664451827246E-2</c:v>
                </c:pt>
              </c:numCache>
            </c:numRef>
          </c:val>
          <c:extLst>
            <c:ext xmlns:c16="http://schemas.microsoft.com/office/drawing/2014/chart" uri="{C3380CC4-5D6E-409C-BE32-E72D297353CC}">
              <c16:uniqueId val="{00000001-C039-4CCB-B3E9-77971DE5D20B}"/>
            </c:ext>
          </c:extLst>
        </c:ser>
        <c:ser>
          <c:idx val="1"/>
          <c:order val="1"/>
          <c:tx>
            <c:strRef>
              <c:f>Demographics!$J$3</c:f>
              <c:strCache>
                <c:ptCount val="1"/>
                <c:pt idx="0">
                  <c:v>CDC+ (72)</c:v>
                </c:pt>
              </c:strCache>
            </c:strRef>
          </c:tx>
          <c:spPr>
            <a:solidFill>
              <a:schemeClr val="bg1">
                <a:lumMod val="85000"/>
              </a:schemeClr>
            </a:solidFill>
            <a:ln>
              <a:noFill/>
            </a:ln>
            <a:effectLst/>
            <a:scene3d>
              <a:camera prst="orthographicFront"/>
              <a:lightRig rig="threePt" dir="t"/>
            </a:scene3d>
            <a:sp3d>
              <a:bevelT prst="angle"/>
            </a:sp3d>
          </c:spPr>
          <c:invertIfNegative val="0"/>
          <c:dLbls>
            <c:dLbl>
              <c:idx val="0"/>
              <c:layout>
                <c:manualLayout>
                  <c:x val="2.6490066225165563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039-4CCB-B3E9-77971DE5D20B}"/>
                </c:ext>
              </c:extLst>
            </c:dLbl>
            <c:dLbl>
              <c:idx val="1"/>
              <c:layout>
                <c:manualLayout>
                  <c:x val="2.6490066225165563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039-4CCB-B3E9-77971DE5D20B}"/>
                </c:ext>
              </c:extLst>
            </c:dLbl>
            <c:dLbl>
              <c:idx val="2"/>
              <c:layout>
                <c:manualLayout>
                  <c:x val="4.7093451066961001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039-4CCB-B3E9-77971DE5D20B}"/>
                </c:ext>
              </c:extLst>
            </c:dLbl>
            <c:dLbl>
              <c:idx val="3"/>
              <c:layout>
                <c:manualLayout>
                  <c:x val="2.3546615496592215E-2"/>
                  <c:y val="8.3119953517260727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039-4CCB-B3E9-77971DE5D20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Demographics!$A$13:$A$16</c:f>
              <c:strCache>
                <c:ptCount val="4"/>
                <c:pt idx="0">
                  <c:v>Autism</c:v>
                </c:pt>
                <c:pt idx="1">
                  <c:v>Cerebral Palsy</c:v>
                </c:pt>
                <c:pt idx="2">
                  <c:v>Intellectual Disability</c:v>
                </c:pt>
                <c:pt idx="3">
                  <c:v>Other</c:v>
                </c:pt>
              </c:strCache>
            </c:strRef>
          </c:cat>
          <c:val>
            <c:numRef>
              <c:f>Demographics!$E$13:$E$16</c:f>
              <c:numCache>
                <c:formatCode>0.0%</c:formatCode>
                <c:ptCount val="4"/>
                <c:pt idx="0">
                  <c:v>0.22222222222222221</c:v>
                </c:pt>
                <c:pt idx="1">
                  <c:v>0.125</c:v>
                </c:pt>
                <c:pt idx="2">
                  <c:v>0.625</c:v>
                </c:pt>
                <c:pt idx="3">
                  <c:v>2.7777777777777776E-2</c:v>
                </c:pt>
              </c:numCache>
            </c:numRef>
          </c:val>
          <c:extLst>
            <c:ext xmlns:c16="http://schemas.microsoft.com/office/drawing/2014/chart" uri="{C3380CC4-5D6E-409C-BE32-E72D297353CC}">
              <c16:uniqueId val="{00000006-C039-4CCB-B3E9-77971DE5D20B}"/>
            </c:ext>
          </c:extLst>
        </c:ser>
        <c:dLbls>
          <c:dLblPos val="outEnd"/>
          <c:showLegendKey val="0"/>
          <c:showVal val="1"/>
          <c:showCatName val="0"/>
          <c:showSerName val="0"/>
          <c:showPercent val="0"/>
          <c:showBubbleSize val="0"/>
        </c:dLbls>
        <c:gapWidth val="219"/>
        <c:overlap val="-27"/>
        <c:axId val="582155488"/>
        <c:axId val="582159840"/>
      </c:barChart>
      <c:catAx>
        <c:axId val="58215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2159840"/>
        <c:crosses val="autoZero"/>
        <c:auto val="1"/>
        <c:lblAlgn val="ctr"/>
        <c:lblOffset val="100"/>
        <c:noMultiLvlLbl val="0"/>
      </c:catAx>
      <c:valAx>
        <c:axId val="5821598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2155488"/>
        <c:crosses val="autoZero"/>
        <c:crossBetween val="between"/>
        <c:minorUnit val="0.25"/>
      </c:valAx>
      <c:spPr>
        <a:noFill/>
        <a:ln>
          <a:noFill/>
        </a:ln>
        <a:effectLst/>
      </c:spPr>
    </c:plotArea>
    <c:legend>
      <c:legendPos val="r"/>
      <c:layout>
        <c:manualLayout>
          <c:xMode val="edge"/>
          <c:yMode val="edge"/>
          <c:x val="0.26259373207488135"/>
          <c:y val="0.82920559930008764"/>
          <c:w val="0.52037150985265912"/>
          <c:h val="9.034561519504719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a:t>Figure 4.  MLI</a:t>
            </a:r>
            <a:r>
              <a:rPr lang="en-US" sz="1100" baseline="0"/>
              <a:t> Outcomes vs Supports Score Ranges</a:t>
            </a:r>
          </a:p>
          <a:p>
            <a:pPr>
              <a:defRPr sz="1100"/>
            </a:pPr>
            <a:r>
              <a:rPr lang="en-US" sz="1100" baseline="0"/>
              <a:t> (July - December 2020)</a:t>
            </a:r>
            <a:endParaRPr lang="en-US" sz="1100"/>
          </a:p>
        </c:rich>
      </c:tx>
      <c:layout>
        <c:manualLayout>
          <c:xMode val="edge"/>
          <c:yMode val="edge"/>
          <c:x val="0.11219468409875898"/>
          <c:y val="2.6700031193835655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8.8735291900522872E-2"/>
          <c:y val="0.18323290600143641"/>
          <c:w val="0.89211762367824121"/>
          <c:h val="0.55239973100244166"/>
        </c:manualLayout>
      </c:layout>
      <c:lineChart>
        <c:grouping val="standard"/>
        <c:varyColors val="0"/>
        <c:ser>
          <c:idx val="0"/>
          <c:order val="0"/>
          <c:tx>
            <c:strRef>
              <c:f>'Interview Score Ranges'!$B$25</c:f>
              <c:strCache>
                <c:ptCount val="1"/>
                <c:pt idx="0">
                  <c:v>Lowest Score</c:v>
                </c:pt>
              </c:strCache>
            </c:strRef>
          </c:tx>
          <c:spPr>
            <a:ln w="25400" cap="rnd">
              <a:noFill/>
              <a:round/>
            </a:ln>
            <a:effectLst/>
          </c:spPr>
          <c:marker>
            <c:symbol val="circle"/>
            <c:size val="6"/>
            <c:spPr>
              <a:solidFill>
                <a:schemeClr val="accent1"/>
              </a:solidFill>
              <a:ln w="9525">
                <a:solidFill>
                  <a:schemeClr val="accent1">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'Interview Score Ranges'!$C$23:$F$24</c:f>
              <c:multiLvlStrCache>
                <c:ptCount val="4"/>
                <c:lvl>
                  <c:pt idx="0">
                    <c:v>Outcomes</c:v>
                  </c:pt>
                  <c:pt idx="1">
                    <c:v>Supports</c:v>
                  </c:pt>
                  <c:pt idx="2">
                    <c:v>Outcomes </c:v>
                  </c:pt>
                  <c:pt idx="3">
                    <c:v>Supports</c:v>
                  </c:pt>
                </c:lvl>
                <c:lvl>
                  <c:pt idx="0">
                    <c:v>Waiver (n = 602)</c:v>
                  </c:pt>
                  <c:pt idx="2">
                    <c:v>CDC+ (n = 72)</c:v>
                  </c:pt>
                </c:lvl>
              </c:multiLvlStrCache>
            </c:multiLvlStrRef>
          </c:cat>
          <c:val>
            <c:numRef>
              <c:f>'Interview Score Ranges'!$C$25:$F$25</c:f>
              <c:numCache>
                <c:formatCode>0.0%</c:formatCode>
                <c:ptCount val="4"/>
                <c:pt idx="0">
                  <c:v>0.25</c:v>
                </c:pt>
                <c:pt idx="1">
                  <c:v>0.192</c:v>
                </c:pt>
                <c:pt idx="2">
                  <c:v>0.3</c:v>
                </c:pt>
                <c:pt idx="3">
                  <c:v>0.76500000000000001</c:v>
                </c:pt>
              </c:numCache>
            </c:numRef>
          </c:val>
          <c:smooth val="0"/>
          <c:extLst>
            <c:ext xmlns:c16="http://schemas.microsoft.com/office/drawing/2014/chart" uri="{C3380CC4-5D6E-409C-BE32-E72D297353CC}">
              <c16:uniqueId val="{00000000-EE02-472B-A43C-87B475610B8F}"/>
            </c:ext>
          </c:extLst>
        </c:ser>
        <c:ser>
          <c:idx val="1"/>
          <c:order val="1"/>
          <c:tx>
            <c:strRef>
              <c:f>'Interview Score Ranges'!$B$26</c:f>
              <c:strCache>
                <c:ptCount val="1"/>
                <c:pt idx="0">
                  <c:v>Average</c:v>
                </c:pt>
              </c:strCache>
            </c:strRef>
          </c:tx>
          <c:spPr>
            <a:ln w="25400" cap="rnd">
              <a:noFill/>
              <a:round/>
            </a:ln>
            <a:effectLst/>
          </c:spPr>
          <c:marker>
            <c:symbol val="triangle"/>
            <c:size val="10"/>
            <c:spPr>
              <a:solidFill>
                <a:schemeClr val="accent2"/>
              </a:solidFill>
              <a:ln w="9525">
                <a:solidFill>
                  <a:schemeClr val="accent2"/>
                </a:solidFill>
              </a:ln>
              <a:effectLst/>
            </c:spPr>
          </c:marker>
          <c:dPt>
            <c:idx val="1"/>
            <c:marker>
              <c:symbol val="triangle"/>
              <c:size val="10"/>
              <c:spPr>
                <a:solidFill>
                  <a:schemeClr val="accent2"/>
                </a:solidFill>
                <a:ln w="9525">
                  <a:solidFill>
                    <a:schemeClr val="accent2"/>
                  </a:solidFill>
                </a:ln>
                <a:effectLst/>
              </c:spPr>
            </c:marker>
            <c:bubble3D val="0"/>
            <c:extLst>
              <c:ext xmlns:c16="http://schemas.microsoft.com/office/drawing/2014/chart" uri="{C3380CC4-5D6E-409C-BE32-E72D297353CC}">
                <c16:uniqueId val="{00000001-EE02-472B-A43C-87B475610B8F}"/>
              </c:ext>
            </c:extLst>
          </c:dPt>
          <c:dPt>
            <c:idx val="3"/>
            <c:marker>
              <c:symbol val="triangle"/>
              <c:size val="10"/>
              <c:spPr>
                <a:solidFill>
                  <a:schemeClr val="accent2"/>
                </a:solidFill>
                <a:ln w="9525">
                  <a:solidFill>
                    <a:schemeClr val="accent2"/>
                  </a:solidFill>
                </a:ln>
                <a:effectLst/>
              </c:spPr>
            </c:marker>
            <c:bubble3D val="0"/>
            <c:extLst>
              <c:ext xmlns:c16="http://schemas.microsoft.com/office/drawing/2014/chart" uri="{C3380CC4-5D6E-409C-BE32-E72D297353CC}">
                <c16:uniqueId val="{00000002-EE02-472B-A43C-87B475610B8F}"/>
              </c:ext>
            </c:extLst>
          </c:dPt>
          <c:dLbls>
            <c:dLbl>
              <c:idx val="1"/>
              <c:layout>
                <c:manualLayout>
                  <c:x val="-1.7811701265913072E-2"/>
                  <c:y val="4.00500467907534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E02-472B-A43C-87B475610B8F}"/>
                </c:ext>
              </c:extLst>
            </c:dLbl>
            <c:dLbl>
              <c:idx val="3"/>
              <c:layout>
                <c:manualLayout>
                  <c:x val="-7.6335862568198878E-3"/>
                  <c:y val="1.66875194961472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E02-472B-A43C-87B475610B8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'Interview Score Ranges'!$C$23:$F$24</c:f>
              <c:multiLvlStrCache>
                <c:ptCount val="4"/>
                <c:lvl>
                  <c:pt idx="0">
                    <c:v>Outcomes</c:v>
                  </c:pt>
                  <c:pt idx="1">
                    <c:v>Supports</c:v>
                  </c:pt>
                  <c:pt idx="2">
                    <c:v>Outcomes </c:v>
                  </c:pt>
                  <c:pt idx="3">
                    <c:v>Supports</c:v>
                  </c:pt>
                </c:lvl>
                <c:lvl>
                  <c:pt idx="0">
                    <c:v>Waiver (n = 602)</c:v>
                  </c:pt>
                  <c:pt idx="2">
                    <c:v>CDC+ (n = 72)</c:v>
                  </c:pt>
                </c:lvl>
              </c:multiLvlStrCache>
            </c:multiLvlStrRef>
          </c:cat>
          <c:val>
            <c:numRef>
              <c:f>'Interview Score Ranges'!$C$26:$F$26</c:f>
              <c:numCache>
                <c:formatCode>0.0%</c:formatCode>
                <c:ptCount val="4"/>
                <c:pt idx="0">
                  <c:v>0.89300000000000002</c:v>
                </c:pt>
                <c:pt idx="1">
                  <c:v>0.97899999999999998</c:v>
                </c:pt>
                <c:pt idx="2">
                  <c:v>0.91900000000000004</c:v>
                </c:pt>
                <c:pt idx="3">
                  <c:v>0.99299999999999999</c:v>
                </c:pt>
              </c:numCache>
            </c:numRef>
          </c:val>
          <c:smooth val="0"/>
          <c:extLst>
            <c:ext xmlns:c16="http://schemas.microsoft.com/office/drawing/2014/chart" uri="{C3380CC4-5D6E-409C-BE32-E72D297353CC}">
              <c16:uniqueId val="{00000003-EE02-472B-A43C-87B475610B8F}"/>
            </c:ext>
          </c:extLst>
        </c:ser>
        <c:ser>
          <c:idx val="2"/>
          <c:order val="2"/>
          <c:tx>
            <c:strRef>
              <c:f>'Interview Score Ranges'!$B$27</c:f>
              <c:strCache>
                <c:ptCount val="1"/>
                <c:pt idx="0">
                  <c:v>Highest Score</c:v>
                </c:pt>
              </c:strCache>
            </c:strRef>
          </c:tx>
          <c:spPr>
            <a:ln w="25400" cap="rnd">
              <a:noFill/>
              <a:round/>
            </a:ln>
            <a:effectLst/>
          </c:spPr>
          <c:marker>
            <c:symbol val="diamond"/>
            <c:size val="10"/>
            <c:spPr>
              <a:solidFill>
                <a:schemeClr val="tx1"/>
              </a:solidFill>
              <a:ln w="9525">
                <a:solidFill>
                  <a:schemeClr val="tx1"/>
                </a:solidFill>
              </a:ln>
              <a:effectLst/>
            </c:spPr>
          </c:marker>
          <c:dPt>
            <c:idx val="3"/>
            <c:marker>
              <c:symbol val="diamond"/>
              <c:size val="10"/>
              <c:spPr>
                <a:solidFill>
                  <a:schemeClr val="tx1"/>
                </a:solidFill>
                <a:ln w="9525">
                  <a:solidFill>
                    <a:schemeClr val="tx1"/>
                  </a:solidFill>
                </a:ln>
                <a:effectLst/>
              </c:spPr>
            </c:marker>
            <c:bubble3D val="0"/>
            <c:extLst>
              <c:ext xmlns:c16="http://schemas.microsoft.com/office/drawing/2014/chart" uri="{C3380CC4-5D6E-409C-BE32-E72D297353CC}">
                <c16:uniqueId val="{00000004-EE02-472B-A43C-87B475610B8F}"/>
              </c:ext>
            </c:extLst>
          </c:dPt>
          <c:dLbls>
            <c:dLbl>
              <c:idx val="3"/>
              <c:layout>
                <c:manualLayout>
                  <c:x val="-1.0178115009093184E-2"/>
                  <c:y val="-2.00250233953767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E02-472B-A43C-87B475610B8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'Interview Score Ranges'!$C$23:$F$24</c:f>
              <c:multiLvlStrCache>
                <c:ptCount val="4"/>
                <c:lvl>
                  <c:pt idx="0">
                    <c:v>Outcomes</c:v>
                  </c:pt>
                  <c:pt idx="1">
                    <c:v>Supports</c:v>
                  </c:pt>
                  <c:pt idx="2">
                    <c:v>Outcomes </c:v>
                  </c:pt>
                  <c:pt idx="3">
                    <c:v>Supports</c:v>
                  </c:pt>
                </c:lvl>
                <c:lvl>
                  <c:pt idx="0">
                    <c:v>Waiver (n = 602)</c:v>
                  </c:pt>
                  <c:pt idx="2">
                    <c:v>CDC+ (n = 72)</c:v>
                  </c:pt>
                </c:lvl>
              </c:multiLvlStrCache>
            </c:multiLvlStrRef>
          </c:cat>
          <c:val>
            <c:numRef>
              <c:f>'Interview Score Ranges'!$C$27:$F$27</c:f>
              <c:numCache>
                <c:formatCode>0%</c:formatCode>
                <c:ptCount val="4"/>
                <c:pt idx="0">
                  <c:v>1</c:v>
                </c:pt>
                <c:pt idx="1">
                  <c:v>1</c:v>
                </c:pt>
                <c:pt idx="2">
                  <c:v>1</c:v>
                </c:pt>
                <c:pt idx="3">
                  <c:v>1</c:v>
                </c:pt>
              </c:numCache>
            </c:numRef>
          </c:val>
          <c:smooth val="0"/>
          <c:extLst>
            <c:ext xmlns:c16="http://schemas.microsoft.com/office/drawing/2014/chart" uri="{C3380CC4-5D6E-409C-BE32-E72D297353CC}">
              <c16:uniqueId val="{00000005-EE02-472B-A43C-87B475610B8F}"/>
            </c:ext>
          </c:extLst>
        </c:ser>
        <c:dLbls>
          <c:showLegendKey val="0"/>
          <c:showVal val="0"/>
          <c:showCatName val="0"/>
          <c:showSerName val="0"/>
          <c:showPercent val="0"/>
          <c:showBubbleSize val="0"/>
        </c:dLbls>
        <c:hiLowLines>
          <c:spPr>
            <a:ln w="9525" cap="flat" cmpd="sng" algn="ctr">
              <a:solidFill>
                <a:schemeClr val="bg1">
                  <a:lumMod val="75000"/>
                </a:schemeClr>
              </a:solidFill>
              <a:prstDash val="dash"/>
              <a:round/>
              <a:headEnd type="oval"/>
              <a:tailEnd type="oval"/>
            </a:ln>
            <a:effectLst/>
          </c:spPr>
        </c:hiLowLines>
        <c:marker val="1"/>
        <c:smooth val="0"/>
        <c:axId val="1402465664"/>
        <c:axId val="1402463168"/>
      </c:lineChart>
      <c:catAx>
        <c:axId val="140246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402463168"/>
        <c:crosses val="autoZero"/>
        <c:auto val="1"/>
        <c:lblAlgn val="ctr"/>
        <c:lblOffset val="100"/>
        <c:noMultiLvlLbl val="0"/>
      </c:catAx>
      <c:valAx>
        <c:axId val="1402463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1402465664"/>
        <c:crosses val="autoZero"/>
        <c:crossBetween val="between"/>
        <c:majorUnit val="0.2"/>
      </c:valAx>
      <c:spPr>
        <a:noFill/>
        <a:ln>
          <a:noFill/>
        </a:ln>
        <a:effectLst/>
      </c:spPr>
    </c:plotArea>
    <c:legend>
      <c:legendPos val="b"/>
      <c:layout>
        <c:manualLayout>
          <c:xMode val="edge"/>
          <c:yMode val="edge"/>
          <c:x val="0.2006310381415089"/>
          <c:y val="0.92263633472031992"/>
          <c:w val="0.59873763323963991"/>
          <c:h val="6.4399371498084612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b="1">
          <a:solidFill>
            <a:sysClr val="windowText" lastClr="000000"/>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5b. My Life Interview by Life Areas</a:t>
            </a:r>
          </a:p>
          <a:p>
            <a:pPr>
              <a:defRPr sz="1100">
                <a:latin typeface="Franklin Gothic Medium" panose="020B0603020102020204" pitchFamily="34" charset="0"/>
              </a:defRPr>
            </a:pPr>
            <a:r>
              <a:rPr lang="en-US" sz="1100">
                <a:latin typeface="Franklin Gothic Medium" panose="020B0603020102020204" pitchFamily="34" charset="0"/>
              </a:rPr>
              <a:t>CDC+: July -</a:t>
            </a:r>
            <a:r>
              <a:rPr lang="en-US" sz="1100" baseline="0">
                <a:latin typeface="Franklin Gothic Medium" panose="020B0603020102020204" pitchFamily="34" charset="0"/>
              </a:rPr>
              <a:t> December 2020 (N = 62)</a:t>
            </a:r>
            <a:endParaRPr lang="en-US" sz="1100">
              <a:latin typeface="Franklin Gothic Medium" panose="020B0603020102020204" pitchFamily="34" charset="0"/>
            </a:endParaRPr>
          </a:p>
        </c:rich>
      </c:tx>
      <c:layout>
        <c:manualLayout>
          <c:xMode val="edge"/>
          <c:yMode val="edge"/>
          <c:x val="0.24601258294714975"/>
          <c:y val="0.04"/>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8301158776740704"/>
          <c:y val="0.18513334594287875"/>
          <c:w val="0.63463612316352513"/>
          <c:h val="0.63142070358284841"/>
        </c:manualLayout>
      </c:layout>
      <c:barChart>
        <c:barDir val="bar"/>
        <c:grouping val="clustered"/>
        <c:varyColors val="0"/>
        <c:ser>
          <c:idx val="0"/>
          <c:order val="0"/>
          <c:tx>
            <c:strRef>
              <c:f>'Individual Interview'!$O$118</c:f>
              <c:strCache>
                <c:ptCount val="1"/>
                <c:pt idx="0">
                  <c:v>Supports</c:v>
                </c:pt>
              </c:strCache>
            </c:strRef>
          </c:tx>
          <c:spPr>
            <a:solidFill>
              <a:srgbClr val="FFC000">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Interview'!$M$119:$M$124</c:f>
              <c:strCache>
                <c:ptCount val="6"/>
                <c:pt idx="0">
                  <c:v>My Safety</c:v>
                </c:pt>
                <c:pt idx="1">
                  <c:v>My Health</c:v>
                </c:pt>
                <c:pt idx="2">
                  <c:v>My Social Life</c:v>
                </c:pt>
                <c:pt idx="3">
                  <c:v>My Work</c:v>
                </c:pt>
                <c:pt idx="4">
                  <c:v>My Home Life</c:v>
                </c:pt>
                <c:pt idx="5">
                  <c:v>My Services</c:v>
                </c:pt>
              </c:strCache>
            </c:strRef>
          </c:cat>
          <c:val>
            <c:numRef>
              <c:f>'Individual Interview'!$O$128:$O$133</c:f>
              <c:numCache>
                <c:formatCode>0.0%</c:formatCode>
                <c:ptCount val="6"/>
                <c:pt idx="0">
                  <c:v>0.99611000000000005</c:v>
                </c:pt>
                <c:pt idx="1">
                  <c:v>0.99739999999999995</c:v>
                </c:pt>
                <c:pt idx="2">
                  <c:v>0.99634999999999996</c:v>
                </c:pt>
                <c:pt idx="3">
                  <c:v>0.99451000000000001</c:v>
                </c:pt>
                <c:pt idx="4">
                  <c:v>0.99394000000000005</c:v>
                </c:pt>
                <c:pt idx="5">
                  <c:v>0.98536999999999997</c:v>
                </c:pt>
              </c:numCache>
            </c:numRef>
          </c:val>
          <c:extLst>
            <c:ext xmlns:c16="http://schemas.microsoft.com/office/drawing/2014/chart" uri="{C3380CC4-5D6E-409C-BE32-E72D297353CC}">
              <c16:uniqueId val="{00000000-01CF-4DA3-9A39-890BDA3A9DCD}"/>
            </c:ext>
          </c:extLst>
        </c:ser>
        <c:ser>
          <c:idx val="1"/>
          <c:order val="1"/>
          <c:tx>
            <c:strRef>
              <c:f>'Individual Interview'!$N$118</c:f>
              <c:strCache>
                <c:ptCount val="1"/>
                <c:pt idx="0">
                  <c:v>Outcomes </c:v>
                </c:pt>
              </c:strCache>
            </c:strRef>
          </c:tx>
          <c:spPr>
            <a:solidFill>
              <a:srgbClr val="C0504D">
                <a:lumMod val="5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Interview'!$M$119:$M$124</c:f>
              <c:strCache>
                <c:ptCount val="6"/>
                <c:pt idx="0">
                  <c:v>My Safety</c:v>
                </c:pt>
                <c:pt idx="1">
                  <c:v>My Health</c:v>
                </c:pt>
                <c:pt idx="2">
                  <c:v>My Social Life</c:v>
                </c:pt>
                <c:pt idx="3">
                  <c:v>My Work</c:v>
                </c:pt>
                <c:pt idx="4">
                  <c:v>My Home Life</c:v>
                </c:pt>
                <c:pt idx="5">
                  <c:v>My Services</c:v>
                </c:pt>
              </c:strCache>
            </c:strRef>
          </c:cat>
          <c:val>
            <c:numRef>
              <c:f>'Individual Interview'!$N$128:$N$133</c:f>
              <c:numCache>
                <c:formatCode>0.0%</c:formatCode>
                <c:ptCount val="6"/>
                <c:pt idx="0">
                  <c:v>0.74073999999999995</c:v>
                </c:pt>
                <c:pt idx="1">
                  <c:v>0.94872000000000001</c:v>
                </c:pt>
                <c:pt idx="2">
                  <c:v>0.91912000000000005</c:v>
                </c:pt>
                <c:pt idx="3">
                  <c:v>0.98324</c:v>
                </c:pt>
                <c:pt idx="4">
                  <c:v>0.98787999999999998</c:v>
                </c:pt>
                <c:pt idx="5">
                  <c:v>0.9425</c:v>
                </c:pt>
              </c:numCache>
            </c:numRef>
          </c:val>
          <c:extLst>
            <c:ext xmlns:c16="http://schemas.microsoft.com/office/drawing/2014/chart" uri="{C3380CC4-5D6E-409C-BE32-E72D297353CC}">
              <c16:uniqueId val="{00000001-01CF-4DA3-9A39-890BDA3A9DCD}"/>
            </c:ext>
          </c:extLst>
        </c:ser>
        <c:dLbls>
          <c:showLegendKey val="0"/>
          <c:showVal val="0"/>
          <c:showCatName val="0"/>
          <c:showSerName val="0"/>
          <c:showPercent val="0"/>
          <c:showBubbleSize val="0"/>
        </c:dLbls>
        <c:gapWidth val="182"/>
        <c:axId val="583925200"/>
        <c:axId val="583927376"/>
      </c:barChart>
      <c:catAx>
        <c:axId val="5839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7376"/>
        <c:crosses val="autoZero"/>
        <c:auto val="1"/>
        <c:lblAlgn val="ctr"/>
        <c:lblOffset val="100"/>
        <c:noMultiLvlLbl val="0"/>
      </c:catAx>
      <c:valAx>
        <c:axId val="583927376"/>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3925200"/>
        <c:crosses val="autoZero"/>
        <c:crossBetween val="between"/>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a:latin typeface="Franklin Gothic Medium" panose="020B0603020102020204" pitchFamily="34" charset="0"/>
              </a:rPr>
              <a:t>Figure 5a. My Life Interview by Life Areas</a:t>
            </a:r>
          </a:p>
          <a:p>
            <a:pPr>
              <a:defRPr/>
            </a:pPr>
            <a:r>
              <a:rPr lang="en-US" sz="1100">
                <a:latin typeface="Franklin Gothic Medium" panose="020B0603020102020204" pitchFamily="34" charset="0"/>
              </a:rPr>
              <a:t>Waiver: July - December 2020 (N = 602)</a:t>
            </a:r>
          </a:p>
        </c:rich>
      </c:tx>
      <c:layout>
        <c:manualLayout>
          <c:xMode val="edge"/>
          <c:yMode val="edge"/>
          <c:x val="0.17238089036816293"/>
          <c:y val="1.333333333333333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'Individual Interview'!$O$118</c:f>
              <c:strCache>
                <c:ptCount val="1"/>
                <c:pt idx="0">
                  <c:v>Supports</c:v>
                </c:pt>
              </c:strCache>
            </c:strRef>
          </c:tx>
          <c:spPr>
            <a:solidFill>
              <a:srgbClr val="FFC000">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Interview'!$M$119:$M$124</c:f>
              <c:strCache>
                <c:ptCount val="6"/>
                <c:pt idx="0">
                  <c:v>My Safety</c:v>
                </c:pt>
                <c:pt idx="1">
                  <c:v>My Health</c:v>
                </c:pt>
                <c:pt idx="2">
                  <c:v>My Social Life</c:v>
                </c:pt>
                <c:pt idx="3">
                  <c:v>My Work</c:v>
                </c:pt>
                <c:pt idx="4">
                  <c:v>My Home Life</c:v>
                </c:pt>
                <c:pt idx="5">
                  <c:v>My Services</c:v>
                </c:pt>
              </c:strCache>
            </c:strRef>
          </c:cat>
          <c:val>
            <c:numRef>
              <c:f>'Individual Interview'!$O$119:$O$124</c:f>
              <c:numCache>
                <c:formatCode>0.0%</c:formatCode>
                <c:ptCount val="6"/>
                <c:pt idx="0">
                  <c:v>0.98397999999999997</c:v>
                </c:pt>
                <c:pt idx="1">
                  <c:v>0.98085999999999995</c:v>
                </c:pt>
                <c:pt idx="2">
                  <c:v>0.97545999999999999</c:v>
                </c:pt>
                <c:pt idx="3">
                  <c:v>0.98721999999999999</c:v>
                </c:pt>
                <c:pt idx="4">
                  <c:v>0.97597</c:v>
                </c:pt>
                <c:pt idx="5">
                  <c:v>0.97560000000000002</c:v>
                </c:pt>
              </c:numCache>
            </c:numRef>
          </c:val>
          <c:extLst>
            <c:ext xmlns:c16="http://schemas.microsoft.com/office/drawing/2014/chart" uri="{C3380CC4-5D6E-409C-BE32-E72D297353CC}">
              <c16:uniqueId val="{00000000-C09A-4205-9969-78A7A167FB31}"/>
            </c:ext>
          </c:extLst>
        </c:ser>
        <c:ser>
          <c:idx val="1"/>
          <c:order val="1"/>
          <c:tx>
            <c:strRef>
              <c:f>'Individual Interview'!$N$118</c:f>
              <c:strCache>
                <c:ptCount val="1"/>
                <c:pt idx="0">
                  <c:v>Outcomes </c:v>
                </c:pt>
              </c:strCache>
            </c:strRef>
          </c:tx>
          <c:spPr>
            <a:solidFill>
              <a:srgbClr val="C0504D">
                <a:lumMod val="50000"/>
              </a:srgb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Interview'!$M$119:$M$124</c:f>
              <c:strCache>
                <c:ptCount val="6"/>
                <c:pt idx="0">
                  <c:v>My Safety</c:v>
                </c:pt>
                <c:pt idx="1">
                  <c:v>My Health</c:v>
                </c:pt>
                <c:pt idx="2">
                  <c:v>My Social Life</c:v>
                </c:pt>
                <c:pt idx="3">
                  <c:v>My Work</c:v>
                </c:pt>
                <c:pt idx="4">
                  <c:v>My Home Life</c:v>
                </c:pt>
                <c:pt idx="5">
                  <c:v>My Services</c:v>
                </c:pt>
              </c:strCache>
            </c:strRef>
          </c:cat>
          <c:val>
            <c:numRef>
              <c:f>'Individual Interview'!$N$119:$N$124</c:f>
              <c:numCache>
                <c:formatCode>0.0%</c:formatCode>
                <c:ptCount val="6"/>
                <c:pt idx="0">
                  <c:v>0.79813000000000001</c:v>
                </c:pt>
                <c:pt idx="1">
                  <c:v>0.90147999999999995</c:v>
                </c:pt>
                <c:pt idx="2">
                  <c:v>0.84601999999999999</c:v>
                </c:pt>
                <c:pt idx="3">
                  <c:v>0.96533999999999998</c:v>
                </c:pt>
                <c:pt idx="4">
                  <c:v>0.94272999999999996</c:v>
                </c:pt>
                <c:pt idx="5">
                  <c:v>0.91820999999999997</c:v>
                </c:pt>
              </c:numCache>
            </c:numRef>
          </c:val>
          <c:extLst>
            <c:ext xmlns:c16="http://schemas.microsoft.com/office/drawing/2014/chart" uri="{C3380CC4-5D6E-409C-BE32-E72D297353CC}">
              <c16:uniqueId val="{00000001-C09A-4205-9969-78A7A167FB31}"/>
            </c:ext>
          </c:extLst>
        </c:ser>
        <c:dLbls>
          <c:showLegendKey val="0"/>
          <c:showVal val="0"/>
          <c:showCatName val="0"/>
          <c:showSerName val="0"/>
          <c:showPercent val="0"/>
          <c:showBubbleSize val="0"/>
        </c:dLbls>
        <c:gapWidth val="182"/>
        <c:axId val="583928464"/>
        <c:axId val="583924656"/>
      </c:barChart>
      <c:catAx>
        <c:axId val="583928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4656"/>
        <c:crosses val="autoZero"/>
        <c:auto val="1"/>
        <c:lblAlgn val="ctr"/>
        <c:lblOffset val="100"/>
        <c:noMultiLvlLbl val="0"/>
      </c:catAx>
      <c:valAx>
        <c:axId val="583924656"/>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8464"/>
        <c:crosses val="autoZero"/>
        <c:crossBetween val="between"/>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8b. PCR</a:t>
            </a:r>
            <a:r>
              <a:rPr lang="en-US" sz="1100" b="0" baseline="0">
                <a:latin typeface="Franklin Gothic Medium" panose="020B0603020102020204" pitchFamily="34" charset="0"/>
              </a:rPr>
              <a:t> My Life Interview by Age Group (CDC+)</a:t>
            </a:r>
            <a:endParaRPr lang="en-US" sz="1100" b="0">
              <a:latin typeface="Franklin Gothic Medium" panose="020B0603020102020204" pitchFamily="34" charset="0"/>
            </a:endParaRPr>
          </a:p>
        </c:rich>
      </c:tx>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9197032662583844"/>
          <c:w val="0.87232174103237092"/>
          <c:h val="0.47934718915949465"/>
        </c:manualLayout>
      </c:layout>
      <c:barChart>
        <c:barDir val="col"/>
        <c:grouping val="clustered"/>
        <c:varyColors val="0"/>
        <c:ser>
          <c:idx val="0"/>
          <c:order val="0"/>
          <c:tx>
            <c:strRef>
              <c:f>'Individual Interview'!$L$89</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Interview'!$K$90:$K$93</c:f>
              <c:strCache>
                <c:ptCount val="4"/>
                <c:pt idx="0">
                  <c:v>&lt;18
 (4)</c:v>
                </c:pt>
                <c:pt idx="1">
                  <c:v>18-21
 (8)</c:v>
                </c:pt>
                <c:pt idx="2">
                  <c:v>22-44
 (52)</c:v>
                </c:pt>
                <c:pt idx="3">
                  <c:v>45-65
 (8)</c:v>
                </c:pt>
              </c:strCache>
            </c:strRef>
          </c:cat>
          <c:val>
            <c:numRef>
              <c:f>'Individual Interview'!$L$90:$L$93</c:f>
              <c:numCache>
                <c:formatCode>0.0%</c:formatCode>
                <c:ptCount val="4"/>
                <c:pt idx="0">
                  <c:v>0.88888999999999996</c:v>
                </c:pt>
                <c:pt idx="1">
                  <c:v>0.98343000000000003</c:v>
                </c:pt>
                <c:pt idx="2">
                  <c:v>0.90649000000000002</c:v>
                </c:pt>
                <c:pt idx="3">
                  <c:v>0.95287999999999995</c:v>
                </c:pt>
              </c:numCache>
            </c:numRef>
          </c:val>
          <c:extLst>
            <c:ext xmlns:c16="http://schemas.microsoft.com/office/drawing/2014/chart" uri="{C3380CC4-5D6E-409C-BE32-E72D297353CC}">
              <c16:uniqueId val="{00000000-A479-4D88-8F75-9831B639681E}"/>
            </c:ext>
          </c:extLst>
        </c:ser>
        <c:ser>
          <c:idx val="1"/>
          <c:order val="1"/>
          <c:tx>
            <c:strRef>
              <c:f>'Individual Interview'!$M$89</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dLbl>
              <c:idx val="0"/>
              <c:layout>
                <c:manualLayout>
                  <c:x val="1.9693507876738577E-2"/>
                  <c:y val="2.29320229320229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479-4D88-8F75-9831B639681E}"/>
                </c:ext>
              </c:extLst>
            </c:dLbl>
            <c:dLbl>
              <c:idx val="1"/>
              <c:layout>
                <c:manualLayout>
                  <c:x val="2.5320224412949548E-2"/>
                  <c:y val="1.96560196560196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479-4D88-8F75-9831B639681E}"/>
                </c:ext>
              </c:extLst>
            </c:dLbl>
            <c:dLbl>
              <c:idx val="2"/>
              <c:layout>
                <c:manualLayout>
                  <c:x val="1.969350787673857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479-4D88-8F75-9831B639681E}"/>
                </c:ext>
              </c:extLst>
            </c:dLbl>
            <c:dLbl>
              <c:idx val="3"/>
              <c:layout>
                <c:manualLayout>
                  <c:x val="2.53202244129496E-2"/>
                  <c:y val="-3.0029683124568043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479-4D88-8F75-9831B639681E}"/>
                </c:ext>
              </c:extLst>
            </c:dLbl>
            <c:dLbl>
              <c:idx val="4"/>
              <c:layout>
                <c:manualLayout>
                  <c:x val="3.376029921726623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79-4D88-8F75-9831B639681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 Interview'!$K$90:$K$93</c:f>
              <c:strCache>
                <c:ptCount val="4"/>
                <c:pt idx="0">
                  <c:v>&lt;18
 (4)</c:v>
                </c:pt>
                <c:pt idx="1">
                  <c:v>18-21
 (8)</c:v>
                </c:pt>
                <c:pt idx="2">
                  <c:v>22-44
 (52)</c:v>
                </c:pt>
                <c:pt idx="3">
                  <c:v>45-65
 (8)</c:v>
                </c:pt>
              </c:strCache>
            </c:strRef>
          </c:cat>
          <c:val>
            <c:numRef>
              <c:f>'Individual Interview'!$M$90:$M$93</c:f>
              <c:numCache>
                <c:formatCode>0%</c:formatCode>
                <c:ptCount val="4"/>
                <c:pt idx="0">
                  <c:v>1</c:v>
                </c:pt>
                <c:pt idx="1">
                  <c:v>1</c:v>
                </c:pt>
                <c:pt idx="2" formatCode="0.0%">
                  <c:v>0.99078999999999995</c:v>
                </c:pt>
                <c:pt idx="3">
                  <c:v>1</c:v>
                </c:pt>
              </c:numCache>
            </c:numRef>
          </c:val>
          <c:extLst>
            <c:ext xmlns:c16="http://schemas.microsoft.com/office/drawing/2014/chart" uri="{C3380CC4-5D6E-409C-BE32-E72D297353CC}">
              <c16:uniqueId val="{00000006-A479-4D88-8F75-9831B639681E}"/>
            </c:ext>
          </c:extLst>
        </c:ser>
        <c:dLbls>
          <c:showLegendKey val="0"/>
          <c:showVal val="0"/>
          <c:showCatName val="0"/>
          <c:showSerName val="0"/>
          <c:showPercent val="0"/>
          <c:showBubbleSize val="0"/>
        </c:dLbls>
        <c:gapWidth val="219"/>
        <c:overlap val="-27"/>
        <c:axId val="583933904"/>
        <c:axId val="583931184"/>
      </c:barChart>
      <c:catAx>
        <c:axId val="58393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1184"/>
        <c:crosses val="autoZero"/>
        <c:auto val="1"/>
        <c:lblAlgn val="ctr"/>
        <c:lblOffset val="100"/>
        <c:noMultiLvlLbl val="0"/>
      </c:catAx>
      <c:valAx>
        <c:axId val="583931184"/>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3904"/>
        <c:crosses val="autoZero"/>
        <c:crossBetween val="between"/>
        <c:minorUnit val="0.1"/>
      </c:valAx>
      <c:spPr>
        <a:noFill/>
        <a:ln>
          <a:noFill/>
        </a:ln>
        <a:effectLst/>
      </c:spPr>
    </c:plotArea>
    <c:legend>
      <c:legendPos val="b"/>
      <c:layout>
        <c:manualLayout>
          <c:xMode val="edge"/>
          <c:yMode val="edge"/>
          <c:x val="0.22265050581425666"/>
          <c:y val="0.93018637598811504"/>
          <c:w val="0.5546986624602388"/>
          <c:h val="6.9813624011884984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7b. PCR</a:t>
            </a:r>
            <a:r>
              <a:rPr lang="en-US" sz="1100" b="0" baseline="0">
                <a:latin typeface="Franklin Gothic Medium" panose="020B0603020102020204" pitchFamily="34" charset="0"/>
              </a:rPr>
              <a:t> My Life Interview</a:t>
            </a:r>
          </a:p>
          <a:p>
            <a:pPr algn="ctr">
              <a:defRPr sz="1100">
                <a:latin typeface="Franklin Gothic Medium" panose="020B0603020102020204" pitchFamily="34" charset="0"/>
              </a:defRPr>
            </a:pPr>
            <a:r>
              <a:rPr lang="en-US" sz="1100" b="0" baseline="0">
                <a:latin typeface="Franklin Gothic Medium" panose="020B0603020102020204" pitchFamily="34" charset="0"/>
              </a:rPr>
              <a:t>by Disability (CDC+)</a:t>
            </a:r>
            <a:endParaRPr lang="en-US" sz="1100" b="0">
              <a:latin typeface="Franklin Gothic Medium" panose="020B0603020102020204" pitchFamily="34" charset="0"/>
            </a:endParaRPr>
          </a:p>
        </c:rich>
      </c:tx>
      <c:layout>
        <c:manualLayout>
          <c:xMode val="edge"/>
          <c:yMode val="edge"/>
          <c:x val="0.18083157170755199"/>
          <c:y val="2.4464831804281346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6594913340750437"/>
          <c:w val="0.83821485418911312"/>
          <c:h val="0.40807972773895074"/>
        </c:manualLayout>
      </c:layout>
      <c:barChart>
        <c:barDir val="col"/>
        <c:grouping val="clustered"/>
        <c:varyColors val="0"/>
        <c:ser>
          <c:idx val="0"/>
          <c:order val="0"/>
          <c:tx>
            <c:strRef>
              <c:f>'Individual Interview'!$L$61</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Interview'!$K$62:$K$65</c:f>
              <c:strCache>
                <c:ptCount val="3"/>
                <c:pt idx="0">
                  <c:v>Autism
 (16)</c:v>
                </c:pt>
                <c:pt idx="1">
                  <c:v>Cerebral
 Palsy
 (9)</c:v>
                </c:pt>
                <c:pt idx="2">
                  <c:v>Intellectual 
Disability
 (45)</c:v>
                </c:pt>
              </c:strCache>
            </c:strRef>
          </c:cat>
          <c:val>
            <c:numRef>
              <c:f>'Individual Interview'!$L$62:$L$65</c:f>
              <c:numCache>
                <c:formatCode>0.0%</c:formatCode>
                <c:ptCount val="3"/>
                <c:pt idx="0">
                  <c:v>0.84443999999999997</c:v>
                </c:pt>
                <c:pt idx="1">
                  <c:v>0.97706000000000004</c:v>
                </c:pt>
                <c:pt idx="2">
                  <c:v>0.93066000000000004</c:v>
                </c:pt>
              </c:numCache>
            </c:numRef>
          </c:val>
          <c:extLst>
            <c:ext xmlns:c16="http://schemas.microsoft.com/office/drawing/2014/chart" uri="{C3380CC4-5D6E-409C-BE32-E72D297353CC}">
              <c16:uniqueId val="{00000000-C2F2-445B-8CF5-FB50038A43F4}"/>
            </c:ext>
          </c:extLst>
        </c:ser>
        <c:ser>
          <c:idx val="1"/>
          <c:order val="1"/>
          <c:tx>
            <c:strRef>
              <c:f>'Individual Interview'!$M$61</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dLbl>
              <c:idx val="1"/>
              <c:layout>
                <c:manualLayout>
                  <c:x val="1.6535758577924685E-2"/>
                  <c:y val="0"/>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2F2-445B-8CF5-FB50038A43F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Interview'!$K$62:$K$65</c:f>
              <c:strCache>
                <c:ptCount val="3"/>
                <c:pt idx="0">
                  <c:v>Autism
 (16)</c:v>
                </c:pt>
                <c:pt idx="1">
                  <c:v>Cerebral
 Palsy
 (9)</c:v>
                </c:pt>
                <c:pt idx="2">
                  <c:v>Intellectual 
Disability
 (45)</c:v>
                </c:pt>
              </c:strCache>
            </c:strRef>
          </c:cat>
          <c:val>
            <c:numRef>
              <c:f>'Individual Interview'!$M$62:$M$65</c:f>
              <c:numCache>
                <c:formatCode>0.0%</c:formatCode>
                <c:ptCount val="3"/>
                <c:pt idx="0">
                  <c:v>0.98045000000000004</c:v>
                </c:pt>
                <c:pt idx="1">
                  <c:v>1</c:v>
                </c:pt>
                <c:pt idx="2">
                  <c:v>0.99617999999999995</c:v>
                </c:pt>
              </c:numCache>
            </c:numRef>
          </c:val>
          <c:extLst>
            <c:ext xmlns:c16="http://schemas.microsoft.com/office/drawing/2014/chart" uri="{C3380CC4-5D6E-409C-BE32-E72D297353CC}">
              <c16:uniqueId val="{00000001-C2F2-445B-8CF5-FB50038A43F4}"/>
            </c:ext>
          </c:extLst>
        </c:ser>
        <c:dLbls>
          <c:showLegendKey val="0"/>
          <c:showVal val="0"/>
          <c:showCatName val="0"/>
          <c:showSerName val="0"/>
          <c:showPercent val="0"/>
          <c:showBubbleSize val="0"/>
        </c:dLbls>
        <c:gapWidth val="219"/>
        <c:overlap val="-27"/>
        <c:axId val="583926832"/>
        <c:axId val="583936080"/>
      </c:barChart>
      <c:catAx>
        <c:axId val="58392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6080"/>
        <c:crosses val="autoZero"/>
        <c:auto val="1"/>
        <c:lblAlgn val="ctr"/>
        <c:lblOffset val="100"/>
        <c:noMultiLvlLbl val="0"/>
      </c:catAx>
      <c:valAx>
        <c:axId val="583936080"/>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26832"/>
        <c:crosses val="autoZero"/>
        <c:crossBetween val="between"/>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8a. PCR</a:t>
            </a:r>
            <a:r>
              <a:rPr lang="en-US" sz="1100" b="0" baseline="0">
                <a:latin typeface="Franklin Gothic Medium" panose="020B0603020102020204" pitchFamily="34" charset="0"/>
              </a:rPr>
              <a:t> My Life Interview by Age Group </a:t>
            </a:r>
          </a:p>
          <a:p>
            <a:pPr algn="ctr">
              <a:defRPr sz="1100">
                <a:latin typeface="Franklin Gothic Medium" panose="020B0603020102020204" pitchFamily="34" charset="0"/>
              </a:defRPr>
            </a:pPr>
            <a:r>
              <a:rPr lang="en-US" sz="1100" b="0" baseline="0">
                <a:latin typeface="Franklin Gothic Medium" panose="020B0603020102020204" pitchFamily="34" charset="0"/>
              </a:rPr>
              <a:t>(Waiver)</a:t>
            </a:r>
            <a:endParaRPr lang="en-US" sz="1100" b="0">
              <a:latin typeface="Franklin Gothic Medium" panose="020B0603020102020204" pitchFamily="34" charset="0"/>
            </a:endParaRPr>
          </a:p>
        </c:rich>
      </c:tx>
      <c:layout/>
      <c:overlay val="0"/>
      <c:spPr>
        <a:noFill/>
        <a:ln>
          <a:noFill/>
        </a:ln>
        <a:effectLst/>
      </c:spPr>
      <c:txPr>
        <a:bodyPr rot="0" spcFirstLastPara="1" vertOverflow="ellipsis" vert="horz" wrap="square" anchor="ctr" anchorCtr="1"/>
        <a:lstStyle/>
        <a:p>
          <a:pPr algn="ct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43198075388007"/>
          <c:w val="0.87232174103237092"/>
          <c:h val="0.50864505458300446"/>
        </c:manualLayout>
      </c:layout>
      <c:barChart>
        <c:barDir val="col"/>
        <c:grouping val="clustered"/>
        <c:varyColors val="0"/>
        <c:ser>
          <c:idx val="0"/>
          <c:order val="0"/>
          <c:tx>
            <c:strRef>
              <c:f>'Individual Interview'!$L$82</c:f>
              <c:strCache>
                <c:ptCount val="1"/>
                <c:pt idx="0">
                  <c:v>Outcomes</c:v>
                </c:pt>
              </c:strCache>
            </c:strRef>
          </c:tx>
          <c:spPr>
            <a:solidFill>
              <a:schemeClr val="accent2">
                <a:lumMod val="50000"/>
              </a:schemeClr>
            </a:solidFill>
            <a:ln>
              <a:noFill/>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Interview'!$K$83:$K$87</c:f>
              <c:strCache>
                <c:ptCount val="5"/>
                <c:pt idx="0">
                  <c:v>&lt;18
 (22)</c:v>
                </c:pt>
                <c:pt idx="1">
                  <c:v>18-21
 (40)</c:v>
                </c:pt>
                <c:pt idx="2">
                  <c:v>22-44
 (343)</c:v>
                </c:pt>
                <c:pt idx="3">
                  <c:v>45-65
 (164)</c:v>
                </c:pt>
                <c:pt idx="4">
                  <c:v>65+
 (33)</c:v>
                </c:pt>
              </c:strCache>
            </c:strRef>
          </c:cat>
          <c:val>
            <c:numRef>
              <c:f>'Individual Interview'!$L$83:$L$87</c:f>
              <c:numCache>
                <c:formatCode>0.0%</c:formatCode>
                <c:ptCount val="5"/>
                <c:pt idx="0">
                  <c:v>0.87853999999999999</c:v>
                </c:pt>
                <c:pt idx="1">
                  <c:v>0.87856000000000001</c:v>
                </c:pt>
                <c:pt idx="2">
                  <c:v>0.88483000000000001</c:v>
                </c:pt>
                <c:pt idx="3">
                  <c:v>0.90915999999999997</c:v>
                </c:pt>
                <c:pt idx="4">
                  <c:v>0.92386999999999997</c:v>
                </c:pt>
              </c:numCache>
            </c:numRef>
          </c:val>
          <c:extLst>
            <c:ext xmlns:c16="http://schemas.microsoft.com/office/drawing/2014/chart" uri="{C3380CC4-5D6E-409C-BE32-E72D297353CC}">
              <c16:uniqueId val="{00000000-8482-4F51-8EBD-E5250E20BC80}"/>
            </c:ext>
          </c:extLst>
        </c:ser>
        <c:ser>
          <c:idx val="1"/>
          <c:order val="1"/>
          <c:tx>
            <c:strRef>
              <c:f>'Individual Interview'!$M$82</c:f>
              <c:strCache>
                <c:ptCount val="1"/>
                <c:pt idx="0">
                  <c:v>Supports</c:v>
                </c:pt>
              </c:strCache>
            </c:strRef>
          </c:tx>
          <c:spPr>
            <a:solidFill>
              <a:schemeClr val="accent4">
                <a:lumMod val="20000"/>
                <a:lumOff val="80000"/>
              </a:schemeClr>
            </a:solidFill>
            <a:ln>
              <a:noFill/>
            </a:ln>
            <a:effectLst/>
            <a:scene3d>
              <a:camera prst="orthographicFront"/>
              <a:lightRig rig="threePt" dir="t"/>
            </a:scene3d>
            <a:sp3d>
              <a:bevelT prst="angle"/>
            </a:sp3d>
          </c:spPr>
          <c:invertIfNegative val="0"/>
          <c:dLbls>
            <c:dLbl>
              <c:idx val="0"/>
              <c:layout>
                <c:manualLayout>
                  <c:x val="1.9693507876738577E-2"/>
                  <c:y val="2.29320229320229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482-4F51-8EBD-E5250E20BC80}"/>
                </c:ext>
              </c:extLst>
            </c:dLbl>
            <c:dLbl>
              <c:idx val="1"/>
              <c:layout>
                <c:manualLayout>
                  <c:x val="2.5320224412949548E-2"/>
                  <c:y val="1.96560196560196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482-4F51-8EBD-E5250E20BC80}"/>
                </c:ext>
              </c:extLst>
            </c:dLbl>
            <c:dLbl>
              <c:idx val="2"/>
              <c:layout>
                <c:manualLayout>
                  <c:x val="1.9693507876738577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482-4F51-8EBD-E5250E20BC80}"/>
                </c:ext>
              </c:extLst>
            </c:dLbl>
            <c:dLbl>
              <c:idx val="3"/>
              <c:layout>
                <c:manualLayout>
                  <c:x val="2.53202244129496E-2"/>
                  <c:y val="-3.0029683124568043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482-4F51-8EBD-E5250E20BC80}"/>
                </c:ext>
              </c:extLst>
            </c:dLbl>
            <c:dLbl>
              <c:idx val="4"/>
              <c:layout>
                <c:manualLayout>
                  <c:x val="3.3760299217266233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482-4F51-8EBD-E5250E20BC8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 Interview'!$K$83:$K$87</c:f>
              <c:strCache>
                <c:ptCount val="5"/>
                <c:pt idx="0">
                  <c:v>&lt;18
 (22)</c:v>
                </c:pt>
                <c:pt idx="1">
                  <c:v>18-21
 (40)</c:v>
                </c:pt>
                <c:pt idx="2">
                  <c:v>22-44
 (343)</c:v>
                </c:pt>
                <c:pt idx="3">
                  <c:v>45-65
 (164)</c:v>
                </c:pt>
                <c:pt idx="4">
                  <c:v>65+
 (33)</c:v>
                </c:pt>
              </c:strCache>
            </c:strRef>
          </c:cat>
          <c:val>
            <c:numRef>
              <c:f>'Individual Interview'!$M$83:$M$87</c:f>
              <c:numCache>
                <c:formatCode>0.0%</c:formatCode>
                <c:ptCount val="5"/>
                <c:pt idx="0">
                  <c:v>0.97199999999999998</c:v>
                </c:pt>
                <c:pt idx="1">
                  <c:v>0.96763999999999994</c:v>
                </c:pt>
                <c:pt idx="2">
                  <c:v>0.98223000000000005</c:v>
                </c:pt>
                <c:pt idx="3">
                  <c:v>0.97899999999999998</c:v>
                </c:pt>
                <c:pt idx="4">
                  <c:v>0.96923000000000004</c:v>
                </c:pt>
              </c:numCache>
            </c:numRef>
          </c:val>
          <c:extLst>
            <c:ext xmlns:c16="http://schemas.microsoft.com/office/drawing/2014/chart" uri="{C3380CC4-5D6E-409C-BE32-E72D297353CC}">
              <c16:uniqueId val="{00000006-8482-4F51-8EBD-E5250E20BC80}"/>
            </c:ext>
          </c:extLst>
        </c:ser>
        <c:dLbls>
          <c:showLegendKey val="0"/>
          <c:showVal val="0"/>
          <c:showCatName val="0"/>
          <c:showSerName val="0"/>
          <c:showPercent val="0"/>
          <c:showBubbleSize val="0"/>
        </c:dLbls>
        <c:gapWidth val="219"/>
        <c:overlap val="-27"/>
        <c:axId val="583934992"/>
        <c:axId val="583931728"/>
      </c:barChart>
      <c:catAx>
        <c:axId val="58393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1728"/>
        <c:crosses val="autoZero"/>
        <c:auto val="1"/>
        <c:lblAlgn val="ctr"/>
        <c:lblOffset val="100"/>
        <c:noMultiLvlLbl val="0"/>
      </c:catAx>
      <c:valAx>
        <c:axId val="583931728"/>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83934992"/>
        <c:crosses val="autoZero"/>
        <c:crossBetween val="between"/>
        <c:minorUnit val="0.1"/>
      </c:valAx>
      <c:spPr>
        <a:noFill/>
        <a:ln>
          <a:noFill/>
        </a:ln>
        <a:effectLst/>
      </c:spPr>
    </c:plotArea>
    <c:legend>
      <c:legendPos val="b"/>
      <c:layout>
        <c:manualLayout>
          <c:xMode val="edge"/>
          <c:yMode val="edge"/>
          <c:x val="0.26636109555343235"/>
          <c:y val="0.92532620448560188"/>
          <c:w val="0.46727753434586367"/>
          <c:h val="7.4673795514398109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1" Type="http://schemas.openxmlformats.org/officeDocument/2006/relationships/image" Target="../media/image6.png"/></Relationships>
</file>

<file path=word/diagrams/_rels/data3.xml.rels><?xml version="1.0" encoding="UTF-8" standalone="yes"?>
<Relationships xmlns="http://schemas.openxmlformats.org/package/2006/relationships"><Relationship Id="rId1" Type="http://schemas.openxmlformats.org/officeDocument/2006/relationships/image" Target="../media/image7.png"/></Relationships>
</file>

<file path=word/diagrams/_rels/data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89BE9D-AB84-4DBE-8518-8E28B80066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A026F61-7BE6-464D-AA0D-FFACDA79ADAA}">
      <dgm:prSet phldrT="[Text]" custT="1"/>
      <dgm:spPr>
        <a:xfrm>
          <a:off x="0" y="131"/>
          <a:ext cx="1423720" cy="754000"/>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200" b="1" dirty="0" smtClean="0">
              <a:solidFill>
                <a:sysClr val="window" lastClr="FFFFFF"/>
              </a:solidFill>
              <a:latin typeface="Book Antiqua" panose="02040602050305030304" pitchFamily="18" charset="0"/>
              <a:ea typeface="+mn-ea"/>
              <a:cs typeface="+mn-cs"/>
            </a:rPr>
            <a:t>Person Centered Review</a:t>
          </a:r>
        </a:p>
        <a:p>
          <a:pPr algn="ctr"/>
          <a:r>
            <a:rPr lang="en-US" sz="1200" dirty="0" smtClean="0">
              <a:solidFill>
                <a:sysClr val="window" lastClr="FFFFFF"/>
              </a:solidFill>
              <a:latin typeface="Book Antiqua" panose="02040602050305030304" pitchFamily="18" charset="0"/>
              <a:ea typeface="+mn-ea"/>
              <a:cs typeface="+mn-cs"/>
            </a:rPr>
            <a:t> </a:t>
          </a:r>
          <a:r>
            <a:rPr lang="en-US" sz="1200" b="1" dirty="0" smtClean="0">
              <a:solidFill>
                <a:sysClr val="window" lastClr="FFFFFF"/>
              </a:solidFill>
              <a:latin typeface="Book Antiqua" panose="02040602050305030304" pitchFamily="18" charset="0"/>
              <a:ea typeface="+mn-ea"/>
              <a:cs typeface="+mn-cs"/>
            </a:rPr>
            <a:t>(PCR)</a:t>
          </a:r>
          <a:endParaRPr lang="en-US" sz="1200" b="1" dirty="0">
            <a:solidFill>
              <a:sysClr val="window" lastClr="FFFFFF"/>
            </a:solidFill>
            <a:latin typeface="Book Antiqua" panose="02040602050305030304" pitchFamily="18" charset="0"/>
            <a:ea typeface="+mn-ea"/>
            <a:cs typeface="+mn-cs"/>
          </a:endParaRPr>
        </a:p>
      </dgm:t>
    </dgm:pt>
    <dgm:pt modelId="{15D4DA7E-450A-423F-801A-9C5E9E198C2B}" type="parTrans" cxnId="{F4A1DFDD-D0B1-4D22-B05B-EA5EFC08F6D9}">
      <dgm:prSet/>
      <dgm:spPr/>
      <dgm:t>
        <a:bodyPr/>
        <a:lstStyle/>
        <a:p>
          <a:pPr algn="l"/>
          <a:endParaRPr lang="en-US"/>
        </a:p>
      </dgm:t>
    </dgm:pt>
    <dgm:pt modelId="{DB50B1CB-DD21-4997-8F9D-AEA8F40F16DC}" type="sibTrans" cxnId="{F4A1DFDD-D0B1-4D22-B05B-EA5EFC08F6D9}">
      <dgm:prSet/>
      <dgm:spPr/>
      <dgm:t>
        <a:bodyPr/>
        <a:lstStyle/>
        <a:p>
          <a:pPr algn="l"/>
          <a:endParaRPr lang="en-US"/>
        </a:p>
      </dgm:t>
    </dgm:pt>
    <dgm:pt modelId="{4B4C3F21-82D1-434D-84F0-5D503ACCCEFE}">
      <dgm:prSet phldrT="[Text]" custT="1"/>
      <dgm:spPr>
        <a:xfrm rot="5400000">
          <a:off x="2387650" y="-888397"/>
          <a:ext cx="603200" cy="2531059"/>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l"/>
          <a:r>
            <a:rPr lang="en-US" altLang="en-US" sz="1100" dirty="0" smtClean="0">
              <a:solidFill>
                <a:sysClr val="windowText" lastClr="000000">
                  <a:hueOff val="0"/>
                  <a:satOff val="0"/>
                  <a:lumOff val="0"/>
                  <a:alphaOff val="0"/>
                </a:sysClr>
              </a:solidFill>
              <a:latin typeface="Calibri" panose="020F0502020204030204"/>
              <a:ea typeface="+mn-ea"/>
              <a:cs typeface="+mn-cs"/>
            </a:rPr>
            <a:t>Evaluate support delivery systems and quality of life from the perspective of the person receiving services. </a:t>
          </a:r>
          <a:endParaRPr lang="en-US" sz="1100" dirty="0">
            <a:solidFill>
              <a:sysClr val="windowText" lastClr="000000">
                <a:hueOff val="0"/>
                <a:satOff val="0"/>
                <a:lumOff val="0"/>
                <a:alphaOff val="0"/>
              </a:sysClr>
            </a:solidFill>
            <a:latin typeface="Calibri" panose="020F0502020204030204"/>
            <a:ea typeface="+mn-ea"/>
            <a:cs typeface="+mn-cs"/>
          </a:endParaRPr>
        </a:p>
      </dgm:t>
    </dgm:pt>
    <dgm:pt modelId="{0C49AAF8-ED52-4411-8A8F-107269BB65A5}" type="parTrans" cxnId="{B07D6077-1798-4E51-9CE1-B70259EF2F0F}">
      <dgm:prSet/>
      <dgm:spPr/>
      <dgm:t>
        <a:bodyPr/>
        <a:lstStyle/>
        <a:p>
          <a:pPr algn="l"/>
          <a:endParaRPr lang="en-US"/>
        </a:p>
      </dgm:t>
    </dgm:pt>
    <dgm:pt modelId="{F5F13EA9-6752-4086-BEE1-689B60BDEA16}" type="sibTrans" cxnId="{B07D6077-1798-4E51-9CE1-B70259EF2F0F}">
      <dgm:prSet/>
      <dgm:spPr/>
      <dgm:t>
        <a:bodyPr/>
        <a:lstStyle/>
        <a:p>
          <a:pPr algn="l"/>
          <a:endParaRPr lang="en-US"/>
        </a:p>
      </dgm:t>
    </dgm:pt>
    <dgm:pt modelId="{24053D30-475D-48D3-A8FA-C99CEA39B320}">
      <dgm:prSet phldrT="[Text]" custT="1"/>
      <dgm:spPr>
        <a:xfrm>
          <a:off x="0" y="791832"/>
          <a:ext cx="1422330" cy="808235"/>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200" b="1" dirty="0" smtClean="0">
              <a:solidFill>
                <a:sysClr val="window" lastClr="FFFFFF"/>
              </a:solidFill>
              <a:latin typeface="Book Antiqua" panose="02040602050305030304" pitchFamily="18" charset="0"/>
              <a:ea typeface="+mn-ea"/>
              <a:cs typeface="+mn-cs"/>
            </a:rPr>
            <a:t>Provider Discovery Review </a:t>
          </a:r>
        </a:p>
        <a:p>
          <a:pPr algn="ctr"/>
          <a:r>
            <a:rPr lang="en-US" sz="1200" b="1" dirty="0" smtClean="0">
              <a:solidFill>
                <a:sysClr val="window" lastClr="FFFFFF"/>
              </a:solidFill>
              <a:latin typeface="Book Antiqua" panose="02040602050305030304" pitchFamily="18" charset="0"/>
              <a:ea typeface="+mn-ea"/>
              <a:cs typeface="+mn-cs"/>
            </a:rPr>
            <a:t>(PDR)</a:t>
          </a:r>
          <a:endParaRPr lang="en-US" sz="1200" b="1" dirty="0">
            <a:solidFill>
              <a:sysClr val="window" lastClr="FFFFFF"/>
            </a:solidFill>
            <a:latin typeface="Book Antiqua" panose="02040602050305030304" pitchFamily="18" charset="0"/>
            <a:ea typeface="+mn-ea"/>
            <a:cs typeface="+mn-cs"/>
          </a:endParaRPr>
        </a:p>
      </dgm:t>
    </dgm:pt>
    <dgm:pt modelId="{FF2EE096-E45E-4EA8-90EE-4ED3ACF1D4BF}" type="parTrans" cxnId="{DED1E5E3-2404-43ED-8A75-EACCEB5D09AE}">
      <dgm:prSet/>
      <dgm:spPr/>
      <dgm:t>
        <a:bodyPr/>
        <a:lstStyle/>
        <a:p>
          <a:pPr algn="l"/>
          <a:endParaRPr lang="en-US"/>
        </a:p>
      </dgm:t>
    </dgm:pt>
    <dgm:pt modelId="{49FC9AE8-0014-4DBC-ADA1-58843AB9A097}" type="sibTrans" cxnId="{DED1E5E3-2404-43ED-8A75-EACCEB5D09AE}">
      <dgm:prSet/>
      <dgm:spPr/>
      <dgm:t>
        <a:bodyPr/>
        <a:lstStyle/>
        <a:p>
          <a:pPr algn="l"/>
          <a:endParaRPr lang="en-US"/>
        </a:p>
      </dgm:t>
    </dgm:pt>
    <dgm:pt modelId="{BF146E02-3719-4EB4-A29E-C3E7FDD3F13F}">
      <dgm:prSet phldrT="[Text]" custT="1"/>
      <dgm:spPr>
        <a:xfrm rot="5400000">
          <a:off x="2385023" y="-68343"/>
          <a:ext cx="603200" cy="2528587"/>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l"/>
          <a:r>
            <a:rPr lang="en-US" altLang="en-US" sz="1100" dirty="0" smtClean="0">
              <a:solidFill>
                <a:sysClr val="windowText" lastClr="000000">
                  <a:hueOff val="0"/>
                  <a:satOff val="0"/>
                  <a:lumOff val="0"/>
                  <a:alphaOff val="0"/>
                </a:sysClr>
              </a:solidFill>
              <a:latin typeface="Calibri" panose="020F0502020204030204"/>
              <a:ea typeface="+mn-ea"/>
              <a:cs typeface="+mn-cs"/>
            </a:rPr>
            <a:t>Evaluate the extent to which providers use person centered planning and practices and provide services to promote opportunities for individuals receiving services.</a:t>
          </a:r>
          <a:endParaRPr lang="en-US" sz="1100" dirty="0">
            <a:solidFill>
              <a:sysClr val="windowText" lastClr="000000">
                <a:hueOff val="0"/>
                <a:satOff val="0"/>
                <a:lumOff val="0"/>
                <a:alphaOff val="0"/>
              </a:sysClr>
            </a:solidFill>
            <a:latin typeface="Calibri" panose="020F0502020204030204"/>
            <a:ea typeface="+mn-ea"/>
            <a:cs typeface="+mn-cs"/>
          </a:endParaRPr>
        </a:p>
      </dgm:t>
    </dgm:pt>
    <dgm:pt modelId="{176AE8BF-9395-4020-B736-168351CEAFAB}" type="parTrans" cxnId="{CE459594-AE67-4C63-8593-A0D2C191109F}">
      <dgm:prSet/>
      <dgm:spPr/>
      <dgm:t>
        <a:bodyPr/>
        <a:lstStyle/>
        <a:p>
          <a:pPr algn="l"/>
          <a:endParaRPr lang="en-US"/>
        </a:p>
      </dgm:t>
    </dgm:pt>
    <dgm:pt modelId="{1224A4F8-9327-4B7A-9FEA-661940B71F3C}" type="sibTrans" cxnId="{CE459594-AE67-4C63-8593-A0D2C191109F}">
      <dgm:prSet/>
      <dgm:spPr/>
      <dgm:t>
        <a:bodyPr/>
        <a:lstStyle/>
        <a:p>
          <a:pPr algn="l"/>
          <a:endParaRPr lang="en-US"/>
        </a:p>
      </dgm:t>
    </dgm:pt>
    <dgm:pt modelId="{696703A1-7C1B-4218-873C-46B8966C17DC}" type="pres">
      <dgm:prSet presAssocID="{7089BE9D-AB84-4DBE-8518-8E28B80066BB}" presName="Name0" presStyleCnt="0">
        <dgm:presLayoutVars>
          <dgm:dir/>
          <dgm:animLvl val="lvl"/>
          <dgm:resizeHandles val="exact"/>
        </dgm:presLayoutVars>
      </dgm:prSet>
      <dgm:spPr/>
      <dgm:t>
        <a:bodyPr/>
        <a:lstStyle/>
        <a:p>
          <a:endParaRPr lang="en-US"/>
        </a:p>
      </dgm:t>
    </dgm:pt>
    <dgm:pt modelId="{A939E736-2E14-41B2-8B84-37BFC5FC625A}" type="pres">
      <dgm:prSet presAssocID="{EA026F61-7BE6-464D-AA0D-FFACDA79ADAA}" presName="linNode" presStyleCnt="0"/>
      <dgm:spPr/>
    </dgm:pt>
    <dgm:pt modelId="{264776B5-6B7A-4560-8EA4-4DA328DE99CF}" type="pres">
      <dgm:prSet presAssocID="{EA026F61-7BE6-464D-AA0D-FFACDA79ADAA}" presName="parentText" presStyleLbl="node1" presStyleIdx="0" presStyleCnt="2">
        <dgm:presLayoutVars>
          <dgm:chMax val="1"/>
          <dgm:bulletEnabled val="1"/>
        </dgm:presLayoutVars>
      </dgm:prSet>
      <dgm:spPr/>
      <dgm:t>
        <a:bodyPr/>
        <a:lstStyle/>
        <a:p>
          <a:endParaRPr lang="en-US"/>
        </a:p>
      </dgm:t>
    </dgm:pt>
    <dgm:pt modelId="{C6CDF150-561F-4186-B329-C26CC9BC4C04}" type="pres">
      <dgm:prSet presAssocID="{EA026F61-7BE6-464D-AA0D-FFACDA79ADAA}" presName="descendantText" presStyleLbl="alignAccFollowNode1" presStyleIdx="0" presStyleCnt="2">
        <dgm:presLayoutVars>
          <dgm:bulletEnabled val="1"/>
        </dgm:presLayoutVars>
      </dgm:prSet>
      <dgm:spPr/>
      <dgm:t>
        <a:bodyPr/>
        <a:lstStyle/>
        <a:p>
          <a:endParaRPr lang="en-US"/>
        </a:p>
      </dgm:t>
    </dgm:pt>
    <dgm:pt modelId="{B6ADDBDC-F5CD-4D4E-A967-1AE9F3938E03}" type="pres">
      <dgm:prSet presAssocID="{DB50B1CB-DD21-4997-8F9D-AEA8F40F16DC}" presName="sp" presStyleCnt="0"/>
      <dgm:spPr/>
    </dgm:pt>
    <dgm:pt modelId="{55B2D81C-7821-4D7A-A228-23CB6654D2DE}" type="pres">
      <dgm:prSet presAssocID="{24053D30-475D-48D3-A8FA-C99CEA39B320}" presName="linNode" presStyleCnt="0"/>
      <dgm:spPr/>
    </dgm:pt>
    <dgm:pt modelId="{F03E834C-307E-4AEF-B7E4-9C367A0E7B72}" type="pres">
      <dgm:prSet presAssocID="{24053D30-475D-48D3-A8FA-C99CEA39B320}" presName="parentText" presStyleLbl="node1" presStyleIdx="1" presStyleCnt="2" custScaleY="107193">
        <dgm:presLayoutVars>
          <dgm:chMax val="1"/>
          <dgm:bulletEnabled val="1"/>
        </dgm:presLayoutVars>
      </dgm:prSet>
      <dgm:spPr/>
      <dgm:t>
        <a:bodyPr/>
        <a:lstStyle/>
        <a:p>
          <a:endParaRPr lang="en-US"/>
        </a:p>
      </dgm:t>
    </dgm:pt>
    <dgm:pt modelId="{E3DF4219-28FF-439F-8346-E02124688808}" type="pres">
      <dgm:prSet presAssocID="{24053D30-475D-48D3-A8FA-C99CEA39B320}" presName="descendantText" presStyleLbl="alignAccFollowNode1" presStyleIdx="1" presStyleCnt="2">
        <dgm:presLayoutVars>
          <dgm:bulletEnabled val="1"/>
        </dgm:presLayoutVars>
      </dgm:prSet>
      <dgm:spPr/>
      <dgm:t>
        <a:bodyPr/>
        <a:lstStyle/>
        <a:p>
          <a:endParaRPr lang="en-US"/>
        </a:p>
      </dgm:t>
    </dgm:pt>
  </dgm:ptLst>
  <dgm:cxnLst>
    <dgm:cxn modelId="{F4A1DFDD-D0B1-4D22-B05B-EA5EFC08F6D9}" srcId="{7089BE9D-AB84-4DBE-8518-8E28B80066BB}" destId="{EA026F61-7BE6-464D-AA0D-FFACDA79ADAA}" srcOrd="0" destOrd="0" parTransId="{15D4DA7E-450A-423F-801A-9C5E9E198C2B}" sibTransId="{DB50B1CB-DD21-4997-8F9D-AEA8F40F16DC}"/>
    <dgm:cxn modelId="{B7DDFEF2-9F3E-4000-9F78-4933F587C782}" type="presOf" srcId="{EA026F61-7BE6-464D-AA0D-FFACDA79ADAA}" destId="{264776B5-6B7A-4560-8EA4-4DA328DE99CF}" srcOrd="0" destOrd="0" presId="urn:microsoft.com/office/officeart/2005/8/layout/vList5"/>
    <dgm:cxn modelId="{0EDFB329-B489-46FD-9527-DA1223B9C436}" type="presOf" srcId="{7089BE9D-AB84-4DBE-8518-8E28B80066BB}" destId="{696703A1-7C1B-4218-873C-46B8966C17DC}" srcOrd="0" destOrd="0" presId="urn:microsoft.com/office/officeart/2005/8/layout/vList5"/>
    <dgm:cxn modelId="{01D32B7D-5CB8-403C-9FD4-8A3321424A58}" type="presOf" srcId="{BF146E02-3719-4EB4-A29E-C3E7FDD3F13F}" destId="{E3DF4219-28FF-439F-8346-E02124688808}" srcOrd="0" destOrd="0" presId="urn:microsoft.com/office/officeart/2005/8/layout/vList5"/>
    <dgm:cxn modelId="{DED1E5E3-2404-43ED-8A75-EACCEB5D09AE}" srcId="{7089BE9D-AB84-4DBE-8518-8E28B80066BB}" destId="{24053D30-475D-48D3-A8FA-C99CEA39B320}" srcOrd="1" destOrd="0" parTransId="{FF2EE096-E45E-4EA8-90EE-4ED3ACF1D4BF}" sibTransId="{49FC9AE8-0014-4DBC-ADA1-58843AB9A097}"/>
    <dgm:cxn modelId="{CFFD1C68-32D0-40DF-815C-AA2B1C11F1EE}" type="presOf" srcId="{24053D30-475D-48D3-A8FA-C99CEA39B320}" destId="{F03E834C-307E-4AEF-B7E4-9C367A0E7B72}" srcOrd="0" destOrd="0" presId="urn:microsoft.com/office/officeart/2005/8/layout/vList5"/>
    <dgm:cxn modelId="{B07D6077-1798-4E51-9CE1-B70259EF2F0F}" srcId="{EA026F61-7BE6-464D-AA0D-FFACDA79ADAA}" destId="{4B4C3F21-82D1-434D-84F0-5D503ACCCEFE}" srcOrd="0" destOrd="0" parTransId="{0C49AAF8-ED52-4411-8A8F-107269BB65A5}" sibTransId="{F5F13EA9-6752-4086-BEE1-689B60BDEA16}"/>
    <dgm:cxn modelId="{D2BF0390-7280-4726-A1A3-E7E08940160E}" type="presOf" srcId="{4B4C3F21-82D1-434D-84F0-5D503ACCCEFE}" destId="{C6CDF150-561F-4186-B329-C26CC9BC4C04}" srcOrd="0" destOrd="0" presId="urn:microsoft.com/office/officeart/2005/8/layout/vList5"/>
    <dgm:cxn modelId="{CE459594-AE67-4C63-8593-A0D2C191109F}" srcId="{24053D30-475D-48D3-A8FA-C99CEA39B320}" destId="{BF146E02-3719-4EB4-A29E-C3E7FDD3F13F}" srcOrd="0" destOrd="0" parTransId="{176AE8BF-9395-4020-B736-168351CEAFAB}" sibTransId="{1224A4F8-9327-4B7A-9FEA-661940B71F3C}"/>
    <dgm:cxn modelId="{B7BFBB97-7B5C-4F9E-8816-8156F57E814F}" type="presParOf" srcId="{696703A1-7C1B-4218-873C-46B8966C17DC}" destId="{A939E736-2E14-41B2-8B84-37BFC5FC625A}" srcOrd="0" destOrd="0" presId="urn:microsoft.com/office/officeart/2005/8/layout/vList5"/>
    <dgm:cxn modelId="{4EDD0C99-A263-408E-A242-985A289C0ADD}" type="presParOf" srcId="{A939E736-2E14-41B2-8B84-37BFC5FC625A}" destId="{264776B5-6B7A-4560-8EA4-4DA328DE99CF}" srcOrd="0" destOrd="0" presId="urn:microsoft.com/office/officeart/2005/8/layout/vList5"/>
    <dgm:cxn modelId="{A910C8AF-228B-4B87-8098-8CF13D4F7305}" type="presParOf" srcId="{A939E736-2E14-41B2-8B84-37BFC5FC625A}" destId="{C6CDF150-561F-4186-B329-C26CC9BC4C04}" srcOrd="1" destOrd="0" presId="urn:microsoft.com/office/officeart/2005/8/layout/vList5"/>
    <dgm:cxn modelId="{607FE5D3-DFFB-481B-91C7-76086C09558B}" type="presParOf" srcId="{696703A1-7C1B-4218-873C-46B8966C17DC}" destId="{B6ADDBDC-F5CD-4D4E-A967-1AE9F3938E03}" srcOrd="1" destOrd="0" presId="urn:microsoft.com/office/officeart/2005/8/layout/vList5"/>
    <dgm:cxn modelId="{2B2CAB13-7911-40DB-9122-38D3C59FE64F}" type="presParOf" srcId="{696703A1-7C1B-4218-873C-46B8966C17DC}" destId="{55B2D81C-7821-4D7A-A228-23CB6654D2DE}" srcOrd="2" destOrd="0" presId="urn:microsoft.com/office/officeart/2005/8/layout/vList5"/>
    <dgm:cxn modelId="{58103B03-7CE7-46F8-9BAD-89F305BC05E0}" type="presParOf" srcId="{55B2D81C-7821-4D7A-A228-23CB6654D2DE}" destId="{F03E834C-307E-4AEF-B7E4-9C367A0E7B72}" srcOrd="0" destOrd="0" presId="urn:microsoft.com/office/officeart/2005/8/layout/vList5"/>
    <dgm:cxn modelId="{BED8EAE5-E2DC-4893-9650-B7C13DEC4B4B}" type="presParOf" srcId="{55B2D81C-7821-4D7A-A228-23CB6654D2DE}" destId="{E3DF4219-28FF-439F-8346-E02124688808}" srcOrd="1" destOrd="0" presId="urn:microsoft.com/office/officeart/2005/8/layout/vList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B0BA62B-D330-4F14-829A-59D63DEE46B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US"/>
        </a:p>
      </dgm:t>
    </dgm:pt>
    <dgm:pt modelId="{AEBDF1D3-CA99-4647-B314-7CD724C43C8F}">
      <dgm:prSet custT="1"/>
      <dgm:spPr>
        <a:xfrm>
          <a:off x="2913221" y="623"/>
          <a:ext cx="1008576" cy="806860"/>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WSC</a:t>
          </a:r>
        </a:p>
        <a:p>
          <a:pPr algn="ctr"/>
          <a:r>
            <a:rPr lang="en-US" sz="1100" b="1" dirty="0" smtClean="0">
              <a:solidFill>
                <a:sysClr val="window" lastClr="FFFFFF"/>
              </a:solidFill>
              <a:latin typeface="Calibri"/>
              <a:ea typeface="+mn-ea"/>
              <a:cs typeface="+mn-cs"/>
            </a:rPr>
            <a:t>Record </a:t>
          </a:r>
          <a:r>
            <a:rPr lang="en-US" sz="1100" b="1" dirty="0">
              <a:solidFill>
                <a:sysClr val="window" lastClr="FFFFFF"/>
              </a:solidFill>
              <a:latin typeface="Calibri"/>
              <a:ea typeface="+mn-ea"/>
              <a:cs typeface="+mn-cs"/>
            </a:rPr>
            <a:t>Review</a:t>
          </a:r>
        </a:p>
      </dgm:t>
    </dgm:pt>
    <dgm:pt modelId="{F47DA388-8BB8-4636-97AE-162E79A14C2E}" type="parTrans" cxnId="{06B800F2-8E35-4AFF-9A03-4F826492DCCC}">
      <dgm:prSet/>
      <dgm:spPr>
        <a:xfrm rot="17310153">
          <a:off x="2528351" y="838808"/>
          <a:ext cx="1349921" cy="410634"/>
        </a:xfrm>
        <a:solidFill>
          <a:srgbClr val="4BACC6">
            <a:hueOff val="0"/>
            <a:satOff val="0"/>
            <a:lumOff val="0"/>
            <a:alphaOff val="0"/>
          </a:srgbClr>
        </a:solidFill>
        <a:ln>
          <a:noFill/>
        </a:ln>
        <a:effectLst/>
      </dgm:spPr>
      <dgm:t>
        <a:bodyPr/>
        <a:lstStyle/>
        <a:p>
          <a:pPr algn="ctr"/>
          <a:endParaRPr lang="en-US" sz="1100"/>
        </a:p>
      </dgm:t>
    </dgm:pt>
    <dgm:pt modelId="{04B57211-BF9E-4DF5-8DE4-AF88AA7BAB3A}" type="sibTrans" cxnId="{06B800F2-8E35-4AFF-9A03-4F826492DCCC}">
      <dgm:prSet/>
      <dgm:spPr/>
      <dgm:t>
        <a:bodyPr/>
        <a:lstStyle/>
        <a:p>
          <a:pPr algn="ctr"/>
          <a:endParaRPr lang="en-US" sz="1100"/>
        </a:p>
      </dgm:t>
    </dgm:pt>
    <dgm:pt modelId="{318B5267-4AB7-4C58-B420-36EBD49218DA}">
      <dgm:prSet phldrT="[Text]" custT="1"/>
      <dgm:spPr>
        <a:xfrm>
          <a:off x="2015151" y="1721464"/>
          <a:ext cx="1440822" cy="1440822"/>
        </a:xfr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pPr algn="ctr"/>
          <a:endParaRPr lang="en-US" sz="1100" dirty="0" smtClean="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dgm:t>
    </dgm:pt>
    <dgm:pt modelId="{85717AB8-8151-4BA7-91B3-FDA7EC59DF17}" type="sibTrans" cxnId="{25AE4C88-721D-4299-93FF-7B77E91C53F8}">
      <dgm:prSet/>
      <dgm:spPr/>
      <dgm:t>
        <a:bodyPr/>
        <a:lstStyle/>
        <a:p>
          <a:pPr algn="ctr"/>
          <a:endParaRPr lang="en-US" sz="1100"/>
        </a:p>
      </dgm:t>
    </dgm:pt>
    <dgm:pt modelId="{D2CBAA0A-0A47-4D28-8E9D-B5D44E50A9D7}" type="parTrans" cxnId="{25AE4C88-721D-4299-93FF-7B77E91C53F8}">
      <dgm:prSet/>
      <dgm:spPr/>
      <dgm:t>
        <a:bodyPr/>
        <a:lstStyle/>
        <a:p>
          <a:pPr algn="ctr"/>
          <a:endParaRPr lang="en-US" sz="1100"/>
        </a:p>
      </dgm:t>
    </dgm:pt>
    <dgm:pt modelId="{9CBB3CDD-176F-4B7B-9B4E-65420E2844C3}">
      <dgm:prSet custT="1"/>
      <dgm:spPr>
        <a:xfrm>
          <a:off x="4004276" y="793321"/>
          <a:ext cx="1008576" cy="806860"/>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CDC+ Rep Record Review</a:t>
          </a:r>
        </a:p>
      </dgm:t>
    </dgm:pt>
    <dgm:pt modelId="{49740145-9B76-4A61-9B78-F8CD0356A35C}" type="parTrans" cxnId="{B9D2C7EF-0C14-402F-B6C5-15AFE877F0BE}">
      <dgm:prSet/>
      <dgm:spPr>
        <a:solidFill>
          <a:schemeClr val="accent6">
            <a:lumMod val="75000"/>
          </a:schemeClr>
        </a:solidFill>
      </dgm:spPr>
      <dgm:t>
        <a:bodyPr/>
        <a:lstStyle/>
        <a:p>
          <a:pPr algn="ctr"/>
          <a:endParaRPr lang="en-US" sz="1100"/>
        </a:p>
      </dgm:t>
    </dgm:pt>
    <dgm:pt modelId="{E7FE3134-A334-4E60-8931-D4B7E67816A5}" type="sibTrans" cxnId="{B9D2C7EF-0C14-402F-B6C5-15AFE877F0BE}">
      <dgm:prSet/>
      <dgm:spPr/>
      <dgm:t>
        <a:bodyPr/>
        <a:lstStyle/>
        <a:p>
          <a:pPr algn="ctr"/>
          <a:endParaRPr lang="en-US" sz="1100"/>
        </a:p>
      </dgm:t>
    </dgm:pt>
    <dgm:pt modelId="{240F21C3-C183-4C9C-8F87-E7BD33BA1EF2}">
      <dgm:prSet custT="1"/>
      <dgm:spPr>
        <a:xfrm>
          <a:off x="4004276" y="793321"/>
          <a:ext cx="1008576" cy="806860"/>
        </a:xfrm>
        <a:solidFill>
          <a:schemeClr val="accent1">
            <a:lumMod val="50000"/>
          </a:scheme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Health Summary</a:t>
          </a:r>
        </a:p>
      </dgm:t>
    </dgm:pt>
    <dgm:pt modelId="{82D9668F-2D5C-4465-9DB7-6F144F18A33E}" type="parTrans" cxnId="{5C624E34-2197-4EA0-BEF7-EFF249CE8D4A}">
      <dgm:prSet/>
      <dgm:spPr>
        <a:solidFill>
          <a:schemeClr val="accent1">
            <a:lumMod val="50000"/>
          </a:schemeClr>
        </a:solidFill>
      </dgm:spPr>
      <dgm:t>
        <a:bodyPr/>
        <a:lstStyle/>
        <a:p>
          <a:pPr algn="ctr"/>
          <a:endParaRPr lang="en-US" sz="1100"/>
        </a:p>
      </dgm:t>
    </dgm:pt>
    <dgm:pt modelId="{2BB2BE5E-5025-41DE-B16A-72B0A977778E}" type="sibTrans" cxnId="{5C624E34-2197-4EA0-BEF7-EFF249CE8D4A}">
      <dgm:prSet/>
      <dgm:spPr/>
      <dgm:t>
        <a:bodyPr/>
        <a:lstStyle/>
        <a:p>
          <a:pPr algn="ctr"/>
          <a:endParaRPr lang="en-US" sz="1100"/>
        </a:p>
      </dgm:t>
    </dgm:pt>
    <dgm:pt modelId="{55A44B90-3B94-4559-BE97-9AA4BB62E75B}">
      <dgm:prSet phldrT="[Text]" custT="1"/>
      <dgm:spPr>
        <a:xfrm>
          <a:off x="56801" y="2075934"/>
          <a:ext cx="1008576" cy="80686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My Life Interview</a:t>
          </a:r>
        </a:p>
      </dgm:t>
    </dgm:pt>
    <dgm:pt modelId="{ED42F108-174B-44D3-B7E1-0B9372E9F14B}" type="sibTrans" cxnId="{174036AD-9F0B-4D57-8CB6-B6124F8B6DE5}">
      <dgm:prSet/>
      <dgm:spPr/>
      <dgm:t>
        <a:bodyPr/>
        <a:lstStyle/>
        <a:p>
          <a:pPr algn="ctr"/>
          <a:endParaRPr lang="en-US" sz="1100"/>
        </a:p>
      </dgm:t>
    </dgm:pt>
    <dgm:pt modelId="{34046348-3D07-4502-9BC1-88CFCA06E329}" type="parTrans" cxnId="{174036AD-9F0B-4D57-8CB6-B6124F8B6DE5}">
      <dgm:prSet/>
      <dgm:spPr>
        <a:xfrm rot="10740738">
          <a:off x="560987" y="2262201"/>
          <a:ext cx="1374393" cy="410634"/>
        </a:xfrm>
        <a:solidFill>
          <a:srgbClr val="C0504D">
            <a:hueOff val="0"/>
            <a:satOff val="0"/>
            <a:lumOff val="0"/>
            <a:alphaOff val="0"/>
          </a:srgbClr>
        </a:solidFill>
        <a:ln>
          <a:noFill/>
        </a:ln>
        <a:effectLst/>
      </dgm:spPr>
      <dgm:t>
        <a:bodyPr/>
        <a:lstStyle/>
        <a:p>
          <a:pPr algn="ctr"/>
          <a:endParaRPr lang="en-US" sz="1100"/>
        </a:p>
      </dgm:t>
    </dgm:pt>
    <dgm:pt modelId="{AC507560-45A8-4102-84C3-8B6AB9D232C4}">
      <dgm:prSet custT="1"/>
      <dgm:spPr>
        <a:xfrm>
          <a:off x="4004276" y="793321"/>
          <a:ext cx="1008576" cy="806860"/>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smtClean="0">
              <a:solidFill>
                <a:sysClr val="window" lastClr="FFFFFF"/>
              </a:solidFill>
              <a:latin typeface="Calibri"/>
              <a:ea typeface="+mn-ea"/>
              <a:cs typeface="+mn-cs"/>
            </a:rPr>
            <a:t>CDC+ Consultant Record Review</a:t>
          </a:r>
          <a:endParaRPr lang="en-US" sz="1100" b="1" dirty="0">
            <a:solidFill>
              <a:sysClr val="window" lastClr="FFFFFF"/>
            </a:solidFill>
            <a:latin typeface="Calibri"/>
            <a:ea typeface="+mn-ea"/>
            <a:cs typeface="+mn-cs"/>
          </a:endParaRPr>
        </a:p>
      </dgm:t>
    </dgm:pt>
    <dgm:pt modelId="{B46B2F1E-F13A-4454-BA95-D2C33EDBEFF8}" type="sibTrans" cxnId="{540A6B74-8003-494B-B2C5-43EBF1FEFFBE}">
      <dgm:prSet/>
      <dgm:spPr/>
      <dgm:t>
        <a:bodyPr/>
        <a:lstStyle/>
        <a:p>
          <a:pPr algn="ctr"/>
          <a:endParaRPr lang="en-US" sz="1100"/>
        </a:p>
      </dgm:t>
    </dgm:pt>
    <dgm:pt modelId="{17A64BFB-BCC6-437D-B89E-13456B09A0F8}" type="parTrans" cxnId="{540A6B74-8003-494B-B2C5-43EBF1FEFFBE}">
      <dgm:prSet/>
      <dgm:spPr>
        <a:xfrm rot="19495250">
          <a:off x="3266093" y="1384128"/>
          <a:ext cx="1366585" cy="410634"/>
        </a:xfrm>
        <a:solidFill>
          <a:srgbClr val="F79646">
            <a:hueOff val="0"/>
            <a:satOff val="0"/>
            <a:lumOff val="0"/>
            <a:alphaOff val="0"/>
          </a:srgbClr>
        </a:solidFill>
        <a:ln>
          <a:noFill/>
        </a:ln>
        <a:effectLst/>
      </dgm:spPr>
      <dgm:t>
        <a:bodyPr/>
        <a:lstStyle/>
        <a:p>
          <a:pPr algn="ctr"/>
          <a:endParaRPr lang="en-US" sz="1100"/>
        </a:p>
      </dgm:t>
    </dgm:pt>
    <dgm:pt modelId="{D2C3E5EA-EBDE-4671-9304-DC95372DBE08}" type="pres">
      <dgm:prSet presAssocID="{1B0BA62B-D330-4F14-829A-59D63DEE46BB}" presName="cycle" presStyleCnt="0">
        <dgm:presLayoutVars>
          <dgm:chMax val="1"/>
          <dgm:dir/>
          <dgm:animLvl val="ctr"/>
          <dgm:resizeHandles val="exact"/>
        </dgm:presLayoutVars>
      </dgm:prSet>
      <dgm:spPr/>
      <dgm:t>
        <a:bodyPr/>
        <a:lstStyle/>
        <a:p>
          <a:endParaRPr lang="en-US"/>
        </a:p>
      </dgm:t>
    </dgm:pt>
    <dgm:pt modelId="{9FA18407-F696-4253-94C7-144D9DB23239}" type="pres">
      <dgm:prSet presAssocID="{318B5267-4AB7-4C58-B420-36EBD49218DA}" presName="centerShape" presStyleLbl="node0" presStyleIdx="0" presStyleCnt="1" custScaleX="42772" custScaleY="66103" custLinFactNeighborX="-214" custLinFactNeighborY="3582"/>
      <dgm:spPr>
        <a:prstGeom prst="ellipse">
          <a:avLst/>
        </a:prstGeom>
      </dgm:spPr>
      <dgm:t>
        <a:bodyPr/>
        <a:lstStyle/>
        <a:p>
          <a:endParaRPr lang="en-US"/>
        </a:p>
      </dgm:t>
    </dgm:pt>
    <dgm:pt modelId="{4F6D7D48-91FB-4060-BFE9-A4A3220B65C9}" type="pres">
      <dgm:prSet presAssocID="{34046348-3D07-4502-9BC1-88CFCA06E329}" presName="parTrans" presStyleLbl="bgSibTrans2D1" presStyleIdx="0" presStyleCnt="5"/>
      <dgm:spPr>
        <a:prstGeom prst="leftArrow">
          <a:avLst>
            <a:gd name="adj1" fmla="val 60000"/>
            <a:gd name="adj2" fmla="val 50000"/>
          </a:avLst>
        </a:prstGeom>
      </dgm:spPr>
      <dgm:t>
        <a:bodyPr/>
        <a:lstStyle/>
        <a:p>
          <a:endParaRPr lang="en-US"/>
        </a:p>
      </dgm:t>
    </dgm:pt>
    <dgm:pt modelId="{FCC81915-E8B3-4711-A953-2D236B0EB19D}" type="pres">
      <dgm:prSet presAssocID="{55A44B90-3B94-4559-BE97-9AA4BB62E75B}" presName="node" presStyleLbl="node1" presStyleIdx="0" presStyleCnt="5" custScaleX="115766" custScaleY="121400" custRadScaleRad="100002" custRadScaleInc="1077">
        <dgm:presLayoutVars>
          <dgm:bulletEnabled val="1"/>
        </dgm:presLayoutVars>
      </dgm:prSet>
      <dgm:spPr>
        <a:prstGeom prst="roundRect">
          <a:avLst>
            <a:gd name="adj" fmla="val 10000"/>
          </a:avLst>
        </a:prstGeom>
      </dgm:spPr>
      <dgm:t>
        <a:bodyPr/>
        <a:lstStyle/>
        <a:p>
          <a:endParaRPr lang="en-US"/>
        </a:p>
      </dgm:t>
    </dgm:pt>
    <dgm:pt modelId="{664B9BDB-99BB-450A-8FED-A691CE8A537F}" type="pres">
      <dgm:prSet presAssocID="{F47DA388-8BB8-4636-97AE-162E79A14C2E}" presName="parTrans" presStyleLbl="bgSibTrans2D1" presStyleIdx="1" presStyleCnt="5"/>
      <dgm:spPr>
        <a:prstGeom prst="leftArrow">
          <a:avLst>
            <a:gd name="adj1" fmla="val 60000"/>
            <a:gd name="adj2" fmla="val 50000"/>
          </a:avLst>
        </a:prstGeom>
      </dgm:spPr>
      <dgm:t>
        <a:bodyPr/>
        <a:lstStyle/>
        <a:p>
          <a:endParaRPr lang="en-US"/>
        </a:p>
      </dgm:t>
    </dgm:pt>
    <dgm:pt modelId="{8E6FBD0E-3BA9-4488-AEE5-5E507973319E}" type="pres">
      <dgm:prSet presAssocID="{AEBDF1D3-CA99-4647-B314-7CD724C43C8F}" presName="node" presStyleLbl="node1" presStyleIdx="1" presStyleCnt="5" custScaleX="116253" custScaleY="120882" custRadScaleRad="105523" custRadScaleInc="-8125">
        <dgm:presLayoutVars>
          <dgm:bulletEnabled val="1"/>
        </dgm:presLayoutVars>
      </dgm:prSet>
      <dgm:spPr>
        <a:prstGeom prst="roundRect">
          <a:avLst>
            <a:gd name="adj" fmla="val 10000"/>
          </a:avLst>
        </a:prstGeom>
      </dgm:spPr>
      <dgm:t>
        <a:bodyPr/>
        <a:lstStyle/>
        <a:p>
          <a:endParaRPr lang="en-US"/>
        </a:p>
      </dgm:t>
    </dgm:pt>
    <dgm:pt modelId="{3FF3BB7F-9DEC-4E59-AA4D-11174C24BC8E}" type="pres">
      <dgm:prSet presAssocID="{17A64BFB-BCC6-437D-B89E-13456B09A0F8}" presName="parTrans" presStyleLbl="bgSibTrans2D1" presStyleIdx="2" presStyleCnt="5"/>
      <dgm:spPr>
        <a:prstGeom prst="leftArrow">
          <a:avLst>
            <a:gd name="adj1" fmla="val 60000"/>
            <a:gd name="adj2" fmla="val 50000"/>
          </a:avLst>
        </a:prstGeom>
      </dgm:spPr>
      <dgm:t>
        <a:bodyPr/>
        <a:lstStyle/>
        <a:p>
          <a:endParaRPr lang="en-US"/>
        </a:p>
      </dgm:t>
    </dgm:pt>
    <dgm:pt modelId="{9B72993F-0DBA-468C-A894-A852EBCCD1F9}" type="pres">
      <dgm:prSet presAssocID="{AC507560-45A8-4102-84C3-8B6AB9D232C4}" presName="node" presStyleLbl="node1" presStyleIdx="2" presStyleCnt="5" custScaleX="115766" custScaleY="121400">
        <dgm:presLayoutVars>
          <dgm:bulletEnabled val="1"/>
        </dgm:presLayoutVars>
      </dgm:prSet>
      <dgm:spPr>
        <a:prstGeom prst="roundRect">
          <a:avLst>
            <a:gd name="adj" fmla="val 10000"/>
          </a:avLst>
        </a:prstGeom>
      </dgm:spPr>
      <dgm:t>
        <a:bodyPr/>
        <a:lstStyle/>
        <a:p>
          <a:endParaRPr lang="en-US"/>
        </a:p>
      </dgm:t>
    </dgm:pt>
    <dgm:pt modelId="{53430D49-F399-49DB-899A-576A97933B7F}" type="pres">
      <dgm:prSet presAssocID="{49740145-9B76-4A61-9B78-F8CD0356A35C}" presName="parTrans" presStyleLbl="bgSibTrans2D1" presStyleIdx="3" presStyleCnt="5"/>
      <dgm:spPr/>
      <dgm:t>
        <a:bodyPr/>
        <a:lstStyle/>
        <a:p>
          <a:endParaRPr lang="en-US"/>
        </a:p>
      </dgm:t>
    </dgm:pt>
    <dgm:pt modelId="{C412939A-1927-4304-B3E0-0A2B530008DF}" type="pres">
      <dgm:prSet presAssocID="{9CBB3CDD-176F-4B7B-9B4E-65420E2844C3}" presName="node" presStyleLbl="node1" presStyleIdx="3" presStyleCnt="5" custScaleX="115766" custScaleY="121400" custRadScaleRad="102873" custRadScaleInc="14793">
        <dgm:presLayoutVars>
          <dgm:bulletEnabled val="1"/>
        </dgm:presLayoutVars>
      </dgm:prSet>
      <dgm:spPr/>
      <dgm:t>
        <a:bodyPr/>
        <a:lstStyle/>
        <a:p>
          <a:endParaRPr lang="en-US"/>
        </a:p>
      </dgm:t>
    </dgm:pt>
    <dgm:pt modelId="{44817EB6-AF37-4B1D-9049-BAD2F540D93C}" type="pres">
      <dgm:prSet presAssocID="{82D9668F-2D5C-4465-9DB7-6F144F18A33E}" presName="parTrans" presStyleLbl="bgSibTrans2D1" presStyleIdx="4" presStyleCnt="5"/>
      <dgm:spPr/>
      <dgm:t>
        <a:bodyPr/>
        <a:lstStyle/>
        <a:p>
          <a:endParaRPr lang="en-US"/>
        </a:p>
      </dgm:t>
    </dgm:pt>
    <dgm:pt modelId="{46B83B37-0769-4CBB-BA16-1B1BEC775B8A}" type="pres">
      <dgm:prSet presAssocID="{240F21C3-C183-4C9C-8F87-E7BD33BA1EF2}" presName="node" presStyleLbl="node1" presStyleIdx="4" presStyleCnt="5" custScaleX="115766" custScaleY="121400">
        <dgm:presLayoutVars>
          <dgm:bulletEnabled val="1"/>
        </dgm:presLayoutVars>
      </dgm:prSet>
      <dgm:spPr/>
      <dgm:t>
        <a:bodyPr/>
        <a:lstStyle/>
        <a:p>
          <a:endParaRPr lang="en-US"/>
        </a:p>
      </dgm:t>
    </dgm:pt>
  </dgm:ptLst>
  <dgm:cxnLst>
    <dgm:cxn modelId="{F3792D2D-789D-4FCE-B325-1CF7B8EFA0FE}" type="presOf" srcId="{55A44B90-3B94-4559-BE97-9AA4BB62E75B}" destId="{FCC81915-E8B3-4711-A953-2D236B0EB19D}" srcOrd="0" destOrd="0" presId="urn:microsoft.com/office/officeart/2005/8/layout/radial4"/>
    <dgm:cxn modelId="{540A6B74-8003-494B-B2C5-43EBF1FEFFBE}" srcId="{318B5267-4AB7-4C58-B420-36EBD49218DA}" destId="{AC507560-45A8-4102-84C3-8B6AB9D232C4}" srcOrd="2" destOrd="0" parTransId="{17A64BFB-BCC6-437D-B89E-13456B09A0F8}" sibTransId="{B46B2F1E-F13A-4454-BA95-D2C33EDBEFF8}"/>
    <dgm:cxn modelId="{B2B36BEC-2A64-4FBA-9B6E-8E78551740C9}" type="presOf" srcId="{AC507560-45A8-4102-84C3-8B6AB9D232C4}" destId="{9B72993F-0DBA-468C-A894-A852EBCCD1F9}" srcOrd="0" destOrd="0" presId="urn:microsoft.com/office/officeart/2005/8/layout/radial4"/>
    <dgm:cxn modelId="{340ABAC0-B7DA-48AB-B695-9C0E5B8ADA7F}" type="presOf" srcId="{240F21C3-C183-4C9C-8F87-E7BD33BA1EF2}" destId="{46B83B37-0769-4CBB-BA16-1B1BEC775B8A}" srcOrd="0" destOrd="0" presId="urn:microsoft.com/office/officeart/2005/8/layout/radial4"/>
    <dgm:cxn modelId="{E93AD076-4CA2-4F62-8944-8520C861BDD3}" type="presOf" srcId="{AEBDF1D3-CA99-4647-B314-7CD724C43C8F}" destId="{8E6FBD0E-3BA9-4488-AEE5-5E507973319E}" srcOrd="0" destOrd="0" presId="urn:microsoft.com/office/officeart/2005/8/layout/radial4"/>
    <dgm:cxn modelId="{3D0FC184-4D47-4E88-8D3C-ECD5237BF1A5}" type="presOf" srcId="{82D9668F-2D5C-4465-9DB7-6F144F18A33E}" destId="{44817EB6-AF37-4B1D-9049-BAD2F540D93C}" srcOrd="0" destOrd="0" presId="urn:microsoft.com/office/officeart/2005/8/layout/radial4"/>
    <dgm:cxn modelId="{174036AD-9F0B-4D57-8CB6-B6124F8B6DE5}" srcId="{318B5267-4AB7-4C58-B420-36EBD49218DA}" destId="{55A44B90-3B94-4559-BE97-9AA4BB62E75B}" srcOrd="0" destOrd="0" parTransId="{34046348-3D07-4502-9BC1-88CFCA06E329}" sibTransId="{ED42F108-174B-44D3-B7E1-0B9372E9F14B}"/>
    <dgm:cxn modelId="{00DBD6CD-12D8-4AD8-8F65-12D430CECE47}" type="presOf" srcId="{318B5267-4AB7-4C58-B420-36EBD49218DA}" destId="{9FA18407-F696-4253-94C7-144D9DB23239}" srcOrd="0" destOrd="0" presId="urn:microsoft.com/office/officeart/2005/8/layout/radial4"/>
    <dgm:cxn modelId="{B10CF3BA-2E1D-412F-87C3-89EF45A60598}" type="presOf" srcId="{9CBB3CDD-176F-4B7B-9B4E-65420E2844C3}" destId="{C412939A-1927-4304-B3E0-0A2B530008DF}" srcOrd="0" destOrd="0" presId="urn:microsoft.com/office/officeart/2005/8/layout/radial4"/>
    <dgm:cxn modelId="{E9434CFF-32BA-40A3-B98B-1F13F8740F0C}" type="presOf" srcId="{1B0BA62B-D330-4F14-829A-59D63DEE46BB}" destId="{D2C3E5EA-EBDE-4671-9304-DC95372DBE08}" srcOrd="0" destOrd="0" presId="urn:microsoft.com/office/officeart/2005/8/layout/radial4"/>
    <dgm:cxn modelId="{938701B2-850B-4439-8907-458947DBB0E2}" type="presOf" srcId="{34046348-3D07-4502-9BC1-88CFCA06E329}" destId="{4F6D7D48-91FB-4060-BFE9-A4A3220B65C9}" srcOrd="0" destOrd="0" presId="urn:microsoft.com/office/officeart/2005/8/layout/radial4"/>
    <dgm:cxn modelId="{B9D2C7EF-0C14-402F-B6C5-15AFE877F0BE}" srcId="{318B5267-4AB7-4C58-B420-36EBD49218DA}" destId="{9CBB3CDD-176F-4B7B-9B4E-65420E2844C3}" srcOrd="3" destOrd="0" parTransId="{49740145-9B76-4A61-9B78-F8CD0356A35C}" sibTransId="{E7FE3134-A334-4E60-8931-D4B7E67816A5}"/>
    <dgm:cxn modelId="{BB58E4CB-9CA6-41CB-AA1B-3DDE793B04E3}" type="presOf" srcId="{49740145-9B76-4A61-9B78-F8CD0356A35C}" destId="{53430D49-F399-49DB-899A-576A97933B7F}" srcOrd="0" destOrd="0" presId="urn:microsoft.com/office/officeart/2005/8/layout/radial4"/>
    <dgm:cxn modelId="{5C624E34-2197-4EA0-BEF7-EFF249CE8D4A}" srcId="{318B5267-4AB7-4C58-B420-36EBD49218DA}" destId="{240F21C3-C183-4C9C-8F87-E7BD33BA1EF2}" srcOrd="4" destOrd="0" parTransId="{82D9668F-2D5C-4465-9DB7-6F144F18A33E}" sibTransId="{2BB2BE5E-5025-41DE-B16A-72B0A977778E}"/>
    <dgm:cxn modelId="{06B800F2-8E35-4AFF-9A03-4F826492DCCC}" srcId="{318B5267-4AB7-4C58-B420-36EBD49218DA}" destId="{AEBDF1D3-CA99-4647-B314-7CD724C43C8F}" srcOrd="1" destOrd="0" parTransId="{F47DA388-8BB8-4636-97AE-162E79A14C2E}" sibTransId="{04B57211-BF9E-4DF5-8DE4-AF88AA7BAB3A}"/>
    <dgm:cxn modelId="{A13BFE80-D8C1-4F13-A6DD-6980BEAE7C3A}" type="presOf" srcId="{F47DA388-8BB8-4636-97AE-162E79A14C2E}" destId="{664B9BDB-99BB-450A-8FED-A691CE8A537F}" srcOrd="0" destOrd="0" presId="urn:microsoft.com/office/officeart/2005/8/layout/radial4"/>
    <dgm:cxn modelId="{8F33C724-E3BA-4F70-9734-55F71A97D546}" type="presOf" srcId="{17A64BFB-BCC6-437D-B89E-13456B09A0F8}" destId="{3FF3BB7F-9DEC-4E59-AA4D-11174C24BC8E}" srcOrd="0" destOrd="0" presId="urn:microsoft.com/office/officeart/2005/8/layout/radial4"/>
    <dgm:cxn modelId="{25AE4C88-721D-4299-93FF-7B77E91C53F8}" srcId="{1B0BA62B-D330-4F14-829A-59D63DEE46BB}" destId="{318B5267-4AB7-4C58-B420-36EBD49218DA}" srcOrd="0" destOrd="0" parTransId="{D2CBAA0A-0A47-4D28-8E9D-B5D44E50A9D7}" sibTransId="{85717AB8-8151-4BA7-91B3-FDA7EC59DF17}"/>
    <dgm:cxn modelId="{C3F9811D-77F1-4C4E-8935-340C1C68E19F}" type="presParOf" srcId="{D2C3E5EA-EBDE-4671-9304-DC95372DBE08}" destId="{9FA18407-F696-4253-94C7-144D9DB23239}" srcOrd="0" destOrd="0" presId="urn:microsoft.com/office/officeart/2005/8/layout/radial4"/>
    <dgm:cxn modelId="{4A5F5D6A-4549-4149-B2AC-F6EB0C966180}" type="presParOf" srcId="{D2C3E5EA-EBDE-4671-9304-DC95372DBE08}" destId="{4F6D7D48-91FB-4060-BFE9-A4A3220B65C9}" srcOrd="1" destOrd="0" presId="urn:microsoft.com/office/officeart/2005/8/layout/radial4"/>
    <dgm:cxn modelId="{D86D6942-112F-48D8-A2CA-B26DB2B2B8B9}" type="presParOf" srcId="{D2C3E5EA-EBDE-4671-9304-DC95372DBE08}" destId="{FCC81915-E8B3-4711-A953-2D236B0EB19D}" srcOrd="2" destOrd="0" presId="urn:microsoft.com/office/officeart/2005/8/layout/radial4"/>
    <dgm:cxn modelId="{3A86BA34-17C7-4F0A-AB34-6C78C70A2E4E}" type="presParOf" srcId="{D2C3E5EA-EBDE-4671-9304-DC95372DBE08}" destId="{664B9BDB-99BB-450A-8FED-A691CE8A537F}" srcOrd="3" destOrd="0" presId="urn:microsoft.com/office/officeart/2005/8/layout/radial4"/>
    <dgm:cxn modelId="{404F8F3A-E239-4319-ADF9-48F2C2A66831}" type="presParOf" srcId="{D2C3E5EA-EBDE-4671-9304-DC95372DBE08}" destId="{8E6FBD0E-3BA9-4488-AEE5-5E507973319E}" srcOrd="4" destOrd="0" presId="urn:microsoft.com/office/officeart/2005/8/layout/radial4"/>
    <dgm:cxn modelId="{43B1DE4F-D5D3-42DC-9018-DCA61C11695E}" type="presParOf" srcId="{D2C3E5EA-EBDE-4671-9304-DC95372DBE08}" destId="{3FF3BB7F-9DEC-4E59-AA4D-11174C24BC8E}" srcOrd="5" destOrd="0" presId="urn:microsoft.com/office/officeart/2005/8/layout/radial4"/>
    <dgm:cxn modelId="{51EDADD3-F71A-4B06-A6B1-C9359B1D746E}" type="presParOf" srcId="{D2C3E5EA-EBDE-4671-9304-DC95372DBE08}" destId="{9B72993F-0DBA-468C-A894-A852EBCCD1F9}" srcOrd="6" destOrd="0" presId="urn:microsoft.com/office/officeart/2005/8/layout/radial4"/>
    <dgm:cxn modelId="{611DE0F0-D3BB-431C-9300-E3E0578734CF}" type="presParOf" srcId="{D2C3E5EA-EBDE-4671-9304-DC95372DBE08}" destId="{53430D49-F399-49DB-899A-576A97933B7F}" srcOrd="7" destOrd="0" presId="urn:microsoft.com/office/officeart/2005/8/layout/radial4"/>
    <dgm:cxn modelId="{9E55EBAF-F5FF-4D28-8103-1B6F202A2652}" type="presParOf" srcId="{D2C3E5EA-EBDE-4671-9304-DC95372DBE08}" destId="{C412939A-1927-4304-B3E0-0A2B530008DF}" srcOrd="8" destOrd="0" presId="urn:microsoft.com/office/officeart/2005/8/layout/radial4"/>
    <dgm:cxn modelId="{793E6EBF-82DC-4660-AC9C-F9F2AA3DACDF}" type="presParOf" srcId="{D2C3E5EA-EBDE-4671-9304-DC95372DBE08}" destId="{44817EB6-AF37-4B1D-9049-BAD2F540D93C}" srcOrd="9" destOrd="0" presId="urn:microsoft.com/office/officeart/2005/8/layout/radial4"/>
    <dgm:cxn modelId="{B27C99AC-5299-4A3B-A4E3-93256E857D95}" type="presParOf" srcId="{D2C3E5EA-EBDE-4671-9304-DC95372DBE08}" destId="{46B83B37-0769-4CBB-BA16-1B1BEC775B8A}" srcOrd="10" destOrd="0" presId="urn:microsoft.com/office/officeart/2005/8/layout/radial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BA62B-D330-4F14-829A-59D63DEE46B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US"/>
        </a:p>
      </dgm:t>
    </dgm:pt>
    <dgm:pt modelId="{55A44B90-3B94-4559-BE97-9AA4BB62E75B}">
      <dgm:prSet phldrT="[Text]" custT="1"/>
      <dgm:spPr>
        <a:xfrm>
          <a:off x="-64653" y="1817027"/>
          <a:ext cx="955997" cy="802018"/>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dirty="0">
              <a:solidFill>
                <a:sysClr val="window" lastClr="FFFFFF"/>
              </a:solidFill>
              <a:latin typeface="Calibri"/>
              <a:ea typeface="+mn-ea"/>
              <a:cs typeface="+mn-cs"/>
            </a:rPr>
            <a:t>My Life Interview</a:t>
          </a:r>
        </a:p>
      </dgm:t>
    </dgm:pt>
    <dgm:pt modelId="{34046348-3D07-4502-9BC1-88CFCA06E329}" type="parTrans" cxnId="{174036AD-9F0B-4D57-8CB6-B6124F8B6DE5}">
      <dgm:prSet/>
      <dgm:spPr>
        <a:xfrm rot="11013004">
          <a:off x="411956" y="2094741"/>
          <a:ext cx="1447465" cy="336219"/>
        </a:xfrm>
        <a:prstGeom prst="leftArrow">
          <a:avLst>
            <a:gd name="adj1" fmla="val 60000"/>
            <a:gd name="adj2" fmla="val 50000"/>
          </a:avLst>
        </a:prstGeom>
        <a:solidFill>
          <a:srgbClr val="C0504D">
            <a:hueOff val="0"/>
            <a:satOff val="0"/>
            <a:lumOff val="0"/>
            <a:alphaOff val="0"/>
          </a:srgbClr>
        </a:solidFill>
        <a:ln>
          <a:noFill/>
        </a:ln>
        <a:effectLst/>
      </dgm:spPr>
      <dgm:t>
        <a:bodyPr/>
        <a:lstStyle/>
        <a:p>
          <a:pPr algn="ctr"/>
          <a:endParaRPr lang="en-US" sz="1100"/>
        </a:p>
      </dgm:t>
    </dgm:pt>
    <dgm:pt modelId="{ED42F108-174B-44D3-B7E1-0B9372E9F14B}" type="sibTrans" cxnId="{174036AD-9F0B-4D57-8CB6-B6124F8B6DE5}">
      <dgm:prSet/>
      <dgm:spPr/>
      <dgm:t>
        <a:bodyPr/>
        <a:lstStyle/>
        <a:p>
          <a:pPr algn="ctr"/>
          <a:endParaRPr lang="en-US" sz="1100"/>
        </a:p>
      </dgm:t>
    </dgm:pt>
    <dgm:pt modelId="{AEBDF1D3-CA99-4647-B314-7CD724C43C8F}">
      <dgm:prSet custT="1"/>
      <dgm:spPr>
        <a:xfrm>
          <a:off x="1144694" y="99388"/>
          <a:ext cx="1008972" cy="835334"/>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dirty="0" smtClean="0">
              <a:solidFill>
                <a:sysClr val="window" lastClr="FFFFFF"/>
              </a:solidFill>
              <a:latin typeface="Calibri"/>
              <a:ea typeface="+mn-ea"/>
              <a:cs typeface="+mn-cs"/>
            </a:rPr>
            <a:t>Service Specific Record </a:t>
          </a:r>
          <a:r>
            <a:rPr lang="en-US" sz="1100" b="1" dirty="0">
              <a:solidFill>
                <a:sysClr val="window" lastClr="FFFFFF"/>
              </a:solidFill>
              <a:latin typeface="Calibri"/>
              <a:ea typeface="+mn-ea"/>
              <a:cs typeface="+mn-cs"/>
            </a:rPr>
            <a:t>Review</a:t>
          </a:r>
        </a:p>
      </dgm:t>
    </dgm:pt>
    <dgm:pt modelId="{F47DA388-8BB8-4636-97AE-162E79A14C2E}" type="parTrans" cxnId="{06B800F2-8E35-4AFF-9A03-4F826492DCCC}">
      <dgm:prSet/>
      <dgm:spPr>
        <a:xfrm rot="15195281">
          <a:off x="1137077" y="1037806"/>
          <a:ext cx="1438729" cy="336219"/>
        </a:xfrm>
        <a:prstGeom prst="leftArrow">
          <a:avLst>
            <a:gd name="adj1" fmla="val 60000"/>
            <a:gd name="adj2" fmla="val 50000"/>
          </a:avLst>
        </a:prstGeom>
        <a:solidFill>
          <a:srgbClr val="4BACC6">
            <a:hueOff val="0"/>
            <a:satOff val="0"/>
            <a:lumOff val="0"/>
            <a:alphaOff val="0"/>
          </a:srgbClr>
        </a:solidFill>
        <a:ln>
          <a:noFill/>
        </a:ln>
        <a:effectLst/>
      </dgm:spPr>
      <dgm:t>
        <a:bodyPr/>
        <a:lstStyle/>
        <a:p>
          <a:pPr algn="ctr"/>
          <a:endParaRPr lang="en-US" sz="1100"/>
        </a:p>
      </dgm:t>
    </dgm:pt>
    <dgm:pt modelId="{04B57211-BF9E-4DF5-8DE4-AF88AA7BAB3A}" type="sibTrans" cxnId="{06B800F2-8E35-4AFF-9A03-4F826492DCCC}">
      <dgm:prSet/>
      <dgm:spPr/>
      <dgm:t>
        <a:bodyPr/>
        <a:lstStyle/>
        <a:p>
          <a:pPr algn="ctr"/>
          <a:endParaRPr lang="en-US" sz="1100"/>
        </a:p>
      </dgm:t>
    </dgm:pt>
    <dgm:pt modelId="{AC507560-45A8-4102-84C3-8B6AB9D232C4}">
      <dgm:prSet custT="1"/>
      <dgm:spPr>
        <a:xfrm>
          <a:off x="2276545" y="116046"/>
          <a:ext cx="955997" cy="802018"/>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smtClean="0">
              <a:solidFill>
                <a:sysClr val="window" lastClr="FFFFFF"/>
              </a:solidFill>
              <a:latin typeface="Calibri"/>
              <a:ea typeface="+mn-ea"/>
              <a:cs typeface="+mn-cs"/>
            </a:rPr>
            <a:t>Observations (temporarily stopped)</a:t>
          </a:r>
          <a:endParaRPr lang="en-US" sz="1100" b="1" dirty="0">
            <a:solidFill>
              <a:sysClr val="window" lastClr="FFFFFF"/>
            </a:solidFill>
            <a:latin typeface="Calibri"/>
            <a:ea typeface="+mn-ea"/>
            <a:cs typeface="+mn-cs"/>
          </a:endParaRPr>
        </a:p>
      </dgm:t>
    </dgm:pt>
    <dgm:pt modelId="{B46B2F1E-F13A-4454-BA95-D2C33EDBEFF8}" type="sibTrans" cxnId="{540A6B74-8003-494B-B2C5-43EBF1FEFFBE}">
      <dgm:prSet/>
      <dgm:spPr/>
      <dgm:t>
        <a:bodyPr/>
        <a:lstStyle/>
        <a:p>
          <a:pPr algn="ctr"/>
          <a:endParaRPr lang="en-US" sz="1100"/>
        </a:p>
      </dgm:t>
    </dgm:pt>
    <dgm:pt modelId="{17A64BFB-BCC6-437D-B89E-13456B09A0F8}" type="parTrans" cxnId="{540A6B74-8003-494B-B2C5-43EBF1FEFFBE}">
      <dgm:prSet/>
      <dgm:spPr>
        <a:xfrm rot="17231298">
          <a:off x="1819258" y="1038646"/>
          <a:ext cx="1443885" cy="336219"/>
        </a:xfrm>
        <a:prstGeom prst="leftArrow">
          <a:avLst>
            <a:gd name="adj1" fmla="val 60000"/>
            <a:gd name="adj2" fmla="val 50000"/>
          </a:avLst>
        </a:prstGeom>
        <a:solidFill>
          <a:srgbClr val="F79646">
            <a:hueOff val="0"/>
            <a:satOff val="0"/>
            <a:lumOff val="0"/>
            <a:alphaOff val="0"/>
          </a:srgbClr>
        </a:solidFill>
        <a:ln>
          <a:noFill/>
        </a:ln>
        <a:effectLst/>
      </dgm:spPr>
      <dgm:t>
        <a:bodyPr/>
        <a:lstStyle/>
        <a:p>
          <a:pPr algn="ctr"/>
          <a:endParaRPr lang="en-US" sz="1100"/>
        </a:p>
      </dgm:t>
    </dgm:pt>
    <dgm:pt modelId="{9CBB3CDD-176F-4B7B-9B4E-65420E2844C3}">
      <dgm:prSet custT="1"/>
      <dgm:spPr>
        <a:xfrm>
          <a:off x="3295166" y="838913"/>
          <a:ext cx="955997" cy="802018"/>
        </a:xfrm>
        <a:prstGeom prst="roundRect">
          <a:avLst>
            <a:gd name="adj" fmla="val 10000"/>
          </a:avLst>
        </a:prstGeom>
        <a:solidFill>
          <a:srgbClr val="70AD47">
            <a:lumMod val="75000"/>
          </a:srgbClr>
        </a:solidFill>
        <a:ln w="254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en-US" sz="1100" b="1" dirty="0">
              <a:solidFill>
                <a:sysClr val="window" lastClr="FFFFFF"/>
              </a:solidFill>
              <a:latin typeface="Calibri"/>
              <a:ea typeface="+mn-ea"/>
              <a:cs typeface="+mn-cs"/>
            </a:rPr>
            <a:t>Policies </a:t>
          </a:r>
        </a:p>
        <a:p>
          <a:pPr algn="ctr">
            <a:spcAft>
              <a:spcPts val="0"/>
            </a:spcAft>
          </a:pPr>
          <a:r>
            <a:rPr lang="en-US" sz="1100" b="1" dirty="0">
              <a:solidFill>
                <a:sysClr val="window" lastClr="FFFFFF"/>
              </a:solidFill>
              <a:latin typeface="Calibri"/>
              <a:ea typeface="+mn-ea"/>
              <a:cs typeface="+mn-cs"/>
            </a:rPr>
            <a:t>&amp; </a:t>
          </a:r>
        </a:p>
        <a:p>
          <a:pPr algn="ctr">
            <a:spcAft>
              <a:spcPts val="0"/>
            </a:spcAft>
          </a:pPr>
          <a:r>
            <a:rPr lang="en-US" sz="1100" b="1" dirty="0">
              <a:solidFill>
                <a:sysClr val="window" lastClr="FFFFFF"/>
              </a:solidFill>
              <a:latin typeface="Calibri"/>
              <a:ea typeface="+mn-ea"/>
              <a:cs typeface="+mn-cs"/>
            </a:rPr>
            <a:t>Procedures</a:t>
          </a:r>
        </a:p>
      </dgm:t>
    </dgm:pt>
    <dgm:pt modelId="{49740145-9B76-4A61-9B78-F8CD0356A35C}" type="parTrans" cxnId="{B9D2C7EF-0C14-402F-B6C5-15AFE877F0BE}">
      <dgm:prSet/>
      <dgm:spPr>
        <a:xfrm rot="19524961">
          <a:off x="2362024" y="1511117"/>
          <a:ext cx="1547901" cy="336219"/>
        </a:xfrm>
        <a:prstGeom prst="leftArrow">
          <a:avLst>
            <a:gd name="adj1" fmla="val 60000"/>
            <a:gd name="adj2" fmla="val 50000"/>
          </a:avLst>
        </a:prstGeom>
        <a:solidFill>
          <a:srgbClr val="70AD47">
            <a:lumMod val="75000"/>
          </a:srgbClr>
        </a:solidFill>
        <a:ln>
          <a:noFill/>
        </a:ln>
        <a:effectLst/>
      </dgm:spPr>
      <dgm:t>
        <a:bodyPr/>
        <a:lstStyle/>
        <a:p>
          <a:endParaRPr lang="en-US" sz="1100"/>
        </a:p>
      </dgm:t>
    </dgm:pt>
    <dgm:pt modelId="{E7FE3134-A334-4E60-8931-D4B7E67816A5}" type="sibTrans" cxnId="{B9D2C7EF-0C14-402F-B6C5-15AFE877F0BE}">
      <dgm:prSet/>
      <dgm:spPr/>
      <dgm:t>
        <a:bodyPr/>
        <a:lstStyle/>
        <a:p>
          <a:endParaRPr lang="en-US" sz="1100"/>
        </a:p>
      </dgm:t>
    </dgm:pt>
    <dgm:pt modelId="{240F21C3-C183-4C9C-8F87-E7BD33BA1EF2}">
      <dgm:prSet custT="1"/>
      <dgm:spPr>
        <a:xfrm>
          <a:off x="3512380" y="1817027"/>
          <a:ext cx="955997" cy="802018"/>
        </a:xfrm>
        <a:prstGeom prst="roundRect">
          <a:avLst>
            <a:gd name="adj" fmla="val 10000"/>
          </a:avLst>
        </a:prstGeom>
        <a:solidFill>
          <a:srgbClr val="5B9BD5">
            <a:lumMod val="50000"/>
          </a:srgbClr>
        </a:solidFill>
        <a:ln w="254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en-US" sz="1100" b="1" dirty="0">
              <a:solidFill>
                <a:sysClr val="window" lastClr="FFFFFF"/>
              </a:solidFill>
              <a:latin typeface="Calibri"/>
              <a:ea typeface="+mn-ea"/>
              <a:cs typeface="+mn-cs"/>
            </a:rPr>
            <a:t>Qualifications </a:t>
          </a:r>
        </a:p>
        <a:p>
          <a:pPr algn="ctr">
            <a:spcAft>
              <a:spcPts val="0"/>
            </a:spcAft>
          </a:pPr>
          <a:r>
            <a:rPr lang="en-US" sz="1100" b="1" dirty="0">
              <a:solidFill>
                <a:sysClr val="window" lastClr="FFFFFF"/>
              </a:solidFill>
              <a:latin typeface="Calibri"/>
              <a:ea typeface="+mn-ea"/>
              <a:cs typeface="+mn-cs"/>
            </a:rPr>
            <a:t>&amp; </a:t>
          </a:r>
        </a:p>
        <a:p>
          <a:pPr algn="ctr">
            <a:spcAft>
              <a:spcPts val="0"/>
            </a:spcAft>
          </a:pPr>
          <a:r>
            <a:rPr lang="en-US" sz="1100" b="1" dirty="0">
              <a:solidFill>
                <a:sysClr val="window" lastClr="FFFFFF"/>
              </a:solidFill>
              <a:latin typeface="Calibri"/>
              <a:ea typeface="+mn-ea"/>
              <a:cs typeface="+mn-cs"/>
            </a:rPr>
            <a:t>Training</a:t>
          </a:r>
        </a:p>
      </dgm:t>
    </dgm:pt>
    <dgm:pt modelId="{82D9668F-2D5C-4465-9DB7-6F144F18A33E}" type="parTrans" cxnId="{5C624E34-2197-4EA0-BEF7-EFF249CE8D4A}">
      <dgm:prSet/>
      <dgm:spPr>
        <a:xfrm rot="21388807">
          <a:off x="2529847" y="2094804"/>
          <a:ext cx="1461910" cy="336219"/>
        </a:xfrm>
        <a:prstGeom prst="leftArrow">
          <a:avLst>
            <a:gd name="adj1" fmla="val 60000"/>
            <a:gd name="adj2" fmla="val 50000"/>
          </a:avLst>
        </a:prstGeom>
        <a:solidFill>
          <a:srgbClr val="5B9BD5">
            <a:lumMod val="50000"/>
          </a:srgbClr>
        </a:solidFill>
        <a:ln>
          <a:noFill/>
        </a:ln>
        <a:effectLst/>
      </dgm:spPr>
      <dgm:t>
        <a:bodyPr/>
        <a:lstStyle/>
        <a:p>
          <a:endParaRPr lang="en-US" sz="1100"/>
        </a:p>
      </dgm:t>
    </dgm:pt>
    <dgm:pt modelId="{2BB2BE5E-5025-41DE-B16A-72B0A977778E}" type="sibTrans" cxnId="{5C624E34-2197-4EA0-BEF7-EFF249CE8D4A}">
      <dgm:prSet/>
      <dgm:spPr/>
      <dgm:t>
        <a:bodyPr/>
        <a:lstStyle/>
        <a:p>
          <a:endParaRPr lang="en-US" sz="1100"/>
        </a:p>
      </dgm:t>
    </dgm:pt>
    <dgm:pt modelId="{318B5267-4AB7-4C58-B420-36EBD49218DA}">
      <dgm:prSet phldrT="[Text]" custT="1"/>
      <dgm:spPr>
        <a:xfrm>
          <a:off x="1941913" y="1938606"/>
          <a:ext cx="504588" cy="779828"/>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gm:spPr>
      <dgm:t>
        <a:bodyPr/>
        <a:lstStyle/>
        <a:p>
          <a:pPr algn="ctr"/>
          <a:endParaRPr lang="en-US" sz="1100" dirty="0" smtClean="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dgm:t>
    </dgm:pt>
    <dgm:pt modelId="{85717AB8-8151-4BA7-91B3-FDA7EC59DF17}" type="sibTrans" cxnId="{25AE4C88-721D-4299-93FF-7B77E91C53F8}">
      <dgm:prSet/>
      <dgm:spPr/>
      <dgm:t>
        <a:bodyPr/>
        <a:lstStyle/>
        <a:p>
          <a:pPr algn="ctr"/>
          <a:endParaRPr lang="en-US" sz="1100"/>
        </a:p>
      </dgm:t>
    </dgm:pt>
    <dgm:pt modelId="{D2CBAA0A-0A47-4D28-8E9D-B5D44E50A9D7}" type="parTrans" cxnId="{25AE4C88-721D-4299-93FF-7B77E91C53F8}">
      <dgm:prSet/>
      <dgm:spPr/>
      <dgm:t>
        <a:bodyPr/>
        <a:lstStyle/>
        <a:p>
          <a:pPr algn="ctr"/>
          <a:endParaRPr lang="en-US" sz="1100"/>
        </a:p>
      </dgm:t>
    </dgm:pt>
    <dgm:pt modelId="{633BBEF0-8BE5-427D-98F1-95B8195F268A}">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541D12AA-69AC-4FC1-9C12-52B175F42E6E}" type="parTrans" cxnId="{F23C269D-B4C1-452B-B579-435962C314C0}">
      <dgm:prSet/>
      <dgm:spPr/>
      <dgm:t>
        <a:bodyPr/>
        <a:lstStyle/>
        <a:p>
          <a:endParaRPr lang="en-US" sz="1100"/>
        </a:p>
      </dgm:t>
    </dgm:pt>
    <dgm:pt modelId="{A3220205-C092-47A3-A625-1BC5056185D6}" type="sibTrans" cxnId="{F23C269D-B4C1-452B-B579-435962C314C0}">
      <dgm:prSet/>
      <dgm:spPr/>
      <dgm:t>
        <a:bodyPr/>
        <a:lstStyle/>
        <a:p>
          <a:endParaRPr lang="en-US" sz="1100"/>
        </a:p>
      </dgm:t>
    </dgm:pt>
    <dgm:pt modelId="{41B21726-263E-4190-BC03-B35B331BBFC4}">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C31406F0-D058-4DC9-8A28-DA7EFFB4FD95}" type="parTrans" cxnId="{6EBC6C51-C9D4-4EE9-BEE9-E4D72060CB91}">
      <dgm:prSet/>
      <dgm:spPr/>
      <dgm:t>
        <a:bodyPr/>
        <a:lstStyle/>
        <a:p>
          <a:endParaRPr lang="en-US" sz="1100"/>
        </a:p>
      </dgm:t>
    </dgm:pt>
    <dgm:pt modelId="{76BC68E7-3168-4205-9A9F-2D11F6A408EC}" type="sibTrans" cxnId="{6EBC6C51-C9D4-4EE9-BEE9-E4D72060CB91}">
      <dgm:prSet/>
      <dgm:spPr/>
      <dgm:t>
        <a:bodyPr/>
        <a:lstStyle/>
        <a:p>
          <a:endParaRPr lang="en-US" sz="1100"/>
        </a:p>
      </dgm:t>
    </dgm:pt>
    <dgm:pt modelId="{37F93EE4-A052-401E-9D67-165B4134AE8B}">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CBB5DEBA-C6BF-4917-8B98-9C376C670763}" type="parTrans" cxnId="{8D26332C-73DC-45E2-8B37-46E975CCE2EA}">
      <dgm:prSet/>
      <dgm:spPr/>
      <dgm:t>
        <a:bodyPr/>
        <a:lstStyle/>
        <a:p>
          <a:endParaRPr lang="en-US" sz="1100"/>
        </a:p>
      </dgm:t>
    </dgm:pt>
    <dgm:pt modelId="{1B5DE6CD-482F-4092-BEC7-4E55432FC4F5}" type="sibTrans" cxnId="{8D26332C-73DC-45E2-8B37-46E975CCE2EA}">
      <dgm:prSet/>
      <dgm:spPr/>
      <dgm:t>
        <a:bodyPr/>
        <a:lstStyle/>
        <a:p>
          <a:endParaRPr lang="en-US" sz="1100"/>
        </a:p>
      </dgm:t>
    </dgm:pt>
    <dgm:pt modelId="{D2C3E5EA-EBDE-4671-9304-DC95372DBE08}" type="pres">
      <dgm:prSet presAssocID="{1B0BA62B-D330-4F14-829A-59D63DEE46BB}" presName="cycle" presStyleCnt="0">
        <dgm:presLayoutVars>
          <dgm:chMax val="1"/>
          <dgm:dir/>
          <dgm:animLvl val="ctr"/>
          <dgm:resizeHandles val="exact"/>
        </dgm:presLayoutVars>
      </dgm:prSet>
      <dgm:spPr/>
      <dgm:t>
        <a:bodyPr/>
        <a:lstStyle/>
        <a:p>
          <a:endParaRPr lang="en-US"/>
        </a:p>
      </dgm:t>
    </dgm:pt>
    <dgm:pt modelId="{9FA18407-F696-4253-94C7-144D9DB23239}" type="pres">
      <dgm:prSet presAssocID="{318B5267-4AB7-4C58-B420-36EBD49218DA}" presName="centerShape" presStyleLbl="node0" presStyleIdx="0" presStyleCnt="1" custScaleX="42772" custScaleY="66103" custLinFactNeighborX="-214" custLinFactNeighborY="3582"/>
      <dgm:spPr>
        <a:prstGeom prst="ellipse">
          <a:avLst/>
        </a:prstGeom>
      </dgm:spPr>
      <dgm:t>
        <a:bodyPr/>
        <a:lstStyle/>
        <a:p>
          <a:endParaRPr lang="en-US"/>
        </a:p>
      </dgm:t>
    </dgm:pt>
    <dgm:pt modelId="{4F6D7D48-91FB-4060-BFE9-A4A3220B65C9}" type="pres">
      <dgm:prSet presAssocID="{34046348-3D07-4502-9BC1-88CFCA06E329}" presName="parTrans" presStyleLbl="bgSibTrans2D1" presStyleIdx="0" presStyleCnt="5"/>
      <dgm:spPr>
        <a:prstGeom prst="leftArrow">
          <a:avLst>
            <a:gd name="adj1" fmla="val 60000"/>
            <a:gd name="adj2" fmla="val 50000"/>
          </a:avLst>
        </a:prstGeom>
      </dgm:spPr>
      <dgm:t>
        <a:bodyPr/>
        <a:lstStyle/>
        <a:p>
          <a:endParaRPr lang="en-US"/>
        </a:p>
      </dgm:t>
    </dgm:pt>
    <dgm:pt modelId="{FCC81915-E8B3-4711-A953-2D236B0EB19D}" type="pres">
      <dgm:prSet presAssocID="{55A44B90-3B94-4559-BE97-9AA4BB62E75B}" presName="node" presStyleLbl="node1" presStyleIdx="0" presStyleCnt="5" custScaleX="103586" custScaleY="107712">
        <dgm:presLayoutVars>
          <dgm:bulletEnabled val="1"/>
        </dgm:presLayoutVars>
      </dgm:prSet>
      <dgm:spPr>
        <a:prstGeom prst="roundRect">
          <a:avLst>
            <a:gd name="adj" fmla="val 10000"/>
          </a:avLst>
        </a:prstGeom>
      </dgm:spPr>
      <dgm:t>
        <a:bodyPr/>
        <a:lstStyle/>
        <a:p>
          <a:endParaRPr lang="en-US"/>
        </a:p>
      </dgm:t>
    </dgm:pt>
    <dgm:pt modelId="{664B9BDB-99BB-450A-8FED-A691CE8A537F}" type="pres">
      <dgm:prSet presAssocID="{F47DA388-8BB8-4636-97AE-162E79A14C2E}" presName="parTrans" presStyleLbl="bgSibTrans2D1" presStyleIdx="1" presStyleCnt="5"/>
      <dgm:spPr>
        <a:prstGeom prst="leftArrow">
          <a:avLst>
            <a:gd name="adj1" fmla="val 60000"/>
            <a:gd name="adj2" fmla="val 50000"/>
          </a:avLst>
        </a:prstGeom>
      </dgm:spPr>
      <dgm:t>
        <a:bodyPr/>
        <a:lstStyle/>
        <a:p>
          <a:endParaRPr lang="en-US"/>
        </a:p>
      </dgm:t>
    </dgm:pt>
    <dgm:pt modelId="{8E6FBD0E-3BA9-4488-AEE5-5E507973319E}" type="pres">
      <dgm:prSet presAssocID="{AEBDF1D3-CA99-4647-B314-7CD724C43C8F}" presName="node" presStyleLbl="node1" presStyleIdx="1" presStyleCnt="5" custScaleX="103586" custScaleY="107712" custRadScaleRad="110119" custRadScaleInc="-20891">
        <dgm:presLayoutVars>
          <dgm:bulletEnabled val="1"/>
        </dgm:presLayoutVars>
      </dgm:prSet>
      <dgm:spPr>
        <a:prstGeom prst="roundRect">
          <a:avLst>
            <a:gd name="adj" fmla="val 10000"/>
          </a:avLst>
        </a:prstGeom>
      </dgm:spPr>
      <dgm:t>
        <a:bodyPr/>
        <a:lstStyle/>
        <a:p>
          <a:endParaRPr lang="en-US"/>
        </a:p>
      </dgm:t>
    </dgm:pt>
    <dgm:pt modelId="{3FF3BB7F-9DEC-4E59-AA4D-11174C24BC8E}" type="pres">
      <dgm:prSet presAssocID="{17A64BFB-BCC6-437D-B89E-13456B09A0F8}" presName="parTrans" presStyleLbl="bgSibTrans2D1" presStyleIdx="2" presStyleCnt="5"/>
      <dgm:spPr>
        <a:prstGeom prst="leftArrow">
          <a:avLst>
            <a:gd name="adj1" fmla="val 60000"/>
            <a:gd name="adj2" fmla="val 50000"/>
          </a:avLst>
        </a:prstGeom>
      </dgm:spPr>
      <dgm:t>
        <a:bodyPr/>
        <a:lstStyle/>
        <a:p>
          <a:endParaRPr lang="en-US"/>
        </a:p>
      </dgm:t>
    </dgm:pt>
    <dgm:pt modelId="{9B72993F-0DBA-468C-A894-A852EBCCD1F9}" type="pres">
      <dgm:prSet presAssocID="{AC507560-45A8-4102-84C3-8B6AB9D232C4}" presName="node" presStyleLbl="node1" presStyleIdx="2" presStyleCnt="5" custScaleX="103586" custScaleY="107712" custRadScaleRad="99459" custRadScaleInc="-2966">
        <dgm:presLayoutVars>
          <dgm:bulletEnabled val="1"/>
        </dgm:presLayoutVars>
      </dgm:prSet>
      <dgm:spPr>
        <a:prstGeom prst="roundRect">
          <a:avLst>
            <a:gd name="adj" fmla="val 10000"/>
          </a:avLst>
        </a:prstGeom>
      </dgm:spPr>
      <dgm:t>
        <a:bodyPr/>
        <a:lstStyle/>
        <a:p>
          <a:endParaRPr lang="en-US"/>
        </a:p>
      </dgm:t>
    </dgm:pt>
    <dgm:pt modelId="{53430D49-F399-49DB-899A-576A97933B7F}" type="pres">
      <dgm:prSet presAssocID="{49740145-9B76-4A61-9B78-F8CD0356A35C}" presName="parTrans" presStyleLbl="bgSibTrans2D1" presStyleIdx="3" presStyleCnt="5"/>
      <dgm:spPr/>
      <dgm:t>
        <a:bodyPr/>
        <a:lstStyle/>
        <a:p>
          <a:endParaRPr lang="en-US"/>
        </a:p>
      </dgm:t>
    </dgm:pt>
    <dgm:pt modelId="{C412939A-1927-4304-B3E0-0A2B530008DF}" type="pres">
      <dgm:prSet presAssocID="{9CBB3CDD-176F-4B7B-9B4E-65420E2844C3}" presName="node" presStyleLbl="node1" presStyleIdx="3" presStyleCnt="5" custScaleX="103586" custScaleY="107712" custRadScaleRad="104629" custRadScaleInc="10180">
        <dgm:presLayoutVars>
          <dgm:bulletEnabled val="1"/>
        </dgm:presLayoutVars>
      </dgm:prSet>
      <dgm:spPr/>
      <dgm:t>
        <a:bodyPr/>
        <a:lstStyle/>
        <a:p>
          <a:endParaRPr lang="en-US"/>
        </a:p>
      </dgm:t>
    </dgm:pt>
    <dgm:pt modelId="{44817EB6-AF37-4B1D-9049-BAD2F540D93C}" type="pres">
      <dgm:prSet presAssocID="{82D9668F-2D5C-4465-9DB7-6F144F18A33E}" presName="parTrans" presStyleLbl="bgSibTrans2D1" presStyleIdx="4" presStyleCnt="5"/>
      <dgm:spPr/>
      <dgm:t>
        <a:bodyPr/>
        <a:lstStyle/>
        <a:p>
          <a:endParaRPr lang="en-US"/>
        </a:p>
      </dgm:t>
    </dgm:pt>
    <dgm:pt modelId="{46B83B37-0769-4CBB-BA16-1B1BEC775B8A}" type="pres">
      <dgm:prSet presAssocID="{240F21C3-C183-4C9C-8F87-E7BD33BA1EF2}" presName="node" presStyleLbl="node1" presStyleIdx="4" presStyleCnt="5" custScaleX="103586" custScaleY="107712" custRadScaleRad="98157" custRadScaleInc="-2308">
        <dgm:presLayoutVars>
          <dgm:bulletEnabled val="1"/>
        </dgm:presLayoutVars>
      </dgm:prSet>
      <dgm:spPr/>
      <dgm:t>
        <a:bodyPr/>
        <a:lstStyle/>
        <a:p>
          <a:endParaRPr lang="en-US"/>
        </a:p>
      </dgm:t>
    </dgm:pt>
  </dgm:ptLst>
  <dgm:cxnLst>
    <dgm:cxn modelId="{F3792D2D-789D-4FCE-B325-1CF7B8EFA0FE}" type="presOf" srcId="{55A44B90-3B94-4559-BE97-9AA4BB62E75B}" destId="{FCC81915-E8B3-4711-A953-2D236B0EB19D}" srcOrd="0" destOrd="0" presId="urn:microsoft.com/office/officeart/2005/8/layout/radial4"/>
    <dgm:cxn modelId="{540A6B74-8003-494B-B2C5-43EBF1FEFFBE}" srcId="{318B5267-4AB7-4C58-B420-36EBD49218DA}" destId="{AC507560-45A8-4102-84C3-8B6AB9D232C4}" srcOrd="2" destOrd="0" parTransId="{17A64BFB-BCC6-437D-B89E-13456B09A0F8}" sibTransId="{B46B2F1E-F13A-4454-BA95-D2C33EDBEFF8}"/>
    <dgm:cxn modelId="{B2B36BEC-2A64-4FBA-9B6E-8E78551740C9}" type="presOf" srcId="{AC507560-45A8-4102-84C3-8B6AB9D232C4}" destId="{9B72993F-0DBA-468C-A894-A852EBCCD1F9}" srcOrd="0" destOrd="0" presId="urn:microsoft.com/office/officeart/2005/8/layout/radial4"/>
    <dgm:cxn modelId="{340ABAC0-B7DA-48AB-B695-9C0E5B8ADA7F}" type="presOf" srcId="{240F21C3-C183-4C9C-8F87-E7BD33BA1EF2}" destId="{46B83B37-0769-4CBB-BA16-1B1BEC775B8A}" srcOrd="0" destOrd="0" presId="urn:microsoft.com/office/officeart/2005/8/layout/radial4"/>
    <dgm:cxn modelId="{E93AD076-4CA2-4F62-8944-8520C861BDD3}" type="presOf" srcId="{AEBDF1D3-CA99-4647-B314-7CD724C43C8F}" destId="{8E6FBD0E-3BA9-4488-AEE5-5E507973319E}" srcOrd="0" destOrd="0" presId="urn:microsoft.com/office/officeart/2005/8/layout/radial4"/>
    <dgm:cxn modelId="{3D0FC184-4D47-4E88-8D3C-ECD5237BF1A5}" type="presOf" srcId="{82D9668F-2D5C-4465-9DB7-6F144F18A33E}" destId="{44817EB6-AF37-4B1D-9049-BAD2F540D93C}" srcOrd="0" destOrd="0" presId="urn:microsoft.com/office/officeart/2005/8/layout/radial4"/>
    <dgm:cxn modelId="{174036AD-9F0B-4D57-8CB6-B6124F8B6DE5}" srcId="{318B5267-4AB7-4C58-B420-36EBD49218DA}" destId="{55A44B90-3B94-4559-BE97-9AA4BB62E75B}" srcOrd="0" destOrd="0" parTransId="{34046348-3D07-4502-9BC1-88CFCA06E329}" sibTransId="{ED42F108-174B-44D3-B7E1-0B9372E9F14B}"/>
    <dgm:cxn modelId="{00DBD6CD-12D8-4AD8-8F65-12D430CECE47}" type="presOf" srcId="{318B5267-4AB7-4C58-B420-36EBD49218DA}" destId="{9FA18407-F696-4253-94C7-144D9DB23239}" srcOrd="0" destOrd="0" presId="urn:microsoft.com/office/officeart/2005/8/layout/radial4"/>
    <dgm:cxn modelId="{B10CF3BA-2E1D-412F-87C3-89EF45A60598}" type="presOf" srcId="{9CBB3CDD-176F-4B7B-9B4E-65420E2844C3}" destId="{C412939A-1927-4304-B3E0-0A2B530008DF}" srcOrd="0" destOrd="0" presId="urn:microsoft.com/office/officeart/2005/8/layout/radial4"/>
    <dgm:cxn modelId="{E9434CFF-32BA-40A3-B98B-1F13F8740F0C}" type="presOf" srcId="{1B0BA62B-D330-4F14-829A-59D63DEE46BB}" destId="{D2C3E5EA-EBDE-4671-9304-DC95372DBE08}" srcOrd="0" destOrd="0" presId="urn:microsoft.com/office/officeart/2005/8/layout/radial4"/>
    <dgm:cxn modelId="{938701B2-850B-4439-8907-458947DBB0E2}" type="presOf" srcId="{34046348-3D07-4502-9BC1-88CFCA06E329}" destId="{4F6D7D48-91FB-4060-BFE9-A4A3220B65C9}" srcOrd="0" destOrd="0" presId="urn:microsoft.com/office/officeart/2005/8/layout/radial4"/>
    <dgm:cxn modelId="{B9D2C7EF-0C14-402F-B6C5-15AFE877F0BE}" srcId="{318B5267-4AB7-4C58-B420-36EBD49218DA}" destId="{9CBB3CDD-176F-4B7B-9B4E-65420E2844C3}" srcOrd="3" destOrd="0" parTransId="{49740145-9B76-4A61-9B78-F8CD0356A35C}" sibTransId="{E7FE3134-A334-4E60-8931-D4B7E67816A5}"/>
    <dgm:cxn modelId="{F23C269D-B4C1-452B-B579-435962C314C0}" srcId="{1B0BA62B-D330-4F14-829A-59D63DEE46BB}" destId="{633BBEF0-8BE5-427D-98F1-95B8195F268A}" srcOrd="3" destOrd="0" parTransId="{541D12AA-69AC-4FC1-9C12-52B175F42E6E}" sibTransId="{A3220205-C092-47A3-A625-1BC5056185D6}"/>
    <dgm:cxn modelId="{BB58E4CB-9CA6-41CB-AA1B-3DDE793B04E3}" type="presOf" srcId="{49740145-9B76-4A61-9B78-F8CD0356A35C}" destId="{53430D49-F399-49DB-899A-576A97933B7F}" srcOrd="0" destOrd="0" presId="urn:microsoft.com/office/officeart/2005/8/layout/radial4"/>
    <dgm:cxn modelId="{5C624E34-2197-4EA0-BEF7-EFF249CE8D4A}" srcId="{318B5267-4AB7-4C58-B420-36EBD49218DA}" destId="{240F21C3-C183-4C9C-8F87-E7BD33BA1EF2}" srcOrd="4" destOrd="0" parTransId="{82D9668F-2D5C-4465-9DB7-6F144F18A33E}" sibTransId="{2BB2BE5E-5025-41DE-B16A-72B0A977778E}"/>
    <dgm:cxn modelId="{06B800F2-8E35-4AFF-9A03-4F826492DCCC}" srcId="{318B5267-4AB7-4C58-B420-36EBD49218DA}" destId="{AEBDF1D3-CA99-4647-B314-7CD724C43C8F}" srcOrd="1" destOrd="0" parTransId="{F47DA388-8BB8-4636-97AE-162E79A14C2E}" sibTransId="{04B57211-BF9E-4DF5-8DE4-AF88AA7BAB3A}"/>
    <dgm:cxn modelId="{A13BFE80-D8C1-4F13-A6DD-6980BEAE7C3A}" type="presOf" srcId="{F47DA388-8BB8-4636-97AE-162E79A14C2E}" destId="{664B9BDB-99BB-450A-8FED-A691CE8A537F}" srcOrd="0" destOrd="0" presId="urn:microsoft.com/office/officeart/2005/8/layout/radial4"/>
    <dgm:cxn modelId="{8F33C724-E3BA-4F70-9734-55F71A97D546}" type="presOf" srcId="{17A64BFB-BCC6-437D-B89E-13456B09A0F8}" destId="{3FF3BB7F-9DEC-4E59-AA4D-11174C24BC8E}" srcOrd="0" destOrd="0" presId="urn:microsoft.com/office/officeart/2005/8/layout/radial4"/>
    <dgm:cxn modelId="{6EBC6C51-C9D4-4EE9-BEE9-E4D72060CB91}" srcId="{1B0BA62B-D330-4F14-829A-59D63DEE46BB}" destId="{41B21726-263E-4190-BC03-B35B331BBFC4}" srcOrd="2" destOrd="0" parTransId="{C31406F0-D058-4DC9-8A28-DA7EFFB4FD95}" sibTransId="{76BC68E7-3168-4205-9A9F-2D11F6A408EC}"/>
    <dgm:cxn modelId="{25AE4C88-721D-4299-93FF-7B77E91C53F8}" srcId="{1B0BA62B-D330-4F14-829A-59D63DEE46BB}" destId="{318B5267-4AB7-4C58-B420-36EBD49218DA}" srcOrd="0" destOrd="0" parTransId="{D2CBAA0A-0A47-4D28-8E9D-B5D44E50A9D7}" sibTransId="{85717AB8-8151-4BA7-91B3-FDA7EC59DF17}"/>
    <dgm:cxn modelId="{8D26332C-73DC-45E2-8B37-46E975CCE2EA}" srcId="{1B0BA62B-D330-4F14-829A-59D63DEE46BB}" destId="{37F93EE4-A052-401E-9D67-165B4134AE8B}" srcOrd="1" destOrd="0" parTransId="{CBB5DEBA-C6BF-4917-8B98-9C376C670763}" sibTransId="{1B5DE6CD-482F-4092-BEC7-4E55432FC4F5}"/>
    <dgm:cxn modelId="{C3F9811D-77F1-4C4E-8935-340C1C68E19F}" type="presParOf" srcId="{D2C3E5EA-EBDE-4671-9304-DC95372DBE08}" destId="{9FA18407-F696-4253-94C7-144D9DB23239}" srcOrd="0" destOrd="0" presId="urn:microsoft.com/office/officeart/2005/8/layout/radial4"/>
    <dgm:cxn modelId="{4A5F5D6A-4549-4149-B2AC-F6EB0C966180}" type="presParOf" srcId="{D2C3E5EA-EBDE-4671-9304-DC95372DBE08}" destId="{4F6D7D48-91FB-4060-BFE9-A4A3220B65C9}" srcOrd="1" destOrd="0" presId="urn:microsoft.com/office/officeart/2005/8/layout/radial4"/>
    <dgm:cxn modelId="{D86D6942-112F-48D8-A2CA-B26DB2B2B8B9}" type="presParOf" srcId="{D2C3E5EA-EBDE-4671-9304-DC95372DBE08}" destId="{FCC81915-E8B3-4711-A953-2D236B0EB19D}" srcOrd="2" destOrd="0" presId="urn:microsoft.com/office/officeart/2005/8/layout/radial4"/>
    <dgm:cxn modelId="{3A86BA34-17C7-4F0A-AB34-6C78C70A2E4E}" type="presParOf" srcId="{D2C3E5EA-EBDE-4671-9304-DC95372DBE08}" destId="{664B9BDB-99BB-450A-8FED-A691CE8A537F}" srcOrd="3" destOrd="0" presId="urn:microsoft.com/office/officeart/2005/8/layout/radial4"/>
    <dgm:cxn modelId="{404F8F3A-E239-4319-ADF9-48F2C2A66831}" type="presParOf" srcId="{D2C3E5EA-EBDE-4671-9304-DC95372DBE08}" destId="{8E6FBD0E-3BA9-4488-AEE5-5E507973319E}" srcOrd="4" destOrd="0" presId="urn:microsoft.com/office/officeart/2005/8/layout/radial4"/>
    <dgm:cxn modelId="{43B1DE4F-D5D3-42DC-9018-DCA61C11695E}" type="presParOf" srcId="{D2C3E5EA-EBDE-4671-9304-DC95372DBE08}" destId="{3FF3BB7F-9DEC-4E59-AA4D-11174C24BC8E}" srcOrd="5" destOrd="0" presId="urn:microsoft.com/office/officeart/2005/8/layout/radial4"/>
    <dgm:cxn modelId="{51EDADD3-F71A-4B06-A6B1-C9359B1D746E}" type="presParOf" srcId="{D2C3E5EA-EBDE-4671-9304-DC95372DBE08}" destId="{9B72993F-0DBA-468C-A894-A852EBCCD1F9}" srcOrd="6" destOrd="0" presId="urn:microsoft.com/office/officeart/2005/8/layout/radial4"/>
    <dgm:cxn modelId="{611DE0F0-D3BB-431C-9300-E3E0578734CF}" type="presParOf" srcId="{D2C3E5EA-EBDE-4671-9304-DC95372DBE08}" destId="{53430D49-F399-49DB-899A-576A97933B7F}" srcOrd="7" destOrd="0" presId="urn:microsoft.com/office/officeart/2005/8/layout/radial4"/>
    <dgm:cxn modelId="{9E55EBAF-F5FF-4D28-8103-1B6F202A2652}" type="presParOf" srcId="{D2C3E5EA-EBDE-4671-9304-DC95372DBE08}" destId="{C412939A-1927-4304-B3E0-0A2B530008DF}" srcOrd="8" destOrd="0" presId="urn:microsoft.com/office/officeart/2005/8/layout/radial4"/>
    <dgm:cxn modelId="{793E6EBF-82DC-4660-AC9C-F9F2AA3DACDF}" type="presParOf" srcId="{D2C3E5EA-EBDE-4671-9304-DC95372DBE08}" destId="{44817EB6-AF37-4B1D-9049-BAD2F540D93C}" srcOrd="9" destOrd="0" presId="urn:microsoft.com/office/officeart/2005/8/layout/radial4"/>
    <dgm:cxn modelId="{B27C99AC-5299-4A3B-A4E3-93256E857D95}" type="presParOf" srcId="{D2C3E5EA-EBDE-4671-9304-DC95372DBE08}" destId="{46B83B37-0769-4CBB-BA16-1B1BEC775B8A}" srcOrd="10" destOrd="0" presId="urn:microsoft.com/office/officeart/2005/8/layout/radial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534B4D8-2116-4048-BBD3-D90D4F55AF19}" type="doc">
      <dgm:prSet loTypeId="urn:microsoft.com/office/officeart/2005/8/layout/bList2" loCatId="list" qsTypeId="urn:microsoft.com/office/officeart/2005/8/quickstyle/simple5" qsCatId="simple" csTypeId="urn:microsoft.com/office/officeart/2005/8/colors/colorful5" csCatId="colorful" phldr="1"/>
      <dgm:spPr/>
      <dgm:t>
        <a:bodyPr/>
        <a:lstStyle/>
        <a:p>
          <a:endParaRPr lang="en-US"/>
        </a:p>
      </dgm:t>
    </dgm:pt>
    <dgm:pt modelId="{7A19E5A8-FDC7-4B95-A448-E7AD2028781C}">
      <dgm:prSet phldrT="[Text]" custT="1"/>
      <dgm:spPr>
        <a:xfrm>
          <a:off x="529974" y="1324313"/>
          <a:ext cx="2351243" cy="754716"/>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outerShdw blurRad="57150" dist="19050" dir="5400000" algn="ctr" rotWithShape="0">
            <a:srgbClr val="000000">
              <a:alpha val="63000"/>
            </a:srgbClr>
          </a:outerShdw>
        </a:effectLst>
      </dgm:spPr>
      <dgm:t>
        <a:bodyPr/>
        <a:lstStyle/>
        <a:p>
          <a:r>
            <a:rPr lang="en-US" sz="1100" b="0">
              <a:solidFill>
                <a:sysClr val="window" lastClr="FFFFFF"/>
              </a:solidFill>
              <a:latin typeface="Franklin Gothic Medium" panose="020B0603020102020204" pitchFamily="34" charset="0"/>
              <a:ea typeface="+mn-ea"/>
              <a:cs typeface="+mn-cs"/>
            </a:rPr>
            <a:t>My Life Interview</a:t>
          </a:r>
        </a:p>
      </dgm:t>
    </dgm:pt>
    <dgm:pt modelId="{3A482002-A004-4AF7-9720-EBAFD77B738D}" type="parTrans" cxnId="{E09F511E-13B2-4268-A6B1-44E89C2E344C}">
      <dgm:prSet/>
      <dgm:spPr/>
      <dgm:t>
        <a:bodyPr/>
        <a:lstStyle/>
        <a:p>
          <a:endParaRPr lang="en-US"/>
        </a:p>
      </dgm:t>
    </dgm:pt>
    <dgm:pt modelId="{267C9895-F90B-4D47-A00A-85A9956A613B}" type="sibTrans" cxnId="{E09F511E-13B2-4268-A6B1-44E89C2E344C}">
      <dgm:prSet/>
      <dgm:spPr/>
      <dgm:t>
        <a:bodyPr/>
        <a:lstStyle/>
        <a:p>
          <a:endParaRPr lang="en-US"/>
        </a:p>
      </dgm:t>
    </dgm:pt>
    <dgm:pt modelId="{8405A26D-1EED-4235-B383-166687B437BD}">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b="1">
              <a:solidFill>
                <a:sysClr val="windowText" lastClr="000000">
                  <a:hueOff val="0"/>
                  <a:satOff val="0"/>
                  <a:lumOff val="0"/>
                  <a:alphaOff val="0"/>
                </a:sysClr>
              </a:solidFill>
              <a:latin typeface="Calibri" panose="020F0502020204030204"/>
              <a:ea typeface="+mn-ea"/>
              <a:cs typeface="+mn-cs"/>
            </a:rPr>
            <a:t>Waiver:</a:t>
          </a:r>
        </a:p>
      </dgm:t>
    </dgm:pt>
    <dgm:pt modelId="{7366D6D0-9465-4496-A6E5-61D04D34E83B}" type="parTrans" cxnId="{48949763-0AAA-478A-9FE1-0A0B3F923FEF}">
      <dgm:prSet/>
      <dgm:spPr/>
      <dgm:t>
        <a:bodyPr/>
        <a:lstStyle/>
        <a:p>
          <a:endParaRPr lang="en-US"/>
        </a:p>
      </dgm:t>
    </dgm:pt>
    <dgm:pt modelId="{7DCDFB2C-C3B0-4D61-AEA1-498821FBBBE4}" type="sibTrans" cxnId="{48949763-0AAA-478A-9FE1-0A0B3F923FEF}">
      <dgm:prSet/>
      <dgm:spPr/>
      <dgm:t>
        <a:bodyPr/>
        <a:lstStyle/>
        <a:p>
          <a:endParaRPr lang="en-US"/>
        </a:p>
      </dgm:t>
    </dgm:pt>
    <dgm:pt modelId="{84894431-C194-486C-9057-A1C68CE1C91D}">
      <dgm:prSet phldrT="[Text]" custT="1"/>
      <dgm:spPr>
        <a:xfrm>
          <a:off x="3310480" y="1399556"/>
          <a:ext cx="2351243" cy="754716"/>
        </a:xfrm>
        <a:prstGeom prst="rec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w="6350" cap="flat" cmpd="sng" algn="ctr">
          <a:solidFill>
            <a:srgbClr val="4472C4">
              <a:hueOff val="-7353344"/>
              <a:satOff val="-10228"/>
              <a:lumOff val="-3922"/>
              <a:alphaOff val="0"/>
            </a:srgbClr>
          </a:solidFill>
          <a:prstDash val="solid"/>
          <a:miter lim="800000"/>
        </a:ln>
        <a:effectLst>
          <a:outerShdw blurRad="57150" dist="19050" dir="5400000" algn="ctr" rotWithShape="0">
            <a:srgbClr val="000000">
              <a:alpha val="63000"/>
            </a:srgbClr>
          </a:outerShdw>
        </a:effectLst>
      </dgm:spPr>
      <dgm:t>
        <a:bodyPr/>
        <a:lstStyle/>
        <a:p>
          <a:r>
            <a:rPr lang="en-US" sz="1100" b="0">
              <a:solidFill>
                <a:sysClr val="window" lastClr="FFFFFF"/>
              </a:solidFill>
              <a:latin typeface="Franklin Gothic Medium" panose="020B0603020102020204" pitchFamily="34" charset="0"/>
              <a:ea typeface="+mn-ea"/>
              <a:cs typeface="+mn-cs"/>
            </a:rPr>
            <a:t>Record Review</a:t>
          </a:r>
        </a:p>
      </dgm:t>
    </dgm:pt>
    <dgm:pt modelId="{39BFBD02-7B37-4023-B059-A92313208364}" type="parTrans" cxnId="{3FDE3DF0-B615-4246-B957-D3A06C59CE2E}">
      <dgm:prSet/>
      <dgm:spPr/>
      <dgm:t>
        <a:bodyPr/>
        <a:lstStyle/>
        <a:p>
          <a:endParaRPr lang="en-US"/>
        </a:p>
      </dgm:t>
    </dgm:pt>
    <dgm:pt modelId="{BF88A9AA-9EA9-4845-A254-728C34AEC12C}" type="sibTrans" cxnId="{3FDE3DF0-B615-4246-B957-D3A06C59CE2E}">
      <dgm:prSet/>
      <dgm:spPr/>
      <dgm:t>
        <a:bodyPr/>
        <a:lstStyle/>
        <a:p>
          <a:endParaRPr lang="en-US"/>
        </a:p>
      </dgm:t>
    </dgm:pt>
    <dgm:pt modelId="{26666B36-7CB1-4578-A02E-D5455B158642}">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WSC:</a:t>
          </a:r>
          <a:r>
            <a:rPr lang="en-US" sz="1200">
              <a:solidFill>
                <a:sysClr val="windowText" lastClr="000000">
                  <a:hueOff val="0"/>
                  <a:satOff val="0"/>
                  <a:lumOff val="0"/>
                  <a:alphaOff val="0"/>
                </a:sysClr>
              </a:solidFill>
              <a:latin typeface="Calibri" panose="020F0502020204030204"/>
              <a:ea typeface="+mn-ea"/>
              <a:cs typeface="+mn-cs"/>
            </a:rPr>
            <a:t> 95.3%</a:t>
          </a:r>
        </a:p>
      </dgm:t>
    </dgm:pt>
    <dgm:pt modelId="{1EF32B81-03A1-4DE1-92E4-8C73273F2FE4}" type="parTrans" cxnId="{C424A053-3338-4645-9426-049657C59F3D}">
      <dgm:prSet/>
      <dgm:spPr/>
      <dgm:t>
        <a:bodyPr/>
        <a:lstStyle/>
        <a:p>
          <a:endParaRPr lang="en-US"/>
        </a:p>
      </dgm:t>
    </dgm:pt>
    <dgm:pt modelId="{FEF6AC73-980B-46AE-86ED-2FF8217D0BC9}" type="sibTrans" cxnId="{C424A053-3338-4645-9426-049657C59F3D}">
      <dgm:prSet/>
      <dgm:spPr/>
      <dgm:t>
        <a:bodyPr/>
        <a:lstStyle/>
        <a:p>
          <a:endParaRPr lang="en-US"/>
        </a:p>
      </dgm:t>
    </dgm:pt>
    <dgm:pt modelId="{327CD261-DB03-4A85-9D56-6334BC2CF6FD}">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CDC+ C: </a:t>
          </a:r>
          <a:r>
            <a:rPr lang="en-US" sz="1200">
              <a:solidFill>
                <a:sysClr val="windowText" lastClr="000000">
                  <a:hueOff val="0"/>
                  <a:satOff val="0"/>
                  <a:lumOff val="0"/>
                  <a:alphaOff val="0"/>
                </a:sysClr>
              </a:solidFill>
              <a:latin typeface="Calibri" panose="020F0502020204030204"/>
              <a:ea typeface="+mn-ea"/>
              <a:cs typeface="+mn-cs"/>
            </a:rPr>
            <a:t>97.9%</a:t>
          </a:r>
        </a:p>
      </dgm:t>
    </dgm:pt>
    <dgm:pt modelId="{2154FE24-2D6D-4C30-BB93-AC4C36DB5B83}" type="parTrans" cxnId="{89B6F245-5A8B-489B-BC52-D50B17B2B879}">
      <dgm:prSet/>
      <dgm:spPr/>
      <dgm:t>
        <a:bodyPr/>
        <a:lstStyle/>
        <a:p>
          <a:endParaRPr lang="en-US"/>
        </a:p>
      </dgm:t>
    </dgm:pt>
    <dgm:pt modelId="{DE1733BF-1CC6-485B-A7BA-E685BF977270}" type="sibTrans" cxnId="{89B6F245-5A8B-489B-BC52-D50B17B2B879}">
      <dgm:prSet/>
      <dgm:spPr/>
      <dgm:t>
        <a:bodyPr/>
        <a:lstStyle/>
        <a:p>
          <a:endParaRPr lang="en-US"/>
        </a:p>
      </dgm:t>
    </dgm:pt>
    <dgm:pt modelId="{5184E9BD-05DC-4C5A-B82E-587E3B452303}">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b="1">
              <a:solidFill>
                <a:sysClr val="windowText" lastClr="000000">
                  <a:hueOff val="0"/>
                  <a:satOff val="0"/>
                  <a:lumOff val="0"/>
                  <a:alphaOff val="0"/>
                </a:sysClr>
              </a:solidFill>
              <a:latin typeface="Calibri" panose="020F0502020204030204"/>
              <a:ea typeface="+mn-ea"/>
              <a:cs typeface="+mn-cs"/>
            </a:rPr>
            <a:t>CDC+:</a:t>
          </a:r>
        </a:p>
      </dgm:t>
    </dgm:pt>
    <dgm:pt modelId="{167DD839-F333-4DFC-805B-A49382EF719F}" type="parTrans" cxnId="{AB99A52C-B9C8-4CBA-997C-AB7A99290866}">
      <dgm:prSet/>
      <dgm:spPr/>
      <dgm:t>
        <a:bodyPr/>
        <a:lstStyle/>
        <a:p>
          <a:endParaRPr lang="en-US"/>
        </a:p>
      </dgm:t>
    </dgm:pt>
    <dgm:pt modelId="{6955F1A0-D8AC-4D21-84C6-2934F14285BE}" type="sibTrans" cxnId="{AB99A52C-B9C8-4CBA-997C-AB7A99290866}">
      <dgm:prSet/>
      <dgm:spPr/>
      <dgm:t>
        <a:bodyPr/>
        <a:lstStyle/>
        <a:p>
          <a:endParaRPr lang="en-US"/>
        </a:p>
      </dgm:t>
    </dgm:pt>
    <dgm:pt modelId="{A27275AD-6ADD-44F6-ABB6-646D9B129777}">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CDC+ R: </a:t>
          </a:r>
          <a:r>
            <a:rPr lang="en-US" sz="1200">
              <a:solidFill>
                <a:sysClr val="windowText" lastClr="000000">
                  <a:hueOff val="0"/>
                  <a:satOff val="0"/>
                  <a:lumOff val="0"/>
                  <a:alphaOff val="0"/>
                </a:sysClr>
              </a:solidFill>
              <a:latin typeface="Calibri" panose="020F0502020204030204"/>
              <a:ea typeface="+mn-ea"/>
              <a:cs typeface="+mn-cs"/>
            </a:rPr>
            <a:t>92.9%</a:t>
          </a:r>
        </a:p>
      </dgm:t>
    </dgm:pt>
    <dgm:pt modelId="{A1A196F5-3384-4169-A58A-26273584A93B}" type="parTrans" cxnId="{E3008650-38B9-4971-8D1E-124567373036}">
      <dgm:prSet/>
      <dgm:spPr/>
      <dgm:t>
        <a:bodyPr/>
        <a:lstStyle/>
        <a:p>
          <a:endParaRPr lang="en-US"/>
        </a:p>
      </dgm:t>
    </dgm:pt>
    <dgm:pt modelId="{CEA3336B-0251-4BDB-8AD1-26194EAECBBE}" type="sibTrans" cxnId="{E3008650-38B9-4971-8D1E-124567373036}">
      <dgm:prSet/>
      <dgm:spPr/>
      <dgm:t>
        <a:bodyPr/>
        <a:lstStyle/>
        <a:p>
          <a:endParaRPr lang="en-US"/>
        </a:p>
      </dgm:t>
    </dgm:pt>
    <dgm:pt modelId="{911D3E11-5814-474D-86D7-DA02CDF2A8CB}">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Outcome = 89.3%</a:t>
          </a:r>
        </a:p>
      </dgm:t>
    </dgm:pt>
    <dgm:pt modelId="{5C6B39AE-07D0-4C8B-9312-2FF6FFEDC6B1}" type="parTrans" cxnId="{67C603F7-9F1D-4C15-AB70-0DA9E5862910}">
      <dgm:prSet/>
      <dgm:spPr/>
      <dgm:t>
        <a:bodyPr/>
        <a:lstStyle/>
        <a:p>
          <a:endParaRPr lang="en-US"/>
        </a:p>
      </dgm:t>
    </dgm:pt>
    <dgm:pt modelId="{E73BFC38-7B98-4391-9CC6-9CBA5AE5E5B9}" type="sibTrans" cxnId="{67C603F7-9F1D-4C15-AB70-0DA9E5862910}">
      <dgm:prSet/>
      <dgm:spPr/>
      <dgm:t>
        <a:bodyPr/>
        <a:lstStyle/>
        <a:p>
          <a:endParaRPr lang="en-US"/>
        </a:p>
      </dgm:t>
    </dgm:pt>
    <dgm:pt modelId="{268B8E52-CE52-4CA8-93EC-04A2EFAD964A}">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Outcome = 91.9%</a:t>
          </a:r>
        </a:p>
      </dgm:t>
    </dgm:pt>
    <dgm:pt modelId="{361944BC-0801-4662-9050-1461F3A86B20}" type="parTrans" cxnId="{FDD0E189-19CA-41F1-9C49-8BA7496A64A8}">
      <dgm:prSet/>
      <dgm:spPr/>
      <dgm:t>
        <a:bodyPr/>
        <a:lstStyle/>
        <a:p>
          <a:endParaRPr lang="en-US"/>
        </a:p>
      </dgm:t>
    </dgm:pt>
    <dgm:pt modelId="{51034D76-6A3F-4B38-A1FA-376560570E84}" type="sibTrans" cxnId="{FDD0E189-19CA-41F1-9C49-8BA7496A64A8}">
      <dgm:prSet/>
      <dgm:spPr/>
      <dgm:t>
        <a:bodyPr/>
        <a:lstStyle/>
        <a:p>
          <a:endParaRPr lang="en-US"/>
        </a:p>
      </dgm:t>
    </dgm:pt>
    <dgm:pt modelId="{7D144EB6-6088-4C4D-9D24-81F1BA08078F}">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Support = 97.9%</a:t>
          </a:r>
        </a:p>
      </dgm:t>
    </dgm:pt>
    <dgm:pt modelId="{1423C96D-73AA-4A50-8C39-05C6E130F590}" type="parTrans" cxnId="{A028A19A-4154-40E0-B28C-22987E361A75}">
      <dgm:prSet/>
      <dgm:spPr/>
      <dgm:t>
        <a:bodyPr/>
        <a:lstStyle/>
        <a:p>
          <a:endParaRPr lang="en-US"/>
        </a:p>
      </dgm:t>
    </dgm:pt>
    <dgm:pt modelId="{EAD3936F-339F-4B75-AAF0-3A43157F5903}" type="sibTrans" cxnId="{A028A19A-4154-40E0-B28C-22987E361A75}">
      <dgm:prSet/>
      <dgm:spPr/>
      <dgm:t>
        <a:bodyPr/>
        <a:lstStyle/>
        <a:p>
          <a:endParaRPr lang="en-US"/>
        </a:p>
      </dgm:t>
    </dgm:pt>
    <dgm:pt modelId="{E10284A9-65AE-4512-B179-2C4E95CF679C}">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Support =  99.3%</a:t>
          </a:r>
        </a:p>
      </dgm:t>
    </dgm:pt>
    <dgm:pt modelId="{62BEFF55-5E19-4ACD-A71F-54C141179DAF}" type="parTrans" cxnId="{246BC241-96B8-4587-BC99-374D8AC433F1}">
      <dgm:prSet/>
      <dgm:spPr/>
      <dgm:t>
        <a:bodyPr/>
        <a:lstStyle/>
        <a:p>
          <a:endParaRPr lang="en-US"/>
        </a:p>
      </dgm:t>
    </dgm:pt>
    <dgm:pt modelId="{24DFEAE5-B5B3-409F-A692-71C7AF5AB12C}" type="sibTrans" cxnId="{246BC241-96B8-4587-BC99-374D8AC433F1}">
      <dgm:prSet/>
      <dgm:spPr/>
      <dgm:t>
        <a:bodyPr/>
        <a:lstStyle/>
        <a:p>
          <a:endParaRPr lang="en-US"/>
        </a:p>
      </dgm:t>
    </dgm:pt>
    <dgm:pt modelId="{026ED2D7-30D0-4889-9863-1D3E03093C60}" type="pres">
      <dgm:prSet presAssocID="{0534B4D8-2116-4048-BBD3-D90D4F55AF19}" presName="diagram" presStyleCnt="0">
        <dgm:presLayoutVars>
          <dgm:dir/>
          <dgm:animLvl val="lvl"/>
          <dgm:resizeHandles val="exact"/>
        </dgm:presLayoutVars>
      </dgm:prSet>
      <dgm:spPr/>
      <dgm:t>
        <a:bodyPr/>
        <a:lstStyle/>
        <a:p>
          <a:endParaRPr lang="en-US"/>
        </a:p>
      </dgm:t>
    </dgm:pt>
    <dgm:pt modelId="{6D738EBC-5AAD-4B30-82D1-8603FFB4DBF6}" type="pres">
      <dgm:prSet presAssocID="{7A19E5A8-FDC7-4B95-A448-E7AD2028781C}" presName="compNode" presStyleCnt="0"/>
      <dgm:spPr/>
      <dgm:t>
        <a:bodyPr/>
        <a:lstStyle/>
        <a:p>
          <a:endParaRPr lang="en-US"/>
        </a:p>
      </dgm:t>
    </dgm:pt>
    <dgm:pt modelId="{E17A9698-5FB5-4F9E-916B-8714C0CF8616}" type="pres">
      <dgm:prSet presAssocID="{7A19E5A8-FDC7-4B95-A448-E7AD2028781C}" presName="childRect" presStyleLbl="bgAcc1" presStyleIdx="0" presStyleCnt="2" custLinFactNeighborX="-290" custLinFactNeighborY="-25425">
        <dgm:presLayoutVars>
          <dgm:bulletEnabled val="1"/>
        </dgm:presLayoutVars>
      </dgm:prSet>
      <dgm:spPr>
        <a:prstGeom prst="round2SameRect">
          <a:avLst>
            <a:gd name="adj1" fmla="val 8000"/>
            <a:gd name="adj2" fmla="val 0"/>
          </a:avLst>
        </a:prstGeom>
      </dgm:spPr>
      <dgm:t>
        <a:bodyPr/>
        <a:lstStyle/>
        <a:p>
          <a:endParaRPr lang="en-US"/>
        </a:p>
      </dgm:t>
    </dgm:pt>
    <dgm:pt modelId="{A786167B-6412-41F5-92CB-61222C7CFDEC}" type="pres">
      <dgm:prSet presAssocID="{7A19E5A8-FDC7-4B95-A448-E7AD2028781C}" presName="parentText" presStyleLbl="node1" presStyleIdx="0" presStyleCnt="0">
        <dgm:presLayoutVars>
          <dgm:chMax val="0"/>
          <dgm:bulletEnabled val="1"/>
        </dgm:presLayoutVars>
      </dgm:prSet>
      <dgm:spPr/>
      <dgm:t>
        <a:bodyPr/>
        <a:lstStyle/>
        <a:p>
          <a:endParaRPr lang="en-US"/>
        </a:p>
      </dgm:t>
    </dgm:pt>
    <dgm:pt modelId="{2DA39965-4628-476B-B14D-6FAC89FAFA2E}" type="pres">
      <dgm:prSet presAssocID="{7A19E5A8-FDC7-4B95-A448-E7AD2028781C}" presName="parentRect" presStyleLbl="alignNode1" presStyleIdx="0" presStyleCnt="2" custLinFactNeighborX="-290" custLinFactNeighborY="-57650"/>
      <dgm:spPr/>
      <dgm:t>
        <a:bodyPr/>
        <a:lstStyle/>
        <a:p>
          <a:endParaRPr lang="en-US"/>
        </a:p>
      </dgm:t>
    </dgm:pt>
    <dgm:pt modelId="{A767E46D-A9A2-49CB-87EE-2EB00AA81E8E}" type="pres">
      <dgm:prSet presAssocID="{7A19E5A8-FDC7-4B95-A448-E7AD2028781C}" presName="adorn" presStyleLbl="fgAccFollowNode1" presStyleIdx="0" presStyleCnt="2" custScaleX="111391" custScaleY="110703" custLinFactNeighborX="8373" custLinFactNeighborY="-33892"/>
      <dgm:spPr>
        <a:xfrm>
          <a:off x="2281145" y="1556338"/>
          <a:ext cx="916675" cy="911013"/>
        </a:xfrm>
        <a:prstGeom prst="ellipse">
          <a:avLst/>
        </a:prstGeom>
        <a:blipFill>
          <a:blip xmlns:r="http://schemas.openxmlformats.org/officeDocument/2006/relationships" r:embed="rId1">
            <a:duotone>
              <a:srgbClr val="4472C4">
                <a:shade val="45000"/>
                <a:satMod val="135000"/>
              </a:srgbClr>
              <a:prstClr val="white"/>
            </a:duotone>
            <a:extLst>
              <a:ext uri="{28A0092B-C50C-407E-A947-70E740481C1C}">
                <a14:useLocalDpi xmlns:a14="http://schemas.microsoft.com/office/drawing/2010/main" val="0"/>
              </a:ext>
            </a:extLst>
          </a:blip>
          <a:srcRect/>
          <a:stretch>
            <a:fillRect t="-1000" b="-1000"/>
          </a:stretch>
        </a:blipFill>
        <a:ln w="6350" cap="flat" cmpd="sng" algn="ctr">
          <a:solidFill>
            <a:srgbClr val="4472C4">
              <a:tint val="40000"/>
              <a:alpha val="90000"/>
              <a:hueOff val="0"/>
              <a:satOff val="0"/>
              <a:lumOff val="0"/>
              <a:alphaOff val="0"/>
            </a:srgbClr>
          </a:solidFill>
          <a:prstDash val="solid"/>
          <a:miter lim="800000"/>
        </a:ln>
        <a:effectLst/>
      </dgm:spPr>
      <dgm:t>
        <a:bodyPr/>
        <a:lstStyle/>
        <a:p>
          <a:endParaRPr lang="en-US"/>
        </a:p>
      </dgm:t>
    </dgm:pt>
    <dgm:pt modelId="{F8D1DCF5-7747-46D5-9802-78E82322D889}" type="pres">
      <dgm:prSet presAssocID="{267C9895-F90B-4D47-A00A-85A9956A613B}" presName="sibTrans" presStyleLbl="sibTrans2D1" presStyleIdx="0" presStyleCnt="0"/>
      <dgm:spPr/>
      <dgm:t>
        <a:bodyPr/>
        <a:lstStyle/>
        <a:p>
          <a:endParaRPr lang="en-US"/>
        </a:p>
      </dgm:t>
    </dgm:pt>
    <dgm:pt modelId="{4E1BB5D2-53CA-4F12-A663-8A4BCCFF1BDC}" type="pres">
      <dgm:prSet presAssocID="{84894431-C194-486C-9057-A1C68CE1C91D}" presName="compNode" presStyleCnt="0"/>
      <dgm:spPr/>
      <dgm:t>
        <a:bodyPr/>
        <a:lstStyle/>
        <a:p>
          <a:endParaRPr lang="en-US"/>
        </a:p>
      </dgm:t>
    </dgm:pt>
    <dgm:pt modelId="{91A46E57-8749-426A-A04C-AC622E496029}" type="pres">
      <dgm:prSet presAssocID="{84894431-C194-486C-9057-A1C68CE1C91D}" presName="childRect" presStyleLbl="bgAcc1" presStyleIdx="1" presStyleCnt="2" custLinFactNeighborX="-949" custLinFactNeighborY="-20976">
        <dgm:presLayoutVars>
          <dgm:bulletEnabled val="1"/>
        </dgm:presLayoutVars>
      </dgm:prSet>
      <dgm:spPr/>
      <dgm:t>
        <a:bodyPr/>
        <a:lstStyle/>
        <a:p>
          <a:endParaRPr lang="en-US"/>
        </a:p>
      </dgm:t>
    </dgm:pt>
    <dgm:pt modelId="{CE97C47C-C236-4136-9115-8882BDE2F15D}" type="pres">
      <dgm:prSet presAssocID="{84894431-C194-486C-9057-A1C68CE1C91D}" presName="parentText" presStyleLbl="node1" presStyleIdx="0" presStyleCnt="0">
        <dgm:presLayoutVars>
          <dgm:chMax val="0"/>
          <dgm:bulletEnabled val="1"/>
        </dgm:presLayoutVars>
      </dgm:prSet>
      <dgm:spPr/>
      <dgm:t>
        <a:bodyPr/>
        <a:lstStyle/>
        <a:p>
          <a:endParaRPr lang="en-US"/>
        </a:p>
      </dgm:t>
    </dgm:pt>
    <dgm:pt modelId="{D451F435-7C74-42F4-836E-871568094721}" type="pres">
      <dgm:prSet presAssocID="{84894431-C194-486C-9057-A1C68CE1C91D}" presName="parentRect" presStyleLbl="alignNode1" presStyleIdx="1" presStyleCnt="2" custScaleY="113194" custLinFactNeighborX="-949" custLinFactNeighborY="-47303"/>
      <dgm:spPr/>
      <dgm:t>
        <a:bodyPr/>
        <a:lstStyle/>
        <a:p>
          <a:endParaRPr lang="en-US"/>
        </a:p>
      </dgm:t>
    </dgm:pt>
    <dgm:pt modelId="{E842D143-AD98-4D1D-B13D-02FD0EA53A32}" type="pres">
      <dgm:prSet presAssocID="{84894431-C194-486C-9057-A1C68CE1C91D}" presName="adorn" presStyleLbl="fgAccFollowNode1" presStyleIdx="1" presStyleCnt="2" custScaleX="112792" custScaleY="112087" custLinFactNeighborX="828" custLinFactNeighborY="-33892"/>
      <dgm:spPr>
        <a:xfrm>
          <a:off x="5009290" y="1547796"/>
          <a:ext cx="928205" cy="922403"/>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8000" b="-8000"/>
          </a:stretch>
        </a:blipFill>
        <a:ln w="6350" cap="flat" cmpd="sng" algn="ctr">
          <a:solidFill>
            <a:srgbClr val="4472C4">
              <a:tint val="40000"/>
              <a:alpha val="90000"/>
              <a:hueOff val="0"/>
              <a:satOff val="0"/>
              <a:lumOff val="0"/>
              <a:alphaOff val="0"/>
            </a:srgbClr>
          </a:solidFill>
          <a:prstDash val="solid"/>
          <a:miter lim="800000"/>
        </a:ln>
        <a:effectLst/>
      </dgm:spPr>
      <dgm:t>
        <a:bodyPr/>
        <a:lstStyle/>
        <a:p>
          <a:endParaRPr lang="en-US"/>
        </a:p>
      </dgm:t>
    </dgm:pt>
  </dgm:ptLst>
  <dgm:cxnLst>
    <dgm:cxn modelId="{FDD0E189-19CA-41F1-9C49-8BA7496A64A8}" srcId="{5184E9BD-05DC-4C5A-B82E-587E3B452303}" destId="{268B8E52-CE52-4CA8-93EC-04A2EFAD964A}" srcOrd="0" destOrd="0" parTransId="{361944BC-0801-4662-9050-1461F3A86B20}" sibTransId="{51034D76-6A3F-4B38-A1FA-376560570E84}"/>
    <dgm:cxn modelId="{3266A71A-EF8F-4EF9-AAA2-4021687DB409}" type="presOf" srcId="{26666B36-7CB1-4578-A02E-D5455B158642}" destId="{91A46E57-8749-426A-A04C-AC622E496029}" srcOrd="0" destOrd="0" presId="urn:microsoft.com/office/officeart/2005/8/layout/bList2"/>
    <dgm:cxn modelId="{A028A19A-4154-40E0-B28C-22987E361A75}" srcId="{8405A26D-1EED-4235-B383-166687B437BD}" destId="{7D144EB6-6088-4C4D-9D24-81F1BA08078F}" srcOrd="1" destOrd="0" parTransId="{1423C96D-73AA-4A50-8C39-05C6E130F590}" sibTransId="{EAD3936F-339F-4B75-AAF0-3A43157F5903}"/>
    <dgm:cxn modelId="{E09F511E-13B2-4268-A6B1-44E89C2E344C}" srcId="{0534B4D8-2116-4048-BBD3-D90D4F55AF19}" destId="{7A19E5A8-FDC7-4B95-A448-E7AD2028781C}" srcOrd="0" destOrd="0" parTransId="{3A482002-A004-4AF7-9720-EBAFD77B738D}" sibTransId="{267C9895-F90B-4D47-A00A-85A9956A613B}"/>
    <dgm:cxn modelId="{BCE602CD-9847-4FA8-B3B6-E9876D80A7DD}" type="presOf" srcId="{911D3E11-5814-474D-86D7-DA02CDF2A8CB}" destId="{E17A9698-5FB5-4F9E-916B-8714C0CF8616}" srcOrd="0" destOrd="1" presId="urn:microsoft.com/office/officeart/2005/8/layout/bList2"/>
    <dgm:cxn modelId="{FC9C184A-74DB-4A5C-9031-38F70BB7AA5A}" type="presOf" srcId="{A27275AD-6ADD-44F6-ABB6-646D9B129777}" destId="{91A46E57-8749-426A-A04C-AC622E496029}" srcOrd="0" destOrd="2" presId="urn:microsoft.com/office/officeart/2005/8/layout/bList2"/>
    <dgm:cxn modelId="{1EFFD556-9E21-4105-83C5-05752FD8C885}" type="presOf" srcId="{84894431-C194-486C-9057-A1C68CE1C91D}" destId="{CE97C47C-C236-4136-9115-8882BDE2F15D}" srcOrd="0" destOrd="0" presId="urn:microsoft.com/office/officeart/2005/8/layout/bList2"/>
    <dgm:cxn modelId="{DA85B2F6-D80C-4167-AD29-2B7A4028479F}" type="presOf" srcId="{E10284A9-65AE-4512-B179-2C4E95CF679C}" destId="{E17A9698-5FB5-4F9E-916B-8714C0CF8616}" srcOrd="0" destOrd="5" presId="urn:microsoft.com/office/officeart/2005/8/layout/bList2"/>
    <dgm:cxn modelId="{A4657F8F-4C13-4BEF-9A4F-A88D6DD6083B}" type="presOf" srcId="{7A19E5A8-FDC7-4B95-A448-E7AD2028781C}" destId="{A786167B-6412-41F5-92CB-61222C7CFDEC}" srcOrd="0" destOrd="0" presId="urn:microsoft.com/office/officeart/2005/8/layout/bList2"/>
    <dgm:cxn modelId="{C424A053-3338-4645-9426-049657C59F3D}" srcId="{84894431-C194-486C-9057-A1C68CE1C91D}" destId="{26666B36-7CB1-4578-A02E-D5455B158642}" srcOrd="0" destOrd="0" parTransId="{1EF32B81-03A1-4DE1-92E4-8C73273F2FE4}" sibTransId="{FEF6AC73-980B-46AE-86ED-2FF8217D0BC9}"/>
    <dgm:cxn modelId="{E3008650-38B9-4971-8D1E-124567373036}" srcId="{84894431-C194-486C-9057-A1C68CE1C91D}" destId="{A27275AD-6ADD-44F6-ABB6-646D9B129777}" srcOrd="2" destOrd="0" parTransId="{A1A196F5-3384-4169-A58A-26273584A93B}" sibTransId="{CEA3336B-0251-4BDB-8AD1-26194EAECBBE}"/>
    <dgm:cxn modelId="{9EE2DBD6-2A8B-48B6-BDAD-8262332061AA}" type="presOf" srcId="{268B8E52-CE52-4CA8-93EC-04A2EFAD964A}" destId="{E17A9698-5FB5-4F9E-916B-8714C0CF8616}" srcOrd="0" destOrd="4" presId="urn:microsoft.com/office/officeart/2005/8/layout/bList2"/>
    <dgm:cxn modelId="{B0F1243F-7682-48BA-B5FD-39F266FA08D9}" type="presOf" srcId="{7D144EB6-6088-4C4D-9D24-81F1BA08078F}" destId="{E17A9698-5FB5-4F9E-916B-8714C0CF8616}" srcOrd="0" destOrd="2" presId="urn:microsoft.com/office/officeart/2005/8/layout/bList2"/>
    <dgm:cxn modelId="{0E83E975-9B11-48DB-836B-80090A2B50BC}" type="presOf" srcId="{7A19E5A8-FDC7-4B95-A448-E7AD2028781C}" destId="{2DA39965-4628-476B-B14D-6FAC89FAFA2E}" srcOrd="1" destOrd="0" presId="urn:microsoft.com/office/officeart/2005/8/layout/bList2"/>
    <dgm:cxn modelId="{106CEEC4-5207-4CE1-A852-9B94000F2033}" type="presOf" srcId="{8405A26D-1EED-4235-B383-166687B437BD}" destId="{E17A9698-5FB5-4F9E-916B-8714C0CF8616}" srcOrd="0" destOrd="0" presId="urn:microsoft.com/office/officeart/2005/8/layout/bList2"/>
    <dgm:cxn modelId="{48949763-0AAA-478A-9FE1-0A0B3F923FEF}" srcId="{7A19E5A8-FDC7-4B95-A448-E7AD2028781C}" destId="{8405A26D-1EED-4235-B383-166687B437BD}" srcOrd="0" destOrd="0" parTransId="{7366D6D0-9465-4496-A6E5-61D04D34E83B}" sibTransId="{7DCDFB2C-C3B0-4D61-AEA1-498821FBBBE4}"/>
    <dgm:cxn modelId="{3FDE3DF0-B615-4246-B957-D3A06C59CE2E}" srcId="{0534B4D8-2116-4048-BBD3-D90D4F55AF19}" destId="{84894431-C194-486C-9057-A1C68CE1C91D}" srcOrd="1" destOrd="0" parTransId="{39BFBD02-7B37-4023-B059-A92313208364}" sibTransId="{BF88A9AA-9EA9-4845-A254-728C34AEC12C}"/>
    <dgm:cxn modelId="{2B679150-5905-4048-929E-0BE0FBA360CF}" type="presOf" srcId="{267C9895-F90B-4D47-A00A-85A9956A613B}" destId="{F8D1DCF5-7747-46D5-9802-78E82322D889}" srcOrd="0" destOrd="0" presId="urn:microsoft.com/office/officeart/2005/8/layout/bList2"/>
    <dgm:cxn modelId="{202DF781-609C-4F9E-8639-EFA359C84DA6}" type="presOf" srcId="{0534B4D8-2116-4048-BBD3-D90D4F55AF19}" destId="{026ED2D7-30D0-4889-9863-1D3E03093C60}" srcOrd="0" destOrd="0" presId="urn:microsoft.com/office/officeart/2005/8/layout/bList2"/>
    <dgm:cxn modelId="{246BC241-96B8-4587-BC99-374D8AC433F1}" srcId="{5184E9BD-05DC-4C5A-B82E-587E3B452303}" destId="{E10284A9-65AE-4512-B179-2C4E95CF679C}" srcOrd="1" destOrd="0" parTransId="{62BEFF55-5E19-4ACD-A71F-54C141179DAF}" sibTransId="{24DFEAE5-B5B3-409F-A692-71C7AF5AB12C}"/>
    <dgm:cxn modelId="{AB99A52C-B9C8-4CBA-997C-AB7A99290866}" srcId="{7A19E5A8-FDC7-4B95-A448-E7AD2028781C}" destId="{5184E9BD-05DC-4C5A-B82E-587E3B452303}" srcOrd="1" destOrd="0" parTransId="{167DD839-F333-4DFC-805B-A49382EF719F}" sibTransId="{6955F1A0-D8AC-4D21-84C6-2934F14285BE}"/>
    <dgm:cxn modelId="{89B6F245-5A8B-489B-BC52-D50B17B2B879}" srcId="{84894431-C194-486C-9057-A1C68CE1C91D}" destId="{327CD261-DB03-4A85-9D56-6334BC2CF6FD}" srcOrd="1" destOrd="0" parTransId="{2154FE24-2D6D-4C30-BB93-AC4C36DB5B83}" sibTransId="{DE1733BF-1CC6-485B-A7BA-E685BF977270}"/>
    <dgm:cxn modelId="{845E2610-C0E5-4B22-927C-29D356E7674B}" type="presOf" srcId="{5184E9BD-05DC-4C5A-B82E-587E3B452303}" destId="{E17A9698-5FB5-4F9E-916B-8714C0CF8616}" srcOrd="0" destOrd="3" presId="urn:microsoft.com/office/officeart/2005/8/layout/bList2"/>
    <dgm:cxn modelId="{67C603F7-9F1D-4C15-AB70-0DA9E5862910}" srcId="{8405A26D-1EED-4235-B383-166687B437BD}" destId="{911D3E11-5814-474D-86D7-DA02CDF2A8CB}" srcOrd="0" destOrd="0" parTransId="{5C6B39AE-07D0-4C8B-9312-2FF6FFEDC6B1}" sibTransId="{E73BFC38-7B98-4391-9CC6-9CBA5AE5E5B9}"/>
    <dgm:cxn modelId="{1FBC97B4-8F00-4585-B153-5034DF93EF86}" type="presOf" srcId="{84894431-C194-486C-9057-A1C68CE1C91D}" destId="{D451F435-7C74-42F4-836E-871568094721}" srcOrd="1" destOrd="0" presId="urn:microsoft.com/office/officeart/2005/8/layout/bList2"/>
    <dgm:cxn modelId="{E53EC0C9-820D-4396-8930-643D6B446619}" type="presOf" srcId="{327CD261-DB03-4A85-9D56-6334BC2CF6FD}" destId="{91A46E57-8749-426A-A04C-AC622E496029}" srcOrd="0" destOrd="1" presId="urn:microsoft.com/office/officeart/2005/8/layout/bList2"/>
    <dgm:cxn modelId="{845C41C5-8757-4DF9-8FAD-B0764052A425}" type="presParOf" srcId="{026ED2D7-30D0-4889-9863-1D3E03093C60}" destId="{6D738EBC-5AAD-4B30-82D1-8603FFB4DBF6}" srcOrd="0" destOrd="0" presId="urn:microsoft.com/office/officeart/2005/8/layout/bList2"/>
    <dgm:cxn modelId="{C189A380-719A-4C48-99CE-1FC9D76D6A80}" type="presParOf" srcId="{6D738EBC-5AAD-4B30-82D1-8603FFB4DBF6}" destId="{E17A9698-5FB5-4F9E-916B-8714C0CF8616}" srcOrd="0" destOrd="0" presId="urn:microsoft.com/office/officeart/2005/8/layout/bList2"/>
    <dgm:cxn modelId="{B8D4EAB2-79A3-4340-891C-0D56AAB65024}" type="presParOf" srcId="{6D738EBC-5AAD-4B30-82D1-8603FFB4DBF6}" destId="{A786167B-6412-41F5-92CB-61222C7CFDEC}" srcOrd="1" destOrd="0" presId="urn:microsoft.com/office/officeart/2005/8/layout/bList2"/>
    <dgm:cxn modelId="{FC78B3BD-880D-4C15-AD50-8E8FFA449B0D}" type="presParOf" srcId="{6D738EBC-5AAD-4B30-82D1-8603FFB4DBF6}" destId="{2DA39965-4628-476B-B14D-6FAC89FAFA2E}" srcOrd="2" destOrd="0" presId="urn:microsoft.com/office/officeart/2005/8/layout/bList2"/>
    <dgm:cxn modelId="{B8A0FB3D-46DB-4E64-871F-8613E0B4DE52}" type="presParOf" srcId="{6D738EBC-5AAD-4B30-82D1-8603FFB4DBF6}" destId="{A767E46D-A9A2-49CB-87EE-2EB00AA81E8E}" srcOrd="3" destOrd="0" presId="urn:microsoft.com/office/officeart/2005/8/layout/bList2"/>
    <dgm:cxn modelId="{A5D4193F-7FF8-4F12-ABFC-CA830C19465C}" type="presParOf" srcId="{026ED2D7-30D0-4889-9863-1D3E03093C60}" destId="{F8D1DCF5-7747-46D5-9802-78E82322D889}" srcOrd="1" destOrd="0" presId="urn:microsoft.com/office/officeart/2005/8/layout/bList2"/>
    <dgm:cxn modelId="{9A4EC2E8-2D03-4376-B9D8-4B6494388393}" type="presParOf" srcId="{026ED2D7-30D0-4889-9863-1D3E03093C60}" destId="{4E1BB5D2-53CA-4F12-A663-8A4BCCFF1BDC}" srcOrd="2" destOrd="0" presId="urn:microsoft.com/office/officeart/2005/8/layout/bList2"/>
    <dgm:cxn modelId="{0ABA2B2B-BC0E-4ADA-95E2-546D2927599F}" type="presParOf" srcId="{4E1BB5D2-53CA-4F12-A663-8A4BCCFF1BDC}" destId="{91A46E57-8749-426A-A04C-AC622E496029}" srcOrd="0" destOrd="0" presId="urn:microsoft.com/office/officeart/2005/8/layout/bList2"/>
    <dgm:cxn modelId="{8884E388-CDA2-433A-9C23-DDBFF80D2DF0}" type="presParOf" srcId="{4E1BB5D2-53CA-4F12-A663-8A4BCCFF1BDC}" destId="{CE97C47C-C236-4136-9115-8882BDE2F15D}" srcOrd="1" destOrd="0" presId="urn:microsoft.com/office/officeart/2005/8/layout/bList2"/>
    <dgm:cxn modelId="{1C84AF01-0784-4D17-8A68-C3B5EC2C34D5}" type="presParOf" srcId="{4E1BB5D2-53CA-4F12-A663-8A4BCCFF1BDC}" destId="{D451F435-7C74-42F4-836E-871568094721}" srcOrd="2" destOrd="0" presId="urn:microsoft.com/office/officeart/2005/8/layout/bList2"/>
    <dgm:cxn modelId="{E8D5DA03-5840-43F2-BAAD-A43CF30B1F74}" type="presParOf" srcId="{4E1BB5D2-53CA-4F12-A663-8A4BCCFF1BDC}" destId="{E842D143-AD98-4D1D-B13D-02FD0EA53A32}" srcOrd="3" destOrd="0" presId="urn:microsoft.com/office/officeart/2005/8/layout/bList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D1E1B3A-E46E-46BF-830E-1317C18F136C}"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4E1BE7E-F2AD-4686-80E3-D329167AF1D3}">
      <dgm:prSet custT="1"/>
      <dgm:spPr>
        <a:xfrm>
          <a:off x="38939" y="684"/>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(Outcomes) - Waiver: 89.3%  CDC+: 91.9 %</a:t>
          </a:r>
          <a:endParaRPr lang="en-US" sz="1200" b="1" dirty="0">
            <a:solidFill>
              <a:sysClr val="window" lastClr="FFFFFF"/>
            </a:solidFill>
            <a:latin typeface="Calibri"/>
            <a:ea typeface="+mn-ea"/>
            <a:cs typeface="+mn-cs"/>
          </a:endParaRPr>
        </a:p>
      </dgm:t>
    </dgm:pt>
    <dgm:pt modelId="{69D7FB87-CA75-4646-AE71-7CC8941BBDBB}" type="parTrans" cxnId="{6DA274EC-FD86-46AC-AB05-BE03365A71DA}">
      <dgm:prSet/>
      <dgm:spPr/>
      <dgm:t>
        <a:bodyPr/>
        <a:lstStyle/>
        <a:p>
          <a:endParaRPr lang="en-US"/>
        </a:p>
      </dgm:t>
    </dgm:pt>
    <dgm:pt modelId="{0ABA20AC-6E48-488C-BF04-5B5604C35C95}" type="sibTrans" cxnId="{6DA274EC-FD86-46AC-AB05-BE03365A71DA}">
      <dgm:prSet/>
      <dgm:spPr/>
      <dgm:t>
        <a:bodyPr/>
        <a:lstStyle/>
        <a:p>
          <a:endParaRPr lang="en-US"/>
        </a:p>
      </dgm:t>
    </dgm:pt>
    <dgm:pt modelId="{23348A4E-E6B1-4945-AFEE-741BF6FD4F42}">
      <dgm:prSet custT="1"/>
      <dgm:spPr>
        <a:xfrm>
          <a:off x="38939" y="943919"/>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CDC+ Consultant Record Review - 97.9%</a:t>
          </a:r>
          <a:endParaRPr lang="en-US" sz="1200" b="1" dirty="0">
            <a:solidFill>
              <a:sysClr val="window" lastClr="FFFFFF"/>
            </a:solidFill>
            <a:latin typeface="Calibri"/>
            <a:ea typeface="+mn-ea"/>
            <a:cs typeface="+mn-cs"/>
          </a:endParaRPr>
        </a:p>
      </dgm:t>
    </dgm:pt>
    <dgm:pt modelId="{8FE8D4EE-924D-43D6-B9A4-A248751F5BA1}" type="parTrans" cxnId="{1623E7A7-925B-4CD8-8C68-0084A11FAE9B}">
      <dgm:prSet/>
      <dgm:spPr/>
      <dgm:t>
        <a:bodyPr/>
        <a:lstStyle/>
        <a:p>
          <a:endParaRPr lang="en-US"/>
        </a:p>
      </dgm:t>
    </dgm:pt>
    <dgm:pt modelId="{970648AD-2C0D-4E1C-8AFB-1C7A25ACF1C1}" type="sibTrans" cxnId="{1623E7A7-925B-4CD8-8C68-0084A11FAE9B}">
      <dgm:prSet/>
      <dgm:spPr/>
      <dgm:t>
        <a:bodyPr/>
        <a:lstStyle/>
        <a:p>
          <a:endParaRPr lang="en-US"/>
        </a:p>
      </dgm:t>
    </dgm:pt>
    <dgm:pt modelId="{C7A3F06D-D595-4CAD-AEED-72A31ABB8206}">
      <dgm:prSet custT="1"/>
      <dgm:spPr>
        <a:xfrm>
          <a:off x="47404" y="1259015"/>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CDC+ Representative Review - 92.9%</a:t>
          </a:r>
          <a:endParaRPr lang="en-US" sz="1200" b="1" dirty="0">
            <a:solidFill>
              <a:sysClr val="window" lastClr="FFFFFF"/>
            </a:solidFill>
            <a:latin typeface="Calibri"/>
            <a:ea typeface="+mn-ea"/>
            <a:cs typeface="+mn-cs"/>
          </a:endParaRPr>
        </a:p>
      </dgm:t>
    </dgm:pt>
    <dgm:pt modelId="{741E7BDB-CBC8-4497-9ED0-1F155B39791C}" type="parTrans" cxnId="{BAC203C6-1630-462C-A782-21E0912F40F5}">
      <dgm:prSet/>
      <dgm:spPr/>
      <dgm:t>
        <a:bodyPr/>
        <a:lstStyle/>
        <a:p>
          <a:endParaRPr lang="en-US"/>
        </a:p>
      </dgm:t>
    </dgm:pt>
    <dgm:pt modelId="{6BC3003E-665B-4F3F-812C-B1FF244DC69B}" type="sibTrans" cxnId="{BAC203C6-1630-462C-A782-21E0912F40F5}">
      <dgm:prSet/>
      <dgm:spPr/>
      <dgm:t>
        <a:bodyPr/>
        <a:lstStyle/>
        <a:p>
          <a:endParaRPr lang="en-US"/>
        </a:p>
      </dgm:t>
    </dgm:pt>
    <dgm:pt modelId="{DF077904-79B4-4269-A738-BDAD01C8E250}">
      <dgm:prSet custT="1"/>
      <dgm:spPr>
        <a:xfrm>
          <a:off x="38939" y="315096"/>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(Supports)  - Waiver: 97.9% CDC+: 99.3%</a:t>
          </a:r>
          <a:endParaRPr lang="en-US" sz="1200" b="1" dirty="0">
            <a:solidFill>
              <a:sysClr val="window" lastClr="FFFFFF"/>
            </a:solidFill>
            <a:latin typeface="Calibri"/>
            <a:ea typeface="+mn-ea"/>
            <a:cs typeface="+mn-cs"/>
          </a:endParaRPr>
        </a:p>
      </dgm:t>
    </dgm:pt>
    <dgm:pt modelId="{B77D16F6-A95B-4B65-9D05-DCD78F813CB8}" type="sibTrans" cxnId="{D2139B11-32BF-4EA8-BB6B-2CE32A01320E}">
      <dgm:prSet/>
      <dgm:spPr/>
      <dgm:t>
        <a:bodyPr/>
        <a:lstStyle/>
        <a:p>
          <a:endParaRPr lang="en-US"/>
        </a:p>
      </dgm:t>
    </dgm:pt>
    <dgm:pt modelId="{FF7F4957-94EB-4FB2-BC08-FA7C0E8FC4CB}" type="parTrans" cxnId="{D2139B11-32BF-4EA8-BB6B-2CE32A01320E}">
      <dgm:prSet/>
      <dgm:spPr/>
      <dgm:t>
        <a:bodyPr/>
        <a:lstStyle/>
        <a:p>
          <a:endParaRPr lang="en-US"/>
        </a:p>
      </dgm:t>
    </dgm:pt>
    <dgm:pt modelId="{88929A52-983E-4523-AC2B-B7A982661C40}">
      <dgm:prSet custT="1"/>
      <dgm:spPr>
        <a:xfrm>
          <a:off x="38939" y="629507"/>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Support Coordinator Record Review - 95.3%</a:t>
          </a:r>
          <a:endParaRPr lang="en-US" sz="1200" b="1" dirty="0">
            <a:solidFill>
              <a:sysClr val="window" lastClr="FFFFFF"/>
            </a:solidFill>
            <a:latin typeface="Calibri"/>
            <a:ea typeface="+mn-ea"/>
            <a:cs typeface="+mn-cs"/>
          </a:endParaRPr>
        </a:p>
      </dgm:t>
    </dgm:pt>
    <dgm:pt modelId="{FD5920AD-9E1D-40B5-9C4F-9FCFAD6975B6}" type="sibTrans" cxnId="{037A892F-94CF-4D0A-87DB-E3CDB989A6C9}">
      <dgm:prSet/>
      <dgm:spPr/>
      <dgm:t>
        <a:bodyPr/>
        <a:lstStyle/>
        <a:p>
          <a:endParaRPr lang="en-US"/>
        </a:p>
      </dgm:t>
    </dgm:pt>
    <dgm:pt modelId="{F68261AB-4F2E-4F2D-90A5-3C2A444EAD85}" type="parTrans" cxnId="{037A892F-94CF-4D0A-87DB-E3CDB989A6C9}">
      <dgm:prSet/>
      <dgm:spPr/>
      <dgm:t>
        <a:bodyPr/>
        <a:lstStyle/>
        <a:p>
          <a:endParaRPr lang="en-US"/>
        </a:p>
      </dgm:t>
    </dgm:pt>
    <dgm:pt modelId="{55A1D4FA-1CC0-472E-8E63-53968928B011}" type="pres">
      <dgm:prSet presAssocID="{7D1E1B3A-E46E-46BF-830E-1317C18F136C}" presName="Name0" presStyleCnt="0">
        <dgm:presLayoutVars>
          <dgm:dir/>
          <dgm:animLvl val="lvl"/>
          <dgm:resizeHandles val="exact"/>
        </dgm:presLayoutVars>
      </dgm:prSet>
      <dgm:spPr/>
      <dgm:t>
        <a:bodyPr/>
        <a:lstStyle/>
        <a:p>
          <a:endParaRPr lang="en-US"/>
        </a:p>
      </dgm:t>
    </dgm:pt>
    <dgm:pt modelId="{C8DA2259-91BB-4428-BDBF-A3AE233BB153}" type="pres">
      <dgm:prSet presAssocID="{E4E1BE7E-F2AD-4686-80E3-D329167AF1D3}" presName="linNode" presStyleCnt="0"/>
      <dgm:spPr/>
    </dgm:pt>
    <dgm:pt modelId="{D8BA2630-89EC-4724-A63A-33355D50F33D}" type="pres">
      <dgm:prSet presAssocID="{E4E1BE7E-F2AD-4686-80E3-D329167AF1D3}" presName="parentText" presStyleLbl="node1" presStyleIdx="0" presStyleCnt="5" custScaleX="274061">
        <dgm:presLayoutVars>
          <dgm:chMax val="1"/>
          <dgm:bulletEnabled val="1"/>
        </dgm:presLayoutVars>
      </dgm:prSet>
      <dgm:spPr>
        <a:prstGeom prst="roundRect">
          <a:avLst/>
        </a:prstGeom>
      </dgm:spPr>
      <dgm:t>
        <a:bodyPr/>
        <a:lstStyle/>
        <a:p>
          <a:endParaRPr lang="en-US"/>
        </a:p>
      </dgm:t>
    </dgm:pt>
    <dgm:pt modelId="{BD3332C2-B2D0-4AAE-B1AB-C94C7F411023}" type="pres">
      <dgm:prSet presAssocID="{0ABA20AC-6E48-488C-BF04-5B5604C35C95}" presName="sp" presStyleCnt="0"/>
      <dgm:spPr/>
    </dgm:pt>
    <dgm:pt modelId="{38F935E6-340D-45F4-89DE-E986F187C512}" type="pres">
      <dgm:prSet presAssocID="{DF077904-79B4-4269-A738-BDAD01C8E250}" presName="linNode" presStyleCnt="0"/>
      <dgm:spPr/>
    </dgm:pt>
    <dgm:pt modelId="{16913C5C-F8E6-4B91-9589-E57A8D9644A9}" type="pres">
      <dgm:prSet presAssocID="{DF077904-79B4-4269-A738-BDAD01C8E250}" presName="parentText" presStyleLbl="node1" presStyleIdx="1" presStyleCnt="5" custScaleX="274061">
        <dgm:presLayoutVars>
          <dgm:chMax val="1"/>
          <dgm:bulletEnabled val="1"/>
        </dgm:presLayoutVars>
      </dgm:prSet>
      <dgm:spPr>
        <a:prstGeom prst="roundRect">
          <a:avLst/>
        </a:prstGeom>
      </dgm:spPr>
      <dgm:t>
        <a:bodyPr/>
        <a:lstStyle/>
        <a:p>
          <a:endParaRPr lang="en-US"/>
        </a:p>
      </dgm:t>
    </dgm:pt>
    <dgm:pt modelId="{1D34EEF6-BA2D-4CFB-AA1D-8574F611C83E}" type="pres">
      <dgm:prSet presAssocID="{B77D16F6-A95B-4B65-9D05-DCD78F813CB8}" presName="sp" presStyleCnt="0"/>
      <dgm:spPr/>
    </dgm:pt>
    <dgm:pt modelId="{F9A535E0-91E1-4FA1-BF14-90221C4E8E5C}" type="pres">
      <dgm:prSet presAssocID="{88929A52-983E-4523-AC2B-B7A982661C40}" presName="linNode" presStyleCnt="0"/>
      <dgm:spPr/>
    </dgm:pt>
    <dgm:pt modelId="{64CB5956-7649-4CCF-83A9-5184FA55536E}" type="pres">
      <dgm:prSet presAssocID="{88929A52-983E-4523-AC2B-B7A982661C40}" presName="parentText" presStyleLbl="node1" presStyleIdx="2" presStyleCnt="5" custScaleX="274061">
        <dgm:presLayoutVars>
          <dgm:chMax val="1"/>
          <dgm:bulletEnabled val="1"/>
        </dgm:presLayoutVars>
      </dgm:prSet>
      <dgm:spPr>
        <a:prstGeom prst="roundRect">
          <a:avLst/>
        </a:prstGeom>
      </dgm:spPr>
      <dgm:t>
        <a:bodyPr/>
        <a:lstStyle/>
        <a:p>
          <a:endParaRPr lang="en-US"/>
        </a:p>
      </dgm:t>
    </dgm:pt>
    <dgm:pt modelId="{2A1BB58F-BC9B-4400-8778-937500272E7B}" type="pres">
      <dgm:prSet presAssocID="{FD5920AD-9E1D-40B5-9C4F-9FCFAD6975B6}" presName="sp" presStyleCnt="0"/>
      <dgm:spPr/>
    </dgm:pt>
    <dgm:pt modelId="{922629E8-5563-423F-BC4F-B6C5A16A84D7}" type="pres">
      <dgm:prSet presAssocID="{23348A4E-E6B1-4945-AFEE-741BF6FD4F42}" presName="linNode" presStyleCnt="0"/>
      <dgm:spPr/>
    </dgm:pt>
    <dgm:pt modelId="{E5CD1B79-6F6A-4F65-9B36-4180863580C9}" type="pres">
      <dgm:prSet presAssocID="{23348A4E-E6B1-4945-AFEE-741BF6FD4F42}" presName="parentText" presStyleLbl="node1" presStyleIdx="3" presStyleCnt="5" custScaleX="274061">
        <dgm:presLayoutVars>
          <dgm:chMax val="1"/>
          <dgm:bulletEnabled val="1"/>
        </dgm:presLayoutVars>
      </dgm:prSet>
      <dgm:spPr>
        <a:prstGeom prst="roundRect">
          <a:avLst/>
        </a:prstGeom>
      </dgm:spPr>
      <dgm:t>
        <a:bodyPr/>
        <a:lstStyle/>
        <a:p>
          <a:endParaRPr lang="en-US"/>
        </a:p>
      </dgm:t>
    </dgm:pt>
    <dgm:pt modelId="{360A6F66-1E4A-4321-A08C-9BB024D1A79A}" type="pres">
      <dgm:prSet presAssocID="{970648AD-2C0D-4E1C-8AFB-1C7A25ACF1C1}" presName="sp" presStyleCnt="0"/>
      <dgm:spPr/>
    </dgm:pt>
    <dgm:pt modelId="{EC0B8CD1-A019-4907-B026-25FBFC156E89}" type="pres">
      <dgm:prSet presAssocID="{C7A3F06D-D595-4CAD-AEED-72A31ABB8206}" presName="linNode" presStyleCnt="0"/>
      <dgm:spPr/>
    </dgm:pt>
    <dgm:pt modelId="{E761265B-4BCF-4366-97D9-7DD7081174E1}" type="pres">
      <dgm:prSet presAssocID="{C7A3F06D-D595-4CAD-AEED-72A31ABB8206}" presName="parentText" presStyleLbl="node1" presStyleIdx="4" presStyleCnt="5" custScaleX="274061" custLinFactNeighborX="404" custLinFactNeighborY="55538">
        <dgm:presLayoutVars>
          <dgm:chMax val="1"/>
          <dgm:bulletEnabled val="1"/>
        </dgm:presLayoutVars>
      </dgm:prSet>
      <dgm:spPr>
        <a:prstGeom prst="roundRect">
          <a:avLst/>
        </a:prstGeom>
      </dgm:spPr>
      <dgm:t>
        <a:bodyPr/>
        <a:lstStyle/>
        <a:p>
          <a:endParaRPr lang="en-US"/>
        </a:p>
      </dgm:t>
    </dgm:pt>
  </dgm:ptLst>
  <dgm:cxnLst>
    <dgm:cxn modelId="{770279F8-F25C-41B0-B520-96027B3D6FE2}" type="presOf" srcId="{E4E1BE7E-F2AD-4686-80E3-D329167AF1D3}" destId="{D8BA2630-89EC-4724-A63A-33355D50F33D}" srcOrd="0" destOrd="0" presId="urn:microsoft.com/office/officeart/2005/8/layout/vList5"/>
    <dgm:cxn modelId="{048D1DE3-B827-4F29-A392-FCC037B3A52E}" type="presOf" srcId="{23348A4E-E6B1-4945-AFEE-741BF6FD4F42}" destId="{E5CD1B79-6F6A-4F65-9B36-4180863580C9}" srcOrd="0" destOrd="0" presId="urn:microsoft.com/office/officeart/2005/8/layout/vList5"/>
    <dgm:cxn modelId="{20F9FD7B-750A-48EE-B4E2-64D8A8CD9D3B}" type="presOf" srcId="{7D1E1B3A-E46E-46BF-830E-1317C18F136C}" destId="{55A1D4FA-1CC0-472E-8E63-53968928B011}" srcOrd="0" destOrd="0" presId="urn:microsoft.com/office/officeart/2005/8/layout/vList5"/>
    <dgm:cxn modelId="{1623E7A7-925B-4CD8-8C68-0084A11FAE9B}" srcId="{7D1E1B3A-E46E-46BF-830E-1317C18F136C}" destId="{23348A4E-E6B1-4945-AFEE-741BF6FD4F42}" srcOrd="3" destOrd="0" parTransId="{8FE8D4EE-924D-43D6-B9A4-A248751F5BA1}" sibTransId="{970648AD-2C0D-4E1C-8AFB-1C7A25ACF1C1}"/>
    <dgm:cxn modelId="{037A892F-94CF-4D0A-87DB-E3CDB989A6C9}" srcId="{7D1E1B3A-E46E-46BF-830E-1317C18F136C}" destId="{88929A52-983E-4523-AC2B-B7A982661C40}" srcOrd="2" destOrd="0" parTransId="{F68261AB-4F2E-4F2D-90A5-3C2A444EAD85}" sibTransId="{FD5920AD-9E1D-40B5-9C4F-9FCFAD6975B6}"/>
    <dgm:cxn modelId="{AFCB6806-F154-438A-8EFD-749F7AADCCB5}" type="presOf" srcId="{C7A3F06D-D595-4CAD-AEED-72A31ABB8206}" destId="{E761265B-4BCF-4366-97D9-7DD7081174E1}" srcOrd="0" destOrd="0" presId="urn:microsoft.com/office/officeart/2005/8/layout/vList5"/>
    <dgm:cxn modelId="{4BE32C19-A34B-4D1A-B2B8-49ED167DB7A5}" type="presOf" srcId="{88929A52-983E-4523-AC2B-B7A982661C40}" destId="{64CB5956-7649-4CCF-83A9-5184FA55536E}" srcOrd="0" destOrd="0" presId="urn:microsoft.com/office/officeart/2005/8/layout/vList5"/>
    <dgm:cxn modelId="{B68C2CC7-2FA3-4F51-89A2-D3C665A9442F}" type="presOf" srcId="{DF077904-79B4-4269-A738-BDAD01C8E250}" destId="{16913C5C-F8E6-4B91-9589-E57A8D9644A9}" srcOrd="0" destOrd="0" presId="urn:microsoft.com/office/officeart/2005/8/layout/vList5"/>
    <dgm:cxn modelId="{D2139B11-32BF-4EA8-BB6B-2CE32A01320E}" srcId="{7D1E1B3A-E46E-46BF-830E-1317C18F136C}" destId="{DF077904-79B4-4269-A738-BDAD01C8E250}" srcOrd="1" destOrd="0" parTransId="{FF7F4957-94EB-4FB2-BC08-FA7C0E8FC4CB}" sibTransId="{B77D16F6-A95B-4B65-9D05-DCD78F813CB8}"/>
    <dgm:cxn modelId="{6DA274EC-FD86-46AC-AB05-BE03365A71DA}" srcId="{7D1E1B3A-E46E-46BF-830E-1317C18F136C}" destId="{E4E1BE7E-F2AD-4686-80E3-D329167AF1D3}" srcOrd="0" destOrd="0" parTransId="{69D7FB87-CA75-4646-AE71-7CC8941BBDBB}" sibTransId="{0ABA20AC-6E48-488C-BF04-5B5604C35C95}"/>
    <dgm:cxn modelId="{BAC203C6-1630-462C-A782-21E0912F40F5}" srcId="{7D1E1B3A-E46E-46BF-830E-1317C18F136C}" destId="{C7A3F06D-D595-4CAD-AEED-72A31ABB8206}" srcOrd="4" destOrd="0" parTransId="{741E7BDB-CBC8-4497-9ED0-1F155B39791C}" sibTransId="{6BC3003E-665B-4F3F-812C-B1FF244DC69B}"/>
    <dgm:cxn modelId="{22381472-5BB6-4115-BA3A-139D6EEA1894}" type="presParOf" srcId="{55A1D4FA-1CC0-472E-8E63-53968928B011}" destId="{C8DA2259-91BB-4428-BDBF-A3AE233BB153}" srcOrd="0" destOrd="0" presId="urn:microsoft.com/office/officeart/2005/8/layout/vList5"/>
    <dgm:cxn modelId="{060819D7-B056-482C-96FC-58F838F8B188}" type="presParOf" srcId="{C8DA2259-91BB-4428-BDBF-A3AE233BB153}" destId="{D8BA2630-89EC-4724-A63A-33355D50F33D}" srcOrd="0" destOrd="0" presId="urn:microsoft.com/office/officeart/2005/8/layout/vList5"/>
    <dgm:cxn modelId="{51B11265-20DF-4F62-B7F1-FBEBCA393839}" type="presParOf" srcId="{55A1D4FA-1CC0-472E-8E63-53968928B011}" destId="{BD3332C2-B2D0-4AAE-B1AB-C94C7F411023}" srcOrd="1" destOrd="0" presId="urn:microsoft.com/office/officeart/2005/8/layout/vList5"/>
    <dgm:cxn modelId="{DBF2ECD3-14E7-458E-A445-0F0359B98711}" type="presParOf" srcId="{55A1D4FA-1CC0-472E-8E63-53968928B011}" destId="{38F935E6-340D-45F4-89DE-E986F187C512}" srcOrd="2" destOrd="0" presId="urn:microsoft.com/office/officeart/2005/8/layout/vList5"/>
    <dgm:cxn modelId="{753AD298-35AD-4F52-B72C-0279E63D1AEA}" type="presParOf" srcId="{38F935E6-340D-45F4-89DE-E986F187C512}" destId="{16913C5C-F8E6-4B91-9589-E57A8D9644A9}" srcOrd="0" destOrd="0" presId="urn:microsoft.com/office/officeart/2005/8/layout/vList5"/>
    <dgm:cxn modelId="{8B7CC961-A4BE-4CAD-81BC-414362FEAC7F}" type="presParOf" srcId="{55A1D4FA-1CC0-472E-8E63-53968928B011}" destId="{1D34EEF6-BA2D-4CFB-AA1D-8574F611C83E}" srcOrd="3" destOrd="0" presId="urn:microsoft.com/office/officeart/2005/8/layout/vList5"/>
    <dgm:cxn modelId="{D72FCB2C-42EC-4248-8FFC-6956F88C5B53}" type="presParOf" srcId="{55A1D4FA-1CC0-472E-8E63-53968928B011}" destId="{F9A535E0-91E1-4FA1-BF14-90221C4E8E5C}" srcOrd="4" destOrd="0" presId="urn:microsoft.com/office/officeart/2005/8/layout/vList5"/>
    <dgm:cxn modelId="{ED2F4B77-209F-41C8-8F07-FB4A21B945F2}" type="presParOf" srcId="{F9A535E0-91E1-4FA1-BF14-90221C4E8E5C}" destId="{64CB5956-7649-4CCF-83A9-5184FA55536E}" srcOrd="0" destOrd="0" presId="urn:microsoft.com/office/officeart/2005/8/layout/vList5"/>
    <dgm:cxn modelId="{E81F29C9-1357-4EFE-B178-558863A653AF}" type="presParOf" srcId="{55A1D4FA-1CC0-472E-8E63-53968928B011}" destId="{2A1BB58F-BC9B-4400-8778-937500272E7B}" srcOrd="5" destOrd="0" presId="urn:microsoft.com/office/officeart/2005/8/layout/vList5"/>
    <dgm:cxn modelId="{B23D7957-8605-4435-AD29-68CAFC7E315F}" type="presParOf" srcId="{55A1D4FA-1CC0-472E-8E63-53968928B011}" destId="{922629E8-5563-423F-BC4F-B6C5A16A84D7}" srcOrd="6" destOrd="0" presId="urn:microsoft.com/office/officeart/2005/8/layout/vList5"/>
    <dgm:cxn modelId="{06DAB2B1-1C9C-4B66-B2A8-7882D1A584F8}" type="presParOf" srcId="{922629E8-5563-423F-BC4F-B6C5A16A84D7}" destId="{E5CD1B79-6F6A-4F65-9B36-4180863580C9}" srcOrd="0" destOrd="0" presId="urn:microsoft.com/office/officeart/2005/8/layout/vList5"/>
    <dgm:cxn modelId="{61676F1A-16E5-443D-8DBB-649D045157DA}" type="presParOf" srcId="{55A1D4FA-1CC0-472E-8E63-53968928B011}" destId="{360A6F66-1E4A-4321-A08C-9BB024D1A79A}" srcOrd="7" destOrd="0" presId="urn:microsoft.com/office/officeart/2005/8/layout/vList5"/>
    <dgm:cxn modelId="{04CC0E08-5831-44B4-9D40-1852A027BB52}" type="presParOf" srcId="{55A1D4FA-1CC0-472E-8E63-53968928B011}" destId="{EC0B8CD1-A019-4907-B026-25FBFC156E89}" srcOrd="8" destOrd="0" presId="urn:microsoft.com/office/officeart/2005/8/layout/vList5"/>
    <dgm:cxn modelId="{2CE41A25-02D4-4DAC-9B7D-DB0F0C111176}" type="presParOf" srcId="{EC0B8CD1-A019-4907-B026-25FBFC156E89}" destId="{E761265B-4BCF-4366-97D9-7DD7081174E1}" srcOrd="0" destOrd="0" presId="urn:microsoft.com/office/officeart/2005/8/layout/vList5"/>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D1E1B3A-E46E-46BF-830E-1317C18F136C}"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4E1BE7E-F2AD-4686-80E3-D329167AF1D3}">
      <dgm:prSet custT="1"/>
      <dgm:spPr>
        <a:xfrm>
          <a:off x="38864" y="1007"/>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(Outcomes) - 91.2%</a:t>
          </a:r>
          <a:endParaRPr lang="en-US" sz="1200" b="1" dirty="0">
            <a:solidFill>
              <a:sysClr val="window" lastClr="FFFFFF"/>
            </a:solidFill>
            <a:latin typeface="Calibri"/>
            <a:ea typeface="+mn-ea"/>
            <a:cs typeface="+mn-cs"/>
          </a:endParaRPr>
        </a:p>
      </dgm:t>
    </dgm:pt>
    <dgm:pt modelId="{69D7FB87-CA75-4646-AE71-7CC8941BBDBB}" type="parTrans" cxnId="{6DA274EC-FD86-46AC-AB05-BE03365A71DA}">
      <dgm:prSet/>
      <dgm:spPr/>
      <dgm:t>
        <a:bodyPr/>
        <a:lstStyle/>
        <a:p>
          <a:endParaRPr lang="en-US"/>
        </a:p>
      </dgm:t>
    </dgm:pt>
    <dgm:pt modelId="{0ABA20AC-6E48-488C-BF04-5B5604C35C95}" type="sibTrans" cxnId="{6DA274EC-FD86-46AC-AB05-BE03365A71DA}">
      <dgm:prSet/>
      <dgm:spPr/>
      <dgm:t>
        <a:bodyPr/>
        <a:lstStyle/>
        <a:p>
          <a:endParaRPr lang="en-US"/>
        </a:p>
      </dgm:t>
    </dgm:pt>
    <dgm:pt modelId="{2F2DD207-6FA9-4740-9FC1-BE1FD3F57316}">
      <dgm:prSet custT="1"/>
      <dgm:spPr>
        <a:xfrm>
          <a:off x="38864" y="629249"/>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Observations  -  Temporarily Stopped</a:t>
          </a:r>
          <a:endParaRPr lang="en-US" sz="1200" b="1" dirty="0">
            <a:solidFill>
              <a:sysClr val="window" lastClr="FFFFFF"/>
            </a:solidFill>
            <a:latin typeface="Calibri"/>
            <a:ea typeface="+mn-ea"/>
            <a:cs typeface="+mn-cs"/>
          </a:endParaRPr>
        </a:p>
      </dgm:t>
    </dgm:pt>
    <dgm:pt modelId="{A36A4174-54D3-475C-BB0D-E8674E3DC006}" type="parTrans" cxnId="{B3F3C793-277F-407E-9993-389E832A7F20}">
      <dgm:prSet/>
      <dgm:spPr/>
      <dgm:t>
        <a:bodyPr/>
        <a:lstStyle/>
        <a:p>
          <a:endParaRPr lang="en-US"/>
        </a:p>
      </dgm:t>
    </dgm:pt>
    <dgm:pt modelId="{3B0B5F97-093F-44B3-A5A1-A50429BE0CB7}" type="sibTrans" cxnId="{B3F3C793-277F-407E-9993-389E832A7F20}">
      <dgm:prSet/>
      <dgm:spPr/>
      <dgm:t>
        <a:bodyPr/>
        <a:lstStyle/>
        <a:p>
          <a:endParaRPr lang="en-US"/>
        </a:p>
      </dgm:t>
    </dgm:pt>
    <dgm:pt modelId="{39FE624F-A7C5-4B8A-AA53-F5A1BDB9D4B2}">
      <dgm:prSet custT="1"/>
      <dgm:spPr>
        <a:xfrm>
          <a:off x="38864" y="919481"/>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Service Specific Record Reviews -  Service Providers: 91.7%; WSC: 95.9%</a:t>
          </a:r>
          <a:endParaRPr lang="en-US" sz="1200" b="1" dirty="0">
            <a:solidFill>
              <a:sysClr val="window" lastClr="FFFFFF"/>
            </a:solidFill>
            <a:latin typeface="Calibri"/>
            <a:ea typeface="+mn-ea"/>
            <a:cs typeface="+mn-cs"/>
          </a:endParaRPr>
        </a:p>
      </dgm:t>
    </dgm:pt>
    <dgm:pt modelId="{7ECBF526-5F73-4519-ADB7-8499922B9486}" type="parTrans" cxnId="{DD60D4E8-6502-49E6-BB80-938849F6E62A}">
      <dgm:prSet/>
      <dgm:spPr/>
      <dgm:t>
        <a:bodyPr/>
        <a:lstStyle/>
        <a:p>
          <a:endParaRPr lang="en-US"/>
        </a:p>
      </dgm:t>
    </dgm:pt>
    <dgm:pt modelId="{E2A62BC8-BC7E-4AFC-BF32-A725C272E6CE}" type="sibTrans" cxnId="{DD60D4E8-6502-49E6-BB80-938849F6E62A}">
      <dgm:prSet/>
      <dgm:spPr/>
      <dgm:t>
        <a:bodyPr/>
        <a:lstStyle/>
        <a:p>
          <a:endParaRPr lang="en-US"/>
        </a:p>
      </dgm:t>
    </dgm:pt>
    <dgm:pt modelId="{41055593-B746-4534-A97A-C90E20947EA2}">
      <dgm:prSet custT="1"/>
      <dgm:spPr>
        <a:xfrm>
          <a:off x="77729" y="305870"/>
          <a:ext cx="5843010" cy="32418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a:solidFill>
                <a:sysClr val="window" lastClr="FFFFFF"/>
              </a:solidFill>
              <a:latin typeface="Calibri"/>
              <a:ea typeface="+mn-ea"/>
              <a:cs typeface="+mn-cs"/>
            </a:rPr>
            <a:t>My Life Interview (Supports) - 98.9%</a:t>
          </a:r>
        </a:p>
      </dgm:t>
    </dgm:pt>
    <dgm:pt modelId="{C479FE92-25A9-484D-8247-F994676E9FC2}" type="parTrans" cxnId="{BE6D4791-A3C1-4D1D-8469-969DAE14FA76}">
      <dgm:prSet/>
      <dgm:spPr/>
      <dgm:t>
        <a:bodyPr/>
        <a:lstStyle/>
        <a:p>
          <a:endParaRPr lang="en-US"/>
        </a:p>
      </dgm:t>
    </dgm:pt>
    <dgm:pt modelId="{4A2F8B53-012E-4440-AD67-008B850756CB}" type="sibTrans" cxnId="{BE6D4791-A3C1-4D1D-8469-969DAE14FA76}">
      <dgm:prSet/>
      <dgm:spPr/>
      <dgm:t>
        <a:bodyPr/>
        <a:lstStyle/>
        <a:p>
          <a:endParaRPr lang="en-US"/>
        </a:p>
      </dgm:t>
    </dgm:pt>
    <dgm:pt modelId="{C7A3F06D-D595-4CAD-AEED-72A31ABB8206}">
      <dgm:prSet custT="1"/>
      <dgm:spPr>
        <a:xfrm>
          <a:off x="38864" y="1499945"/>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Qualifications and Training  -  Service Providers: 91.7%;  WSC: 95.0%</a:t>
          </a:r>
          <a:endParaRPr lang="en-US" sz="1200" b="1" dirty="0">
            <a:solidFill>
              <a:sysClr val="window" lastClr="FFFFFF"/>
            </a:solidFill>
            <a:latin typeface="Calibri"/>
            <a:ea typeface="+mn-ea"/>
            <a:cs typeface="+mn-cs"/>
          </a:endParaRPr>
        </a:p>
      </dgm:t>
    </dgm:pt>
    <dgm:pt modelId="{6BC3003E-665B-4F3F-812C-B1FF244DC69B}" type="sibTrans" cxnId="{BAC203C6-1630-462C-A782-21E0912F40F5}">
      <dgm:prSet/>
      <dgm:spPr/>
      <dgm:t>
        <a:bodyPr/>
        <a:lstStyle/>
        <a:p>
          <a:endParaRPr lang="en-US"/>
        </a:p>
      </dgm:t>
    </dgm:pt>
    <dgm:pt modelId="{741E7BDB-CBC8-4497-9ED0-1F155B39791C}" type="parTrans" cxnId="{BAC203C6-1630-462C-A782-21E0912F40F5}">
      <dgm:prSet/>
      <dgm:spPr/>
      <dgm:t>
        <a:bodyPr/>
        <a:lstStyle/>
        <a:p>
          <a:endParaRPr lang="en-US"/>
        </a:p>
      </dgm:t>
    </dgm:pt>
    <dgm:pt modelId="{23348A4E-E6B1-4945-AFEE-741BF6FD4F42}">
      <dgm:prSet custT="1"/>
      <dgm:spPr>
        <a:xfrm>
          <a:off x="38864" y="1209713"/>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Policies and Procedures  -  Service Providers: 92.3%; WSC : 95.1%</a:t>
          </a:r>
          <a:endParaRPr lang="en-US" sz="1200" b="1" dirty="0">
            <a:solidFill>
              <a:sysClr val="window" lastClr="FFFFFF"/>
            </a:solidFill>
            <a:latin typeface="Calibri"/>
            <a:ea typeface="+mn-ea"/>
            <a:cs typeface="+mn-cs"/>
          </a:endParaRPr>
        </a:p>
      </dgm:t>
    </dgm:pt>
    <dgm:pt modelId="{970648AD-2C0D-4E1C-8AFB-1C7A25ACF1C1}" type="sibTrans" cxnId="{1623E7A7-925B-4CD8-8C68-0084A11FAE9B}">
      <dgm:prSet/>
      <dgm:spPr/>
      <dgm:t>
        <a:bodyPr/>
        <a:lstStyle/>
        <a:p>
          <a:endParaRPr lang="en-US"/>
        </a:p>
      </dgm:t>
    </dgm:pt>
    <dgm:pt modelId="{8FE8D4EE-924D-43D6-B9A4-A248751F5BA1}" type="parTrans" cxnId="{1623E7A7-925B-4CD8-8C68-0084A11FAE9B}">
      <dgm:prSet/>
      <dgm:spPr/>
      <dgm:t>
        <a:bodyPr/>
        <a:lstStyle/>
        <a:p>
          <a:endParaRPr lang="en-US"/>
        </a:p>
      </dgm:t>
    </dgm:pt>
    <dgm:pt modelId="{55A1D4FA-1CC0-472E-8E63-53968928B011}" type="pres">
      <dgm:prSet presAssocID="{7D1E1B3A-E46E-46BF-830E-1317C18F136C}" presName="Name0" presStyleCnt="0">
        <dgm:presLayoutVars>
          <dgm:dir/>
          <dgm:animLvl val="lvl"/>
          <dgm:resizeHandles val="exact"/>
        </dgm:presLayoutVars>
      </dgm:prSet>
      <dgm:spPr/>
      <dgm:t>
        <a:bodyPr/>
        <a:lstStyle/>
        <a:p>
          <a:endParaRPr lang="en-US"/>
        </a:p>
      </dgm:t>
    </dgm:pt>
    <dgm:pt modelId="{C8DA2259-91BB-4428-BDBF-A3AE233BB153}" type="pres">
      <dgm:prSet presAssocID="{E4E1BE7E-F2AD-4686-80E3-D329167AF1D3}" presName="linNode" presStyleCnt="0"/>
      <dgm:spPr/>
    </dgm:pt>
    <dgm:pt modelId="{D8BA2630-89EC-4724-A63A-33355D50F33D}" type="pres">
      <dgm:prSet presAssocID="{E4E1BE7E-F2AD-4686-80E3-D329167AF1D3}" presName="parentText" presStyleLbl="node1" presStyleIdx="0" presStyleCnt="6" custScaleX="274061">
        <dgm:presLayoutVars>
          <dgm:chMax val="1"/>
          <dgm:bulletEnabled val="1"/>
        </dgm:presLayoutVars>
      </dgm:prSet>
      <dgm:spPr>
        <a:prstGeom prst="roundRect">
          <a:avLst/>
        </a:prstGeom>
      </dgm:spPr>
      <dgm:t>
        <a:bodyPr/>
        <a:lstStyle/>
        <a:p>
          <a:endParaRPr lang="en-US"/>
        </a:p>
      </dgm:t>
    </dgm:pt>
    <dgm:pt modelId="{BD3332C2-B2D0-4AAE-B1AB-C94C7F411023}" type="pres">
      <dgm:prSet presAssocID="{0ABA20AC-6E48-488C-BF04-5B5604C35C95}" presName="sp" presStyleCnt="0"/>
      <dgm:spPr/>
    </dgm:pt>
    <dgm:pt modelId="{7BDCF443-B20B-46E9-94E8-A30D73776FBC}" type="pres">
      <dgm:prSet presAssocID="{41055593-B746-4534-A97A-C90E20947EA2}" presName="linNode" presStyleCnt="0"/>
      <dgm:spPr/>
    </dgm:pt>
    <dgm:pt modelId="{39B0B6D7-FD08-40C8-B1AF-D076FBE579A5}" type="pres">
      <dgm:prSet presAssocID="{41055593-B746-4534-A97A-C90E20947EA2}" presName="parentText" presStyleLbl="node1" presStyleIdx="1" presStyleCnt="6" custScaleX="274399" custScaleY="117285" custLinFactNeighborX="-580" custLinFactNeighborY="5293">
        <dgm:presLayoutVars>
          <dgm:chMax val="1"/>
          <dgm:bulletEnabled val="1"/>
        </dgm:presLayoutVars>
      </dgm:prSet>
      <dgm:spPr/>
      <dgm:t>
        <a:bodyPr/>
        <a:lstStyle/>
        <a:p>
          <a:endParaRPr lang="en-US"/>
        </a:p>
      </dgm:t>
    </dgm:pt>
    <dgm:pt modelId="{4D2AE041-7A4E-40C1-80EC-AAC4C3237976}" type="pres">
      <dgm:prSet presAssocID="{4A2F8B53-012E-4440-AD67-008B850756CB}" presName="sp" presStyleCnt="0"/>
      <dgm:spPr/>
    </dgm:pt>
    <dgm:pt modelId="{6D11D414-36BF-4E78-8C57-C5F86AAFA385}" type="pres">
      <dgm:prSet presAssocID="{2F2DD207-6FA9-4740-9FC1-BE1FD3F57316}" presName="linNode" presStyleCnt="0"/>
      <dgm:spPr/>
    </dgm:pt>
    <dgm:pt modelId="{E988944D-5DD8-4859-8E59-901D9A18139B}" type="pres">
      <dgm:prSet presAssocID="{2F2DD207-6FA9-4740-9FC1-BE1FD3F57316}" presName="parentText" presStyleLbl="node1" presStyleIdx="2" presStyleCnt="6" custScaleX="274061">
        <dgm:presLayoutVars>
          <dgm:chMax val="1"/>
          <dgm:bulletEnabled val="1"/>
        </dgm:presLayoutVars>
      </dgm:prSet>
      <dgm:spPr>
        <a:prstGeom prst="roundRect">
          <a:avLst/>
        </a:prstGeom>
      </dgm:spPr>
      <dgm:t>
        <a:bodyPr/>
        <a:lstStyle/>
        <a:p>
          <a:endParaRPr lang="en-US"/>
        </a:p>
      </dgm:t>
    </dgm:pt>
    <dgm:pt modelId="{42BDEBBA-98C2-4FCD-91D4-B3851F850F95}" type="pres">
      <dgm:prSet presAssocID="{3B0B5F97-093F-44B3-A5A1-A50429BE0CB7}" presName="sp" presStyleCnt="0"/>
      <dgm:spPr/>
    </dgm:pt>
    <dgm:pt modelId="{13B4A0B7-5697-4A13-A00A-DA66292CB754}" type="pres">
      <dgm:prSet presAssocID="{39FE624F-A7C5-4B8A-AA53-F5A1BDB9D4B2}" presName="linNode" presStyleCnt="0"/>
      <dgm:spPr/>
    </dgm:pt>
    <dgm:pt modelId="{6E71E0F0-A01C-4FCA-A8CD-253D2E4A6D40}" type="pres">
      <dgm:prSet presAssocID="{39FE624F-A7C5-4B8A-AA53-F5A1BDB9D4B2}" presName="parentText" presStyleLbl="node1" presStyleIdx="3" presStyleCnt="6" custScaleX="274061">
        <dgm:presLayoutVars>
          <dgm:chMax val="1"/>
          <dgm:bulletEnabled val="1"/>
        </dgm:presLayoutVars>
      </dgm:prSet>
      <dgm:spPr>
        <a:prstGeom prst="roundRect">
          <a:avLst/>
        </a:prstGeom>
      </dgm:spPr>
      <dgm:t>
        <a:bodyPr/>
        <a:lstStyle/>
        <a:p>
          <a:endParaRPr lang="en-US"/>
        </a:p>
      </dgm:t>
    </dgm:pt>
    <dgm:pt modelId="{3E452CDE-BFFF-4050-820D-BBCA5125166A}" type="pres">
      <dgm:prSet presAssocID="{E2A62BC8-BC7E-4AFC-BF32-A725C272E6CE}" presName="sp" presStyleCnt="0"/>
      <dgm:spPr/>
    </dgm:pt>
    <dgm:pt modelId="{922629E8-5563-423F-BC4F-B6C5A16A84D7}" type="pres">
      <dgm:prSet presAssocID="{23348A4E-E6B1-4945-AFEE-741BF6FD4F42}" presName="linNode" presStyleCnt="0"/>
      <dgm:spPr/>
    </dgm:pt>
    <dgm:pt modelId="{E5CD1B79-6F6A-4F65-9B36-4180863580C9}" type="pres">
      <dgm:prSet presAssocID="{23348A4E-E6B1-4945-AFEE-741BF6FD4F42}" presName="parentText" presStyleLbl="node1" presStyleIdx="4" presStyleCnt="6" custScaleX="274061">
        <dgm:presLayoutVars>
          <dgm:chMax val="1"/>
          <dgm:bulletEnabled val="1"/>
        </dgm:presLayoutVars>
      </dgm:prSet>
      <dgm:spPr>
        <a:prstGeom prst="roundRect">
          <a:avLst/>
        </a:prstGeom>
      </dgm:spPr>
      <dgm:t>
        <a:bodyPr/>
        <a:lstStyle/>
        <a:p>
          <a:endParaRPr lang="en-US"/>
        </a:p>
      </dgm:t>
    </dgm:pt>
    <dgm:pt modelId="{360A6F66-1E4A-4321-A08C-9BB024D1A79A}" type="pres">
      <dgm:prSet presAssocID="{970648AD-2C0D-4E1C-8AFB-1C7A25ACF1C1}" presName="sp" presStyleCnt="0"/>
      <dgm:spPr/>
    </dgm:pt>
    <dgm:pt modelId="{EC0B8CD1-A019-4907-B026-25FBFC156E89}" type="pres">
      <dgm:prSet presAssocID="{C7A3F06D-D595-4CAD-AEED-72A31ABB8206}" presName="linNode" presStyleCnt="0"/>
      <dgm:spPr/>
    </dgm:pt>
    <dgm:pt modelId="{E761265B-4BCF-4366-97D9-7DD7081174E1}" type="pres">
      <dgm:prSet presAssocID="{C7A3F06D-D595-4CAD-AEED-72A31ABB8206}" presName="parentText" presStyleLbl="node1" presStyleIdx="5" presStyleCnt="6" custScaleX="274061">
        <dgm:presLayoutVars>
          <dgm:chMax val="1"/>
          <dgm:bulletEnabled val="1"/>
        </dgm:presLayoutVars>
      </dgm:prSet>
      <dgm:spPr>
        <a:prstGeom prst="roundRect">
          <a:avLst/>
        </a:prstGeom>
      </dgm:spPr>
      <dgm:t>
        <a:bodyPr/>
        <a:lstStyle/>
        <a:p>
          <a:endParaRPr lang="en-US"/>
        </a:p>
      </dgm:t>
    </dgm:pt>
  </dgm:ptLst>
  <dgm:cxnLst>
    <dgm:cxn modelId="{0C106F30-1B62-4F84-AEAF-FCE6A6A89E4F}" type="presOf" srcId="{C7A3F06D-D595-4CAD-AEED-72A31ABB8206}" destId="{E761265B-4BCF-4366-97D9-7DD7081174E1}" srcOrd="0" destOrd="0" presId="urn:microsoft.com/office/officeart/2005/8/layout/vList5"/>
    <dgm:cxn modelId="{1623E7A7-925B-4CD8-8C68-0084A11FAE9B}" srcId="{7D1E1B3A-E46E-46BF-830E-1317C18F136C}" destId="{23348A4E-E6B1-4945-AFEE-741BF6FD4F42}" srcOrd="4" destOrd="0" parTransId="{8FE8D4EE-924D-43D6-B9A4-A248751F5BA1}" sibTransId="{970648AD-2C0D-4E1C-8AFB-1C7A25ACF1C1}"/>
    <dgm:cxn modelId="{59B0989A-A796-42B3-8526-EE6C1C25E652}" type="presOf" srcId="{23348A4E-E6B1-4945-AFEE-741BF6FD4F42}" destId="{E5CD1B79-6F6A-4F65-9B36-4180863580C9}" srcOrd="0" destOrd="0" presId="urn:microsoft.com/office/officeart/2005/8/layout/vList5"/>
    <dgm:cxn modelId="{DD60D4E8-6502-49E6-BB80-938849F6E62A}" srcId="{7D1E1B3A-E46E-46BF-830E-1317C18F136C}" destId="{39FE624F-A7C5-4B8A-AA53-F5A1BDB9D4B2}" srcOrd="3" destOrd="0" parTransId="{7ECBF526-5F73-4519-ADB7-8499922B9486}" sibTransId="{E2A62BC8-BC7E-4AFC-BF32-A725C272E6CE}"/>
    <dgm:cxn modelId="{B3F3C793-277F-407E-9993-389E832A7F20}" srcId="{7D1E1B3A-E46E-46BF-830E-1317C18F136C}" destId="{2F2DD207-6FA9-4740-9FC1-BE1FD3F57316}" srcOrd="2" destOrd="0" parTransId="{A36A4174-54D3-475C-BB0D-E8674E3DC006}" sibTransId="{3B0B5F97-093F-44B3-A5A1-A50429BE0CB7}"/>
    <dgm:cxn modelId="{84B60007-C37C-41AE-BC42-550C9C72901B}" type="presOf" srcId="{2F2DD207-6FA9-4740-9FC1-BE1FD3F57316}" destId="{E988944D-5DD8-4859-8E59-901D9A18139B}" srcOrd="0" destOrd="0" presId="urn:microsoft.com/office/officeart/2005/8/layout/vList5"/>
    <dgm:cxn modelId="{FA9A0DE8-6814-4C6D-9802-563C67C782F4}" type="presOf" srcId="{41055593-B746-4534-A97A-C90E20947EA2}" destId="{39B0B6D7-FD08-40C8-B1AF-D076FBE579A5}" srcOrd="0" destOrd="0" presId="urn:microsoft.com/office/officeart/2005/8/layout/vList5"/>
    <dgm:cxn modelId="{490F76E4-5C3D-42E1-99FB-C2370E2B3F84}" type="presOf" srcId="{E4E1BE7E-F2AD-4686-80E3-D329167AF1D3}" destId="{D8BA2630-89EC-4724-A63A-33355D50F33D}" srcOrd="0" destOrd="0" presId="urn:microsoft.com/office/officeart/2005/8/layout/vList5"/>
    <dgm:cxn modelId="{A2E76CEC-3E8A-482C-96DE-2D422B5D47EE}" type="presOf" srcId="{39FE624F-A7C5-4B8A-AA53-F5A1BDB9D4B2}" destId="{6E71E0F0-A01C-4FCA-A8CD-253D2E4A6D40}" srcOrd="0" destOrd="0" presId="urn:microsoft.com/office/officeart/2005/8/layout/vList5"/>
    <dgm:cxn modelId="{A86F28C8-34F5-4F78-AC72-CC9340E2168D}" type="presOf" srcId="{7D1E1B3A-E46E-46BF-830E-1317C18F136C}" destId="{55A1D4FA-1CC0-472E-8E63-53968928B011}" srcOrd="0" destOrd="0" presId="urn:microsoft.com/office/officeart/2005/8/layout/vList5"/>
    <dgm:cxn modelId="{BE6D4791-A3C1-4D1D-8469-969DAE14FA76}" srcId="{7D1E1B3A-E46E-46BF-830E-1317C18F136C}" destId="{41055593-B746-4534-A97A-C90E20947EA2}" srcOrd="1" destOrd="0" parTransId="{C479FE92-25A9-484D-8247-F994676E9FC2}" sibTransId="{4A2F8B53-012E-4440-AD67-008B850756CB}"/>
    <dgm:cxn modelId="{6DA274EC-FD86-46AC-AB05-BE03365A71DA}" srcId="{7D1E1B3A-E46E-46BF-830E-1317C18F136C}" destId="{E4E1BE7E-F2AD-4686-80E3-D329167AF1D3}" srcOrd="0" destOrd="0" parTransId="{69D7FB87-CA75-4646-AE71-7CC8941BBDBB}" sibTransId="{0ABA20AC-6E48-488C-BF04-5B5604C35C95}"/>
    <dgm:cxn modelId="{BAC203C6-1630-462C-A782-21E0912F40F5}" srcId="{7D1E1B3A-E46E-46BF-830E-1317C18F136C}" destId="{C7A3F06D-D595-4CAD-AEED-72A31ABB8206}" srcOrd="5" destOrd="0" parTransId="{741E7BDB-CBC8-4497-9ED0-1F155B39791C}" sibTransId="{6BC3003E-665B-4F3F-812C-B1FF244DC69B}"/>
    <dgm:cxn modelId="{08AB3849-36FD-43ED-A1D2-45690077AE74}" type="presParOf" srcId="{55A1D4FA-1CC0-472E-8E63-53968928B011}" destId="{C8DA2259-91BB-4428-BDBF-A3AE233BB153}" srcOrd="0" destOrd="0" presId="urn:microsoft.com/office/officeart/2005/8/layout/vList5"/>
    <dgm:cxn modelId="{C8317966-7B83-46F3-937D-B0A346EA32C2}" type="presParOf" srcId="{C8DA2259-91BB-4428-BDBF-A3AE233BB153}" destId="{D8BA2630-89EC-4724-A63A-33355D50F33D}" srcOrd="0" destOrd="0" presId="urn:microsoft.com/office/officeart/2005/8/layout/vList5"/>
    <dgm:cxn modelId="{C7F9F1CF-0118-4D70-A104-3662A94B4FAE}" type="presParOf" srcId="{55A1D4FA-1CC0-472E-8E63-53968928B011}" destId="{BD3332C2-B2D0-4AAE-B1AB-C94C7F411023}" srcOrd="1" destOrd="0" presId="urn:microsoft.com/office/officeart/2005/8/layout/vList5"/>
    <dgm:cxn modelId="{5596C33B-EE2E-4FD2-955A-3529FCBBCE0E}" type="presParOf" srcId="{55A1D4FA-1CC0-472E-8E63-53968928B011}" destId="{7BDCF443-B20B-46E9-94E8-A30D73776FBC}" srcOrd="2" destOrd="0" presId="urn:microsoft.com/office/officeart/2005/8/layout/vList5"/>
    <dgm:cxn modelId="{D7EA83EB-F792-4292-B057-F94051229EB6}" type="presParOf" srcId="{7BDCF443-B20B-46E9-94E8-A30D73776FBC}" destId="{39B0B6D7-FD08-40C8-B1AF-D076FBE579A5}" srcOrd="0" destOrd="0" presId="urn:microsoft.com/office/officeart/2005/8/layout/vList5"/>
    <dgm:cxn modelId="{8E0A97BA-CA90-426F-BC7D-57503D64D0B6}" type="presParOf" srcId="{55A1D4FA-1CC0-472E-8E63-53968928B011}" destId="{4D2AE041-7A4E-40C1-80EC-AAC4C3237976}" srcOrd="3" destOrd="0" presId="urn:microsoft.com/office/officeart/2005/8/layout/vList5"/>
    <dgm:cxn modelId="{1821A588-7FBA-4E47-843F-ACF592FFFE99}" type="presParOf" srcId="{55A1D4FA-1CC0-472E-8E63-53968928B011}" destId="{6D11D414-36BF-4E78-8C57-C5F86AAFA385}" srcOrd="4" destOrd="0" presId="urn:microsoft.com/office/officeart/2005/8/layout/vList5"/>
    <dgm:cxn modelId="{87B3A96C-C184-4296-9F46-CA71080DF001}" type="presParOf" srcId="{6D11D414-36BF-4E78-8C57-C5F86AAFA385}" destId="{E988944D-5DD8-4859-8E59-901D9A18139B}" srcOrd="0" destOrd="0" presId="urn:microsoft.com/office/officeart/2005/8/layout/vList5"/>
    <dgm:cxn modelId="{88D9E73F-F6E7-4C23-8F8B-4DAD55524AF6}" type="presParOf" srcId="{55A1D4FA-1CC0-472E-8E63-53968928B011}" destId="{42BDEBBA-98C2-4FCD-91D4-B3851F850F95}" srcOrd="5" destOrd="0" presId="urn:microsoft.com/office/officeart/2005/8/layout/vList5"/>
    <dgm:cxn modelId="{03079D08-225B-4ADC-B67E-A5A8E8C38FE5}" type="presParOf" srcId="{55A1D4FA-1CC0-472E-8E63-53968928B011}" destId="{13B4A0B7-5697-4A13-A00A-DA66292CB754}" srcOrd="6" destOrd="0" presId="urn:microsoft.com/office/officeart/2005/8/layout/vList5"/>
    <dgm:cxn modelId="{9A566972-DCC7-439C-92BA-F679476A33E6}" type="presParOf" srcId="{13B4A0B7-5697-4A13-A00A-DA66292CB754}" destId="{6E71E0F0-A01C-4FCA-A8CD-253D2E4A6D40}" srcOrd="0" destOrd="0" presId="urn:microsoft.com/office/officeart/2005/8/layout/vList5"/>
    <dgm:cxn modelId="{9549300C-E634-4FE4-903A-118CF1213D8F}" type="presParOf" srcId="{55A1D4FA-1CC0-472E-8E63-53968928B011}" destId="{3E452CDE-BFFF-4050-820D-BBCA5125166A}" srcOrd="7" destOrd="0" presId="urn:microsoft.com/office/officeart/2005/8/layout/vList5"/>
    <dgm:cxn modelId="{A01016F6-0F98-4719-8729-02629B571F89}" type="presParOf" srcId="{55A1D4FA-1CC0-472E-8E63-53968928B011}" destId="{922629E8-5563-423F-BC4F-B6C5A16A84D7}" srcOrd="8" destOrd="0" presId="urn:microsoft.com/office/officeart/2005/8/layout/vList5"/>
    <dgm:cxn modelId="{E213563A-0980-4043-83F0-9EE1692AF969}" type="presParOf" srcId="{922629E8-5563-423F-BC4F-B6C5A16A84D7}" destId="{E5CD1B79-6F6A-4F65-9B36-4180863580C9}" srcOrd="0" destOrd="0" presId="urn:microsoft.com/office/officeart/2005/8/layout/vList5"/>
    <dgm:cxn modelId="{1A77214A-4710-443F-98F5-5D7EA5C031CB}" type="presParOf" srcId="{55A1D4FA-1CC0-472E-8E63-53968928B011}" destId="{360A6F66-1E4A-4321-A08C-9BB024D1A79A}" srcOrd="9" destOrd="0" presId="urn:microsoft.com/office/officeart/2005/8/layout/vList5"/>
    <dgm:cxn modelId="{926E2C31-B0A5-45F6-9C4D-B0214F0BFFC1}" type="presParOf" srcId="{55A1D4FA-1CC0-472E-8E63-53968928B011}" destId="{EC0B8CD1-A019-4907-B026-25FBFC156E89}" srcOrd="10" destOrd="0" presId="urn:microsoft.com/office/officeart/2005/8/layout/vList5"/>
    <dgm:cxn modelId="{A09A2DE5-762D-4F15-A77C-1B5AAF8B3C58}" type="presParOf" srcId="{EC0B8CD1-A019-4907-B026-25FBFC156E89}" destId="{E761265B-4BCF-4366-97D9-7DD7081174E1}" srcOrd="0" destOrd="0" presId="urn:microsoft.com/office/officeart/2005/8/layout/vList5"/>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CDF150-561F-4186-B329-C26CC9BC4C04}">
      <dsp:nvSpPr>
        <dsp:cNvPr id="0" name=""/>
        <dsp:cNvSpPr/>
      </dsp:nvSpPr>
      <dsp:spPr>
        <a:xfrm rot="5400000">
          <a:off x="3568277" y="-1400586"/>
          <a:ext cx="714505" cy="3694616"/>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altLang="en-US" sz="1100" kern="1200" dirty="0" smtClean="0">
              <a:solidFill>
                <a:sysClr val="windowText" lastClr="000000">
                  <a:hueOff val="0"/>
                  <a:satOff val="0"/>
                  <a:lumOff val="0"/>
                  <a:alphaOff val="0"/>
                </a:sysClr>
              </a:solidFill>
              <a:latin typeface="Calibri" panose="020F0502020204030204"/>
              <a:ea typeface="+mn-ea"/>
              <a:cs typeface="+mn-cs"/>
            </a:rPr>
            <a:t>Evaluate support delivery systems and quality of life from the perspective of the person receiving services. </a:t>
          </a:r>
          <a:endParaRPr lang="en-US" sz="1100" kern="1200" dirty="0">
            <a:solidFill>
              <a:sysClr val="windowText" lastClr="000000">
                <a:hueOff val="0"/>
                <a:satOff val="0"/>
                <a:lumOff val="0"/>
                <a:alphaOff val="0"/>
              </a:sysClr>
            </a:solidFill>
            <a:latin typeface="Calibri" panose="020F0502020204030204"/>
            <a:ea typeface="+mn-ea"/>
            <a:cs typeface="+mn-cs"/>
          </a:endParaRPr>
        </a:p>
      </dsp:txBody>
      <dsp:txXfrm rot="-5400000">
        <a:off x="2078222" y="124348"/>
        <a:ext cx="3659737" cy="644747"/>
      </dsp:txXfrm>
    </dsp:sp>
    <dsp:sp modelId="{264776B5-6B7A-4560-8EA4-4DA328DE99CF}">
      <dsp:nvSpPr>
        <dsp:cNvPr id="0" name=""/>
        <dsp:cNvSpPr/>
      </dsp:nvSpPr>
      <dsp:spPr>
        <a:xfrm>
          <a:off x="0" y="156"/>
          <a:ext cx="2078222" cy="893131"/>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Person Centered Review</a:t>
          </a:r>
        </a:p>
        <a:p>
          <a:pPr lvl="0" algn="ctr" defTabSz="533400">
            <a:lnSpc>
              <a:spcPct val="90000"/>
            </a:lnSpc>
            <a:spcBef>
              <a:spcPct val="0"/>
            </a:spcBef>
            <a:spcAft>
              <a:spcPct val="35000"/>
            </a:spcAft>
          </a:pPr>
          <a:r>
            <a:rPr lang="en-US" sz="1200" kern="1200" dirty="0" smtClean="0">
              <a:solidFill>
                <a:sysClr val="window" lastClr="FFFFFF"/>
              </a:solidFill>
              <a:latin typeface="Book Antiqua" panose="02040602050305030304" pitchFamily="18" charset="0"/>
              <a:ea typeface="+mn-ea"/>
              <a:cs typeface="+mn-cs"/>
            </a:rPr>
            <a:t> </a:t>
          </a:r>
          <a:r>
            <a:rPr lang="en-US" sz="1200" b="1" kern="1200" dirty="0" smtClean="0">
              <a:solidFill>
                <a:sysClr val="window" lastClr="FFFFFF"/>
              </a:solidFill>
              <a:latin typeface="Book Antiqua" panose="02040602050305030304" pitchFamily="18" charset="0"/>
              <a:ea typeface="+mn-ea"/>
              <a:cs typeface="+mn-cs"/>
            </a:rPr>
            <a:t>(PCR)</a:t>
          </a:r>
          <a:endParaRPr lang="en-US" sz="1200" b="1" kern="1200" dirty="0">
            <a:solidFill>
              <a:sysClr val="window" lastClr="FFFFFF"/>
            </a:solidFill>
            <a:latin typeface="Book Antiqua" panose="02040602050305030304" pitchFamily="18" charset="0"/>
            <a:ea typeface="+mn-ea"/>
            <a:cs typeface="+mn-cs"/>
          </a:endParaRPr>
        </a:p>
      </dsp:txBody>
      <dsp:txXfrm>
        <a:off x="43599" y="43755"/>
        <a:ext cx="1991024" cy="805933"/>
      </dsp:txXfrm>
    </dsp:sp>
    <dsp:sp modelId="{E3DF4219-28FF-439F-8346-E02124688808}">
      <dsp:nvSpPr>
        <dsp:cNvPr id="0" name=""/>
        <dsp:cNvSpPr/>
      </dsp:nvSpPr>
      <dsp:spPr>
        <a:xfrm rot="5400000">
          <a:off x="3564444" y="-428872"/>
          <a:ext cx="714505" cy="3691008"/>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altLang="en-US" sz="1100" kern="1200" dirty="0" smtClean="0">
              <a:solidFill>
                <a:sysClr val="windowText" lastClr="000000">
                  <a:hueOff val="0"/>
                  <a:satOff val="0"/>
                  <a:lumOff val="0"/>
                  <a:alphaOff val="0"/>
                </a:sysClr>
              </a:solidFill>
              <a:latin typeface="Calibri" panose="020F0502020204030204"/>
              <a:ea typeface="+mn-ea"/>
              <a:cs typeface="+mn-cs"/>
            </a:rPr>
            <a:t>Evaluate the extent to which providers use person centered planning and practices and provide services to promote opportunities for individuals receiving services.</a:t>
          </a:r>
          <a:endParaRPr lang="en-US" sz="1100" kern="1200" dirty="0">
            <a:solidFill>
              <a:sysClr val="windowText" lastClr="000000">
                <a:hueOff val="0"/>
                <a:satOff val="0"/>
                <a:lumOff val="0"/>
                <a:alphaOff val="0"/>
              </a:sysClr>
            </a:solidFill>
            <a:latin typeface="Calibri" panose="020F0502020204030204"/>
            <a:ea typeface="+mn-ea"/>
            <a:cs typeface="+mn-cs"/>
          </a:endParaRPr>
        </a:p>
      </dsp:txBody>
      <dsp:txXfrm rot="-5400000">
        <a:off x="2076193" y="1094258"/>
        <a:ext cx="3656129" cy="644747"/>
      </dsp:txXfrm>
    </dsp:sp>
    <dsp:sp modelId="{F03E834C-307E-4AEF-B7E4-9C367A0E7B72}">
      <dsp:nvSpPr>
        <dsp:cNvPr id="0" name=""/>
        <dsp:cNvSpPr/>
      </dsp:nvSpPr>
      <dsp:spPr>
        <a:xfrm>
          <a:off x="0" y="937944"/>
          <a:ext cx="2076192" cy="957374"/>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Provider Discovery Review </a:t>
          </a:r>
        </a:p>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(PDR)</a:t>
          </a:r>
          <a:endParaRPr lang="en-US" sz="1200" b="1" kern="1200" dirty="0">
            <a:solidFill>
              <a:sysClr val="window" lastClr="FFFFFF"/>
            </a:solidFill>
            <a:latin typeface="Book Antiqua" panose="02040602050305030304" pitchFamily="18" charset="0"/>
            <a:ea typeface="+mn-ea"/>
            <a:cs typeface="+mn-cs"/>
          </a:endParaRPr>
        </a:p>
      </dsp:txBody>
      <dsp:txXfrm>
        <a:off x="46735" y="984679"/>
        <a:ext cx="1982722" cy="8639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A18407-F696-4253-94C7-144D9DB23239}">
      <dsp:nvSpPr>
        <dsp:cNvPr id="0" name=""/>
        <dsp:cNvSpPr/>
      </dsp:nvSpPr>
      <dsp:spPr>
        <a:xfrm>
          <a:off x="2765825" y="1577351"/>
          <a:ext cx="400172" cy="618456"/>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US" sz="1100" kern="1200" dirty="0" smtClean="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dsp:txBody>
      <dsp:txXfrm>
        <a:off x="2824429" y="1667922"/>
        <a:ext cx="282964" cy="437314"/>
      </dsp:txXfrm>
    </dsp:sp>
    <dsp:sp modelId="{4F6D7D48-91FB-4060-BFE9-A4A3220B65C9}">
      <dsp:nvSpPr>
        <dsp:cNvPr id="0" name=""/>
        <dsp:cNvSpPr/>
      </dsp:nvSpPr>
      <dsp:spPr>
        <a:xfrm rot="11070146">
          <a:off x="1594327" y="1688921"/>
          <a:ext cx="1109116" cy="266644"/>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CC81915-E8B3-4711-A953-2D236B0EB19D}">
      <dsp:nvSpPr>
        <dsp:cNvPr id="0" name=""/>
        <dsp:cNvSpPr/>
      </dsp:nvSpPr>
      <dsp:spPr>
        <a:xfrm>
          <a:off x="1081566" y="1347101"/>
          <a:ext cx="1028945" cy="863217"/>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My Life Interview</a:t>
          </a:r>
        </a:p>
      </dsp:txBody>
      <dsp:txXfrm>
        <a:off x="1106849" y="1372384"/>
        <a:ext cx="978379" cy="812651"/>
      </dsp:txXfrm>
    </dsp:sp>
    <dsp:sp modelId="{664B9BDB-99BB-450A-8FED-A691CE8A537F}">
      <dsp:nvSpPr>
        <dsp:cNvPr id="0" name=""/>
        <dsp:cNvSpPr/>
      </dsp:nvSpPr>
      <dsp:spPr>
        <a:xfrm rot="13499490">
          <a:off x="1717434" y="1108747"/>
          <a:ext cx="1207550" cy="266644"/>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6FBD0E-3BA9-4488-AEE5-5E507973319E}">
      <dsp:nvSpPr>
        <dsp:cNvPr id="0" name=""/>
        <dsp:cNvSpPr/>
      </dsp:nvSpPr>
      <dsp:spPr>
        <a:xfrm>
          <a:off x="1377576" y="385432"/>
          <a:ext cx="1033273" cy="859533"/>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WSC</a:t>
          </a:r>
        </a:p>
        <a:p>
          <a:pPr lvl="0" algn="ctr" defTabSz="488950">
            <a:lnSpc>
              <a:spcPct val="90000"/>
            </a:lnSpc>
            <a:spcBef>
              <a:spcPct val="0"/>
            </a:spcBef>
            <a:spcAft>
              <a:spcPct val="35000"/>
            </a:spcAft>
          </a:pPr>
          <a:r>
            <a:rPr lang="en-US" sz="1100" b="1" kern="1200" dirty="0" smtClean="0">
              <a:solidFill>
                <a:sysClr val="window" lastClr="FFFFFF"/>
              </a:solidFill>
              <a:latin typeface="Calibri"/>
              <a:ea typeface="+mn-ea"/>
              <a:cs typeface="+mn-cs"/>
            </a:rPr>
            <a:t>Record </a:t>
          </a:r>
          <a:r>
            <a:rPr lang="en-US" sz="1100" b="1" kern="1200" dirty="0">
              <a:solidFill>
                <a:sysClr val="window" lastClr="FFFFFF"/>
              </a:solidFill>
              <a:latin typeface="Calibri"/>
              <a:ea typeface="+mn-ea"/>
              <a:cs typeface="+mn-cs"/>
            </a:rPr>
            <a:t>Review</a:t>
          </a:r>
        </a:p>
      </dsp:txBody>
      <dsp:txXfrm>
        <a:off x="1402751" y="410607"/>
        <a:ext cx="982923" cy="809183"/>
      </dsp:txXfrm>
    </dsp:sp>
    <dsp:sp modelId="{3FF3BB7F-9DEC-4E59-AA4D-11174C24BC8E}">
      <dsp:nvSpPr>
        <dsp:cNvPr id="0" name=""/>
        <dsp:cNvSpPr/>
      </dsp:nvSpPr>
      <dsp:spPr>
        <a:xfrm rot="16213730">
          <a:off x="2419085" y="829443"/>
          <a:ext cx="1101030" cy="266644"/>
        </a:xfrm>
        <a:prstGeom prst="leftArrow">
          <a:avLst>
            <a:gd name="adj1" fmla="val 60000"/>
            <a:gd name="adj2" fmla="val 50000"/>
          </a:avLst>
        </a:prstGeom>
        <a:solidFill>
          <a:srgbClr val="F7964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B72993F-0DBA-468C-A894-A852EBCCD1F9}">
      <dsp:nvSpPr>
        <dsp:cNvPr id="0" name=""/>
        <dsp:cNvSpPr/>
      </dsp:nvSpPr>
      <dsp:spPr>
        <a:xfrm>
          <a:off x="2457327" y="-19353"/>
          <a:ext cx="1028945" cy="863217"/>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smtClean="0">
              <a:solidFill>
                <a:sysClr val="window" lastClr="FFFFFF"/>
              </a:solidFill>
              <a:latin typeface="Calibri"/>
              <a:ea typeface="+mn-ea"/>
              <a:cs typeface="+mn-cs"/>
            </a:rPr>
            <a:t>CDC+ Consultant Record Review</a:t>
          </a:r>
          <a:endParaRPr lang="en-US" sz="1100" b="1" kern="1200" dirty="0">
            <a:solidFill>
              <a:sysClr val="window" lastClr="FFFFFF"/>
            </a:solidFill>
            <a:latin typeface="Calibri"/>
            <a:ea typeface="+mn-ea"/>
            <a:cs typeface="+mn-cs"/>
          </a:endParaRPr>
        </a:p>
      </dsp:txBody>
      <dsp:txXfrm>
        <a:off x="2482610" y="5930"/>
        <a:ext cx="978379" cy="812651"/>
      </dsp:txXfrm>
    </dsp:sp>
    <dsp:sp modelId="{53430D49-F399-49DB-899A-576A97933B7F}">
      <dsp:nvSpPr>
        <dsp:cNvPr id="0" name=""/>
        <dsp:cNvSpPr/>
      </dsp:nvSpPr>
      <dsp:spPr>
        <a:xfrm rot="19052495">
          <a:off x="3033831" y="1150203"/>
          <a:ext cx="1182315" cy="266644"/>
        </a:xfrm>
        <a:prstGeom prst="lef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C412939A-1927-4304-B3E0-0A2B530008DF}">
      <dsp:nvSpPr>
        <dsp:cNvPr id="0" name=""/>
        <dsp:cNvSpPr/>
      </dsp:nvSpPr>
      <dsp:spPr>
        <a:xfrm>
          <a:off x="3546653" y="452853"/>
          <a:ext cx="1028945" cy="863217"/>
        </a:xfrm>
        <a:prstGeom prst="roundRect">
          <a:avLst>
            <a:gd name="adj" fmla="val 10000"/>
          </a:avLst>
        </a:prstGeom>
        <a:solidFill>
          <a:schemeClr val="accent6">
            <a:lumMod val="75000"/>
          </a:scheme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CDC+ Rep Record Review</a:t>
          </a:r>
        </a:p>
      </dsp:txBody>
      <dsp:txXfrm>
        <a:off x="3571936" y="478136"/>
        <a:ext cx="978379" cy="812651"/>
      </dsp:txXfrm>
    </dsp:sp>
    <dsp:sp modelId="{44817EB6-AF37-4B1D-9049-BAD2F540D93C}">
      <dsp:nvSpPr>
        <dsp:cNvPr id="0" name=""/>
        <dsp:cNvSpPr/>
      </dsp:nvSpPr>
      <dsp:spPr>
        <a:xfrm rot="21355184">
          <a:off x="3229364" y="1694530"/>
          <a:ext cx="1119619" cy="266644"/>
        </a:xfrm>
        <a:prstGeom prst="leftArrow">
          <a:avLst>
            <a:gd name="adj1" fmla="val 60000"/>
            <a:gd name="adj2" fmla="val 5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a:schemeClr val="lt1"/>
        </a:fontRef>
      </dsp:style>
    </dsp:sp>
    <dsp:sp modelId="{46B83B37-0769-4CBB-BA16-1B1BEC775B8A}">
      <dsp:nvSpPr>
        <dsp:cNvPr id="0" name=""/>
        <dsp:cNvSpPr/>
      </dsp:nvSpPr>
      <dsp:spPr>
        <a:xfrm>
          <a:off x="3833092" y="1356411"/>
          <a:ext cx="1028945" cy="863217"/>
        </a:xfrm>
        <a:prstGeom prst="roundRect">
          <a:avLst>
            <a:gd name="adj" fmla="val 10000"/>
          </a:avLst>
        </a:prstGeom>
        <a:solidFill>
          <a:schemeClr val="accent1">
            <a:lumMod val="50000"/>
          </a:scheme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Health Summary</a:t>
          </a:r>
        </a:p>
      </dsp:txBody>
      <dsp:txXfrm>
        <a:off x="3858375" y="1381694"/>
        <a:ext cx="978379" cy="8126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A18407-F696-4253-94C7-144D9DB23239}">
      <dsp:nvSpPr>
        <dsp:cNvPr id="0" name=""/>
        <dsp:cNvSpPr/>
      </dsp:nvSpPr>
      <dsp:spPr>
        <a:xfrm>
          <a:off x="2740647" y="1767972"/>
          <a:ext cx="449104" cy="694079"/>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US" sz="1100" kern="1200" dirty="0" smtClean="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dsp:txBody>
      <dsp:txXfrm>
        <a:off x="2806417" y="1869618"/>
        <a:ext cx="317564" cy="490787"/>
      </dsp:txXfrm>
    </dsp:sp>
    <dsp:sp modelId="{4F6D7D48-91FB-4060-BFE9-A4A3220B65C9}">
      <dsp:nvSpPr>
        <dsp:cNvPr id="0" name=""/>
        <dsp:cNvSpPr/>
      </dsp:nvSpPr>
      <dsp:spPr>
        <a:xfrm rot="11046913">
          <a:off x="1428099" y="1899486"/>
          <a:ext cx="1242276" cy="299249"/>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CC81915-E8B3-4711-A953-2D236B0EB19D}">
      <dsp:nvSpPr>
        <dsp:cNvPr id="0" name=""/>
        <dsp:cNvSpPr/>
      </dsp:nvSpPr>
      <dsp:spPr>
        <a:xfrm>
          <a:off x="913067" y="1574767"/>
          <a:ext cx="1033267" cy="859539"/>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My Life Interview</a:t>
          </a:r>
        </a:p>
      </dsp:txBody>
      <dsp:txXfrm>
        <a:off x="938242" y="1599942"/>
        <a:ext cx="982917" cy="809189"/>
      </dsp:txXfrm>
    </dsp:sp>
    <dsp:sp modelId="{664B9BDB-99BB-450A-8FED-A691CE8A537F}">
      <dsp:nvSpPr>
        <dsp:cNvPr id="0" name=""/>
        <dsp:cNvSpPr/>
      </dsp:nvSpPr>
      <dsp:spPr>
        <a:xfrm rot="13227668">
          <a:off x="1454232" y="1282829"/>
          <a:ext cx="1421390" cy="299249"/>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6FBD0E-3BA9-4488-AEE5-5E507973319E}">
      <dsp:nvSpPr>
        <dsp:cNvPr id="0" name=""/>
        <dsp:cNvSpPr/>
      </dsp:nvSpPr>
      <dsp:spPr>
        <a:xfrm>
          <a:off x="1107563" y="541490"/>
          <a:ext cx="1033267" cy="859539"/>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 lastClr="FFFFFF"/>
              </a:solidFill>
              <a:latin typeface="Calibri"/>
              <a:ea typeface="+mn-ea"/>
              <a:cs typeface="+mn-cs"/>
            </a:rPr>
            <a:t>Service Specific Record </a:t>
          </a:r>
          <a:r>
            <a:rPr lang="en-US" sz="1100" b="1" kern="1200" dirty="0">
              <a:solidFill>
                <a:sysClr val="window" lastClr="FFFFFF"/>
              </a:solidFill>
              <a:latin typeface="Calibri"/>
              <a:ea typeface="+mn-ea"/>
              <a:cs typeface="+mn-cs"/>
            </a:rPr>
            <a:t>Review</a:t>
          </a:r>
        </a:p>
      </dsp:txBody>
      <dsp:txXfrm>
        <a:off x="1132738" y="566665"/>
        <a:ext cx="982917" cy="809189"/>
      </dsp:txXfrm>
    </dsp:sp>
    <dsp:sp modelId="{3FF3BB7F-9DEC-4E59-AA4D-11174C24BC8E}">
      <dsp:nvSpPr>
        <dsp:cNvPr id="0" name=""/>
        <dsp:cNvSpPr/>
      </dsp:nvSpPr>
      <dsp:spPr>
        <a:xfrm rot="16154037">
          <a:off x="2338525" y="934255"/>
          <a:ext cx="1225774" cy="299249"/>
        </a:xfrm>
        <a:prstGeom prst="leftArrow">
          <a:avLst>
            <a:gd name="adj1" fmla="val 60000"/>
            <a:gd name="adj2" fmla="val 50000"/>
          </a:avLst>
        </a:prstGeom>
        <a:solidFill>
          <a:srgbClr val="F7964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B72993F-0DBA-468C-A894-A852EBCCD1F9}">
      <dsp:nvSpPr>
        <dsp:cNvPr id="0" name=""/>
        <dsp:cNvSpPr/>
      </dsp:nvSpPr>
      <dsp:spPr>
        <a:xfrm>
          <a:off x="2426584" y="41277"/>
          <a:ext cx="1033267" cy="859539"/>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smtClean="0">
              <a:solidFill>
                <a:sysClr val="window" lastClr="FFFFFF"/>
              </a:solidFill>
              <a:latin typeface="Calibri"/>
              <a:ea typeface="+mn-ea"/>
              <a:cs typeface="+mn-cs"/>
            </a:rPr>
            <a:t>Observations (temporarily stopped)</a:t>
          </a:r>
          <a:endParaRPr lang="en-US" sz="1100" b="1" kern="1200" dirty="0">
            <a:solidFill>
              <a:sysClr val="window" lastClr="FFFFFF"/>
            </a:solidFill>
            <a:latin typeface="Calibri"/>
            <a:ea typeface="+mn-ea"/>
            <a:cs typeface="+mn-cs"/>
          </a:endParaRPr>
        </a:p>
      </dsp:txBody>
      <dsp:txXfrm>
        <a:off x="2451759" y="66452"/>
        <a:ext cx="982917" cy="809189"/>
      </dsp:txXfrm>
    </dsp:sp>
    <dsp:sp modelId="{53430D49-F399-49DB-899A-576A97933B7F}">
      <dsp:nvSpPr>
        <dsp:cNvPr id="0" name=""/>
        <dsp:cNvSpPr/>
      </dsp:nvSpPr>
      <dsp:spPr>
        <a:xfrm rot="18960265">
          <a:off x="3022761" y="1258101"/>
          <a:ext cx="1349936" cy="299249"/>
        </a:xfrm>
        <a:prstGeom prst="leftArrow">
          <a:avLst>
            <a:gd name="adj1" fmla="val 60000"/>
            <a:gd name="adj2" fmla="val 50000"/>
          </a:avLst>
        </a:prstGeom>
        <a:solidFill>
          <a:srgbClr val="70AD47">
            <a:lumMod val="75000"/>
          </a:srgbClr>
        </a:solidFill>
        <a:ln>
          <a:noFill/>
        </a:ln>
        <a:effectLst/>
      </dsp:spPr>
      <dsp:style>
        <a:lnRef idx="0">
          <a:scrgbClr r="0" g="0" b="0"/>
        </a:lnRef>
        <a:fillRef idx="1">
          <a:scrgbClr r="0" g="0" b="0"/>
        </a:fillRef>
        <a:effectRef idx="0">
          <a:scrgbClr r="0" g="0" b="0"/>
        </a:effectRef>
        <a:fontRef idx="minor">
          <a:schemeClr val="lt1"/>
        </a:fontRef>
      </dsp:style>
    </dsp:sp>
    <dsp:sp modelId="{C412939A-1927-4304-B3E0-0A2B530008DF}">
      <dsp:nvSpPr>
        <dsp:cNvPr id="0" name=""/>
        <dsp:cNvSpPr/>
      </dsp:nvSpPr>
      <dsp:spPr>
        <a:xfrm>
          <a:off x="3666663" y="509121"/>
          <a:ext cx="1033267" cy="859539"/>
        </a:xfrm>
        <a:prstGeom prst="roundRect">
          <a:avLst>
            <a:gd name="adj" fmla="val 10000"/>
          </a:avLst>
        </a:prstGeom>
        <a:solidFill>
          <a:srgbClr val="70AD47">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Policies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&amp;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Procedures</a:t>
          </a:r>
        </a:p>
      </dsp:txBody>
      <dsp:txXfrm>
        <a:off x="3691838" y="534296"/>
        <a:ext cx="982917" cy="809189"/>
      </dsp:txXfrm>
    </dsp:sp>
    <dsp:sp modelId="{44817EB6-AF37-4B1D-9049-BAD2F540D93C}">
      <dsp:nvSpPr>
        <dsp:cNvPr id="0" name=""/>
        <dsp:cNvSpPr/>
      </dsp:nvSpPr>
      <dsp:spPr>
        <a:xfrm rot="21301273">
          <a:off x="3258352" y="1886305"/>
          <a:ext cx="1229284" cy="299249"/>
        </a:xfrm>
        <a:prstGeom prst="leftArrow">
          <a:avLst>
            <a:gd name="adj1" fmla="val 60000"/>
            <a:gd name="adj2" fmla="val 50000"/>
          </a:avLst>
        </a:prstGeom>
        <a:solidFill>
          <a:srgbClr val="5B9BD5">
            <a:lumMod val="50000"/>
          </a:srgbClr>
        </a:solidFill>
        <a:ln>
          <a:noFill/>
        </a:ln>
        <a:effectLst/>
      </dsp:spPr>
      <dsp:style>
        <a:lnRef idx="0">
          <a:scrgbClr r="0" g="0" b="0"/>
        </a:lnRef>
        <a:fillRef idx="1">
          <a:scrgbClr r="0" g="0" b="0"/>
        </a:fillRef>
        <a:effectRef idx="0">
          <a:scrgbClr r="0" g="0" b="0"/>
        </a:effectRef>
        <a:fontRef idx="minor">
          <a:schemeClr val="lt1"/>
        </a:fontRef>
      </dsp:style>
    </dsp:sp>
    <dsp:sp modelId="{46B83B37-0769-4CBB-BA16-1B1BEC775B8A}">
      <dsp:nvSpPr>
        <dsp:cNvPr id="0" name=""/>
        <dsp:cNvSpPr/>
      </dsp:nvSpPr>
      <dsp:spPr>
        <a:xfrm>
          <a:off x="3968684" y="1552817"/>
          <a:ext cx="1033267" cy="859539"/>
        </a:xfrm>
        <a:prstGeom prst="roundRect">
          <a:avLst>
            <a:gd name="adj" fmla="val 10000"/>
          </a:avLst>
        </a:prstGeom>
        <a:solidFill>
          <a:srgbClr val="5B9BD5">
            <a:lumMod val="50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Qualifications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&amp;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Training</a:t>
          </a:r>
        </a:p>
      </dsp:txBody>
      <dsp:txXfrm>
        <a:off x="3993859" y="1577992"/>
        <a:ext cx="982917" cy="80918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A9698-5FB5-4F9E-916B-8714C0CF8616}">
      <dsp:nvSpPr>
        <dsp:cNvPr id="0" name=""/>
        <dsp:cNvSpPr/>
      </dsp:nvSpPr>
      <dsp:spPr>
        <a:xfrm>
          <a:off x="462413" y="0"/>
          <a:ext cx="2182209" cy="162897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Waiver:</a:t>
          </a:r>
        </a:p>
        <a:p>
          <a:pPr marL="228600" lvl="2"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Outcome = 89.3%</a:t>
          </a:r>
        </a:p>
        <a:p>
          <a:pPr marL="228600" lvl="2"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Support = 97.9%</a:t>
          </a:r>
        </a:p>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CDC+:</a:t>
          </a:r>
        </a:p>
        <a:p>
          <a:pPr marL="228600" lvl="2"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Outcome = 91.9%</a:t>
          </a:r>
        </a:p>
        <a:p>
          <a:pPr marL="228600" lvl="2"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Support =  99.3%</a:t>
          </a:r>
        </a:p>
      </dsp:txBody>
      <dsp:txXfrm>
        <a:off x="500582" y="38169"/>
        <a:ext cx="2105871" cy="1590804"/>
      </dsp:txXfrm>
    </dsp:sp>
    <dsp:sp modelId="{2DA39965-4628-476B-B14D-6FAC89FAFA2E}">
      <dsp:nvSpPr>
        <dsp:cNvPr id="0" name=""/>
        <dsp:cNvSpPr/>
      </dsp:nvSpPr>
      <dsp:spPr>
        <a:xfrm>
          <a:off x="462413" y="1229220"/>
          <a:ext cx="2182209" cy="700458"/>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41910" tIns="0" rIns="13970" bIns="0" numCol="1" spcCol="1270" anchor="ctr" anchorCtr="0">
          <a:noAutofit/>
        </a:bodyPr>
        <a:lstStyle/>
        <a:p>
          <a:pPr lvl="0" algn="l" defTabSz="488950">
            <a:lnSpc>
              <a:spcPct val="90000"/>
            </a:lnSpc>
            <a:spcBef>
              <a:spcPct val="0"/>
            </a:spcBef>
            <a:spcAft>
              <a:spcPct val="35000"/>
            </a:spcAft>
          </a:pPr>
          <a:r>
            <a:rPr lang="en-US" sz="1100" b="0" kern="1200">
              <a:solidFill>
                <a:sysClr val="window" lastClr="FFFFFF"/>
              </a:solidFill>
              <a:latin typeface="Franklin Gothic Medium" panose="020B0603020102020204" pitchFamily="34" charset="0"/>
              <a:ea typeface="+mn-ea"/>
              <a:cs typeface="+mn-cs"/>
            </a:rPr>
            <a:t>My Life Interview</a:t>
          </a:r>
        </a:p>
      </dsp:txBody>
      <dsp:txXfrm>
        <a:off x="462413" y="1229220"/>
        <a:ext cx="1536767" cy="700458"/>
      </dsp:txXfrm>
    </dsp:sp>
    <dsp:sp modelId="{A767E46D-A9A2-49CB-87EE-2EB00AA81E8E}">
      <dsp:nvSpPr>
        <dsp:cNvPr id="0" name=""/>
        <dsp:cNvSpPr/>
      </dsp:nvSpPr>
      <dsp:spPr>
        <a:xfrm>
          <a:off x="2087690" y="1444565"/>
          <a:ext cx="850774" cy="845520"/>
        </a:xfrm>
        <a:prstGeom prst="ellipse">
          <a:avLst/>
        </a:prstGeom>
        <a:blipFill>
          <a:blip xmlns:r="http://schemas.openxmlformats.org/officeDocument/2006/relationships" r:embed="rId1">
            <a:duotone>
              <a:srgbClr val="4472C4">
                <a:shade val="45000"/>
                <a:satMod val="135000"/>
              </a:srgbClr>
              <a:prstClr val="white"/>
            </a:duotone>
            <a:extLst>
              <a:ext uri="{28A0092B-C50C-407E-A947-70E740481C1C}">
                <a14:useLocalDpi xmlns:a14="http://schemas.microsoft.com/office/drawing/2010/main" val="0"/>
              </a:ext>
            </a:extLst>
          </a:blip>
          <a:srcRect/>
          <a:stretch>
            <a:fillRect t="-1000" b="-1000"/>
          </a:stretch>
        </a:blipFill>
        <a:ln w="6350" cap="flat" cmpd="sng" algn="ctr">
          <a:solidFill>
            <a:srgbClr val="4472C4">
              <a:tint val="40000"/>
              <a:alpha val="9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 modelId="{91A46E57-8749-426A-A04C-AC622E496029}">
      <dsp:nvSpPr>
        <dsp:cNvPr id="0" name=""/>
        <dsp:cNvSpPr/>
      </dsp:nvSpPr>
      <dsp:spPr>
        <a:xfrm>
          <a:off x="3043025" y="0"/>
          <a:ext cx="2182209" cy="162897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WSC:</a:t>
          </a:r>
          <a:r>
            <a:rPr lang="en-US" sz="1200" kern="1200">
              <a:solidFill>
                <a:sysClr val="windowText" lastClr="000000">
                  <a:hueOff val="0"/>
                  <a:satOff val="0"/>
                  <a:lumOff val="0"/>
                  <a:alphaOff val="0"/>
                </a:sysClr>
              </a:solidFill>
              <a:latin typeface="Calibri" panose="020F0502020204030204"/>
              <a:ea typeface="+mn-ea"/>
              <a:cs typeface="+mn-cs"/>
            </a:rPr>
            <a:t> 95.3%</a:t>
          </a:r>
        </a:p>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CDC+ C: </a:t>
          </a:r>
          <a:r>
            <a:rPr lang="en-US" sz="1200" kern="1200">
              <a:solidFill>
                <a:sysClr val="windowText" lastClr="000000">
                  <a:hueOff val="0"/>
                  <a:satOff val="0"/>
                  <a:lumOff val="0"/>
                  <a:alphaOff val="0"/>
                </a:sysClr>
              </a:solidFill>
              <a:latin typeface="Calibri" panose="020F0502020204030204"/>
              <a:ea typeface="+mn-ea"/>
              <a:cs typeface="+mn-cs"/>
            </a:rPr>
            <a:t>97.9%</a:t>
          </a:r>
        </a:p>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CDC+ R: </a:t>
          </a:r>
          <a:r>
            <a:rPr lang="en-US" sz="1200" kern="1200">
              <a:solidFill>
                <a:sysClr val="windowText" lastClr="000000">
                  <a:hueOff val="0"/>
                  <a:satOff val="0"/>
                  <a:lumOff val="0"/>
                  <a:alphaOff val="0"/>
                </a:sysClr>
              </a:solidFill>
              <a:latin typeface="Calibri" panose="020F0502020204030204"/>
              <a:ea typeface="+mn-ea"/>
              <a:cs typeface="+mn-cs"/>
            </a:rPr>
            <a:t>92.9%</a:t>
          </a:r>
        </a:p>
      </dsp:txBody>
      <dsp:txXfrm>
        <a:off x="3081194" y="38169"/>
        <a:ext cx="2105871" cy="1590804"/>
      </dsp:txXfrm>
    </dsp:sp>
    <dsp:sp modelId="{D451F435-7C74-42F4-836E-871568094721}">
      <dsp:nvSpPr>
        <dsp:cNvPr id="0" name=""/>
        <dsp:cNvSpPr/>
      </dsp:nvSpPr>
      <dsp:spPr>
        <a:xfrm>
          <a:off x="3043025" y="1252845"/>
          <a:ext cx="2182209" cy="792877"/>
        </a:xfrm>
        <a:prstGeom prst="rec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w="6350" cap="flat" cmpd="sng" algn="ctr">
          <a:solidFill>
            <a:srgbClr val="4472C4">
              <a:hueOff val="-7353344"/>
              <a:satOff val="-10228"/>
              <a:lumOff val="-3922"/>
              <a:alphaOff val="0"/>
            </a:srgb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41910" tIns="0" rIns="13970" bIns="0" numCol="1" spcCol="1270" anchor="ctr" anchorCtr="0">
          <a:noAutofit/>
        </a:bodyPr>
        <a:lstStyle/>
        <a:p>
          <a:pPr lvl="0" algn="l" defTabSz="488950">
            <a:lnSpc>
              <a:spcPct val="90000"/>
            </a:lnSpc>
            <a:spcBef>
              <a:spcPct val="0"/>
            </a:spcBef>
            <a:spcAft>
              <a:spcPct val="35000"/>
            </a:spcAft>
          </a:pPr>
          <a:r>
            <a:rPr lang="en-US" sz="1100" b="0" kern="1200">
              <a:solidFill>
                <a:sysClr val="window" lastClr="FFFFFF"/>
              </a:solidFill>
              <a:latin typeface="Franklin Gothic Medium" panose="020B0603020102020204" pitchFamily="34" charset="0"/>
              <a:ea typeface="+mn-ea"/>
              <a:cs typeface="+mn-cs"/>
            </a:rPr>
            <a:t>Record Review</a:t>
          </a:r>
        </a:p>
      </dsp:txBody>
      <dsp:txXfrm>
        <a:off x="3043025" y="1252845"/>
        <a:ext cx="1536767" cy="792877"/>
      </dsp:txXfrm>
    </dsp:sp>
    <dsp:sp modelId="{E842D143-AD98-4D1D-B13D-02FD0EA53A32}">
      <dsp:nvSpPr>
        <dsp:cNvPr id="0" name=""/>
        <dsp:cNvSpPr/>
      </dsp:nvSpPr>
      <dsp:spPr>
        <a:xfrm>
          <a:off x="4619706" y="1436637"/>
          <a:ext cx="861475" cy="856090"/>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8000" b="-8000"/>
          </a:stretch>
        </a:blipFill>
        <a:ln w="6350" cap="flat" cmpd="sng" algn="ctr">
          <a:solidFill>
            <a:srgbClr val="4472C4">
              <a:tint val="40000"/>
              <a:alpha val="9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A2630-89EC-4724-A63A-33355D50F33D}">
      <dsp:nvSpPr>
        <dsp:cNvPr id="0" name=""/>
        <dsp:cNvSpPr/>
      </dsp:nvSpPr>
      <dsp:spPr>
        <a:xfrm>
          <a:off x="38939" y="684"/>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(Outcomes) - Waiver: 89.3%  CDC+: 91.9 %</a:t>
          </a:r>
          <a:endParaRPr lang="en-US" sz="1200" b="1" kern="1200" dirty="0">
            <a:solidFill>
              <a:sysClr val="window" lastClr="FFFFFF"/>
            </a:solidFill>
            <a:latin typeface="Calibri"/>
            <a:ea typeface="+mn-ea"/>
            <a:cs typeface="+mn-cs"/>
          </a:endParaRPr>
        </a:p>
      </dsp:txBody>
      <dsp:txXfrm>
        <a:off x="53556" y="15301"/>
        <a:ext cx="5713242" cy="270205"/>
      </dsp:txXfrm>
    </dsp:sp>
    <dsp:sp modelId="{16913C5C-F8E6-4B91-9589-E57A8D9644A9}">
      <dsp:nvSpPr>
        <dsp:cNvPr id="0" name=""/>
        <dsp:cNvSpPr/>
      </dsp:nvSpPr>
      <dsp:spPr>
        <a:xfrm>
          <a:off x="38939" y="315096"/>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(Supports)  - Waiver: 97.9% CDC+: 99.3%</a:t>
          </a:r>
          <a:endParaRPr lang="en-US" sz="1200" b="1" kern="1200" dirty="0">
            <a:solidFill>
              <a:sysClr val="window" lastClr="FFFFFF"/>
            </a:solidFill>
            <a:latin typeface="Calibri"/>
            <a:ea typeface="+mn-ea"/>
            <a:cs typeface="+mn-cs"/>
          </a:endParaRPr>
        </a:p>
      </dsp:txBody>
      <dsp:txXfrm>
        <a:off x="53556" y="329713"/>
        <a:ext cx="5713242" cy="270205"/>
      </dsp:txXfrm>
    </dsp:sp>
    <dsp:sp modelId="{64CB5956-7649-4CCF-83A9-5184FA55536E}">
      <dsp:nvSpPr>
        <dsp:cNvPr id="0" name=""/>
        <dsp:cNvSpPr/>
      </dsp:nvSpPr>
      <dsp:spPr>
        <a:xfrm>
          <a:off x="38939" y="629507"/>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Support Coordinator Record Review - 95.3%</a:t>
          </a:r>
          <a:endParaRPr lang="en-US" sz="1200" b="1" kern="1200" dirty="0">
            <a:solidFill>
              <a:sysClr val="window" lastClr="FFFFFF"/>
            </a:solidFill>
            <a:latin typeface="Calibri"/>
            <a:ea typeface="+mn-ea"/>
            <a:cs typeface="+mn-cs"/>
          </a:endParaRPr>
        </a:p>
      </dsp:txBody>
      <dsp:txXfrm>
        <a:off x="53556" y="644124"/>
        <a:ext cx="5713242" cy="270205"/>
      </dsp:txXfrm>
    </dsp:sp>
    <dsp:sp modelId="{E5CD1B79-6F6A-4F65-9B36-4180863580C9}">
      <dsp:nvSpPr>
        <dsp:cNvPr id="0" name=""/>
        <dsp:cNvSpPr/>
      </dsp:nvSpPr>
      <dsp:spPr>
        <a:xfrm>
          <a:off x="38939" y="943919"/>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CDC+ Consultant Record Review - 97.9%</a:t>
          </a:r>
          <a:endParaRPr lang="en-US" sz="1200" b="1" kern="1200" dirty="0">
            <a:solidFill>
              <a:sysClr val="window" lastClr="FFFFFF"/>
            </a:solidFill>
            <a:latin typeface="Calibri"/>
            <a:ea typeface="+mn-ea"/>
            <a:cs typeface="+mn-cs"/>
          </a:endParaRPr>
        </a:p>
      </dsp:txBody>
      <dsp:txXfrm>
        <a:off x="53556" y="958536"/>
        <a:ext cx="5713242" cy="270205"/>
      </dsp:txXfrm>
    </dsp:sp>
    <dsp:sp modelId="{E761265B-4BCF-4366-97D9-7DD7081174E1}">
      <dsp:nvSpPr>
        <dsp:cNvPr id="0" name=""/>
        <dsp:cNvSpPr/>
      </dsp:nvSpPr>
      <dsp:spPr>
        <a:xfrm>
          <a:off x="47404" y="1259015"/>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CDC+ Representative Review - 92.9%</a:t>
          </a:r>
          <a:endParaRPr lang="en-US" sz="1200" b="1" kern="1200" dirty="0">
            <a:solidFill>
              <a:sysClr val="window" lastClr="FFFFFF"/>
            </a:solidFill>
            <a:latin typeface="Calibri"/>
            <a:ea typeface="+mn-ea"/>
            <a:cs typeface="+mn-cs"/>
          </a:endParaRPr>
        </a:p>
      </dsp:txBody>
      <dsp:txXfrm>
        <a:off x="62021" y="1273632"/>
        <a:ext cx="5713242" cy="27020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A2630-89EC-4724-A63A-33355D50F33D}">
      <dsp:nvSpPr>
        <dsp:cNvPr id="0" name=""/>
        <dsp:cNvSpPr/>
      </dsp:nvSpPr>
      <dsp:spPr>
        <a:xfrm>
          <a:off x="38864" y="1007"/>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(Outcomes) - 91.2%</a:t>
          </a:r>
          <a:endParaRPr lang="en-US" sz="1200" b="1" kern="1200" dirty="0">
            <a:solidFill>
              <a:sysClr val="window" lastClr="FFFFFF"/>
            </a:solidFill>
            <a:latin typeface="Calibri"/>
            <a:ea typeface="+mn-ea"/>
            <a:cs typeface="+mn-cs"/>
          </a:endParaRPr>
        </a:p>
      </dsp:txBody>
      <dsp:txXfrm>
        <a:off x="52357" y="14500"/>
        <a:ext cx="5814532" cy="249425"/>
      </dsp:txXfrm>
    </dsp:sp>
    <dsp:sp modelId="{39B0B6D7-FD08-40C8-B1AF-D076FBE579A5}">
      <dsp:nvSpPr>
        <dsp:cNvPr id="0" name=""/>
        <dsp:cNvSpPr/>
      </dsp:nvSpPr>
      <dsp:spPr>
        <a:xfrm>
          <a:off x="26514" y="305870"/>
          <a:ext cx="5843010" cy="32418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a:solidFill>
                <a:sysClr val="window" lastClr="FFFFFF"/>
              </a:solidFill>
              <a:latin typeface="Calibri"/>
              <a:ea typeface="+mn-ea"/>
              <a:cs typeface="+mn-cs"/>
            </a:rPr>
            <a:t>My Life Interview (Supports) - 98.9%</a:t>
          </a:r>
        </a:p>
      </dsp:txBody>
      <dsp:txXfrm>
        <a:off x="42340" y="321696"/>
        <a:ext cx="5811358" cy="292537"/>
      </dsp:txXfrm>
    </dsp:sp>
    <dsp:sp modelId="{E988944D-5DD8-4859-8E59-901D9A18139B}">
      <dsp:nvSpPr>
        <dsp:cNvPr id="0" name=""/>
        <dsp:cNvSpPr/>
      </dsp:nvSpPr>
      <dsp:spPr>
        <a:xfrm>
          <a:off x="38864" y="629249"/>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Observations  -  Temporarily Stopped</a:t>
          </a:r>
          <a:endParaRPr lang="en-US" sz="1200" b="1" kern="1200" dirty="0">
            <a:solidFill>
              <a:sysClr val="window" lastClr="FFFFFF"/>
            </a:solidFill>
            <a:latin typeface="Calibri"/>
            <a:ea typeface="+mn-ea"/>
            <a:cs typeface="+mn-cs"/>
          </a:endParaRPr>
        </a:p>
      </dsp:txBody>
      <dsp:txXfrm>
        <a:off x="52357" y="642742"/>
        <a:ext cx="5814532" cy="249425"/>
      </dsp:txXfrm>
    </dsp:sp>
    <dsp:sp modelId="{6E71E0F0-A01C-4FCA-A8CD-253D2E4A6D40}">
      <dsp:nvSpPr>
        <dsp:cNvPr id="0" name=""/>
        <dsp:cNvSpPr/>
      </dsp:nvSpPr>
      <dsp:spPr>
        <a:xfrm>
          <a:off x="38864" y="919481"/>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Service Specific Record Reviews -  Service Providers: 91.7%; WSC: 95.9%</a:t>
          </a:r>
          <a:endParaRPr lang="en-US" sz="1200" b="1" kern="1200" dirty="0">
            <a:solidFill>
              <a:sysClr val="window" lastClr="FFFFFF"/>
            </a:solidFill>
            <a:latin typeface="Calibri"/>
            <a:ea typeface="+mn-ea"/>
            <a:cs typeface="+mn-cs"/>
          </a:endParaRPr>
        </a:p>
      </dsp:txBody>
      <dsp:txXfrm>
        <a:off x="52357" y="932974"/>
        <a:ext cx="5814532" cy="249425"/>
      </dsp:txXfrm>
    </dsp:sp>
    <dsp:sp modelId="{E5CD1B79-6F6A-4F65-9B36-4180863580C9}">
      <dsp:nvSpPr>
        <dsp:cNvPr id="0" name=""/>
        <dsp:cNvSpPr/>
      </dsp:nvSpPr>
      <dsp:spPr>
        <a:xfrm>
          <a:off x="38864" y="1209713"/>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Policies and Procedures  -  Service Providers: 92.3%; WSC : 95.1%</a:t>
          </a:r>
          <a:endParaRPr lang="en-US" sz="1200" b="1" kern="1200" dirty="0">
            <a:solidFill>
              <a:sysClr val="window" lastClr="FFFFFF"/>
            </a:solidFill>
            <a:latin typeface="Calibri"/>
            <a:ea typeface="+mn-ea"/>
            <a:cs typeface="+mn-cs"/>
          </a:endParaRPr>
        </a:p>
      </dsp:txBody>
      <dsp:txXfrm>
        <a:off x="52357" y="1223206"/>
        <a:ext cx="5814532" cy="249425"/>
      </dsp:txXfrm>
    </dsp:sp>
    <dsp:sp modelId="{E761265B-4BCF-4366-97D9-7DD7081174E1}">
      <dsp:nvSpPr>
        <dsp:cNvPr id="0" name=""/>
        <dsp:cNvSpPr/>
      </dsp:nvSpPr>
      <dsp:spPr>
        <a:xfrm>
          <a:off x="38864" y="1499945"/>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Qualifications and Training  -  Service Providers: 91.7%;  WSC: 95.0%</a:t>
          </a:r>
          <a:endParaRPr lang="en-US" sz="1200" b="1" kern="1200" dirty="0">
            <a:solidFill>
              <a:sysClr val="window" lastClr="FFFFFF"/>
            </a:solidFill>
            <a:latin typeface="Calibri"/>
            <a:ea typeface="+mn-ea"/>
            <a:cs typeface="+mn-cs"/>
          </a:endParaRPr>
        </a:p>
      </dsp:txBody>
      <dsp:txXfrm>
        <a:off x="52357" y="1513438"/>
        <a:ext cx="5814532" cy="24942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xSourceItemID xmlns="6e9b8435-1346-43cd-b817-8aa95282fcec" xsi:nil="true"/>
    <AxSourceListID xmlns="6e9b8435-1346-43cd-b817-8aa95282fce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593BB9B704DA147862BB7B120CD03F4" ma:contentTypeVersion="8" ma:contentTypeDescription="Create a new document." ma:contentTypeScope="" ma:versionID="0c9cd55a39ed63265bb2d45835664703">
  <xsd:schema xmlns:xsd="http://www.w3.org/2001/XMLSchema" xmlns:xs="http://www.w3.org/2001/XMLSchema" xmlns:p="http://schemas.microsoft.com/office/2006/metadata/properties" xmlns:ns2="6e9b8435-1346-43cd-b817-8aa95282fcec" xmlns:ns3="d22d0c17-5019-43c4-a5ef-f2cfe005557a" targetNamespace="http://schemas.microsoft.com/office/2006/metadata/properties" ma:root="true" ma:fieldsID="0c8e950e1fa7612fef7b6f765ec274fb" ns2:_="" ns3:_="">
    <xsd:import namespace="6e9b8435-1346-43cd-b817-8aa95282fcec"/>
    <xsd:import namespace="d22d0c17-5019-43c4-a5ef-f2cfe005557a"/>
    <xsd:element name="properties">
      <xsd:complexType>
        <xsd:sequence>
          <xsd:element name="documentManagement">
            <xsd:complexType>
              <xsd:all>
                <xsd:element ref="ns2:AxSourceListID" minOccurs="0"/>
                <xsd:element ref="ns2:AxSourceItem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9b8435-1346-43cd-b817-8aa95282fcec" elementFormDefault="qualified">
    <xsd:import namespace="http://schemas.microsoft.com/office/2006/documentManagement/types"/>
    <xsd:import namespace="http://schemas.microsoft.com/office/infopath/2007/PartnerControls"/>
    <xsd:element name="AxSourceListID" ma:index="8" nillable="true" ma:displayName="AxSourceListID" ma:hidden="true" ma:internalName="AxSourceListID">
      <xsd:simpleType>
        <xsd:restriction base="dms:Unknown"/>
      </xsd:simpleType>
    </xsd:element>
    <xsd:element name="AxSourceItemID" ma:index="9" nillable="true" ma:displayName="AxSourceItemID" ma:hidden="true" ma:internalName="AxSourceItemID">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22d0c17-5019-43c4-a5ef-f2cfe005557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81E71C-224F-4472-9FD7-9A3B814185FD}">
  <ds:schemaRefs>
    <ds:schemaRef ds:uri="http://purl.org/dc/dcmitype/"/>
    <ds:schemaRef ds:uri="6e9b8435-1346-43cd-b817-8aa95282fcec"/>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www.w3.org/XML/1998/namespace"/>
    <ds:schemaRef ds:uri="http://schemas.openxmlformats.org/package/2006/metadata/core-properties"/>
    <ds:schemaRef ds:uri="d22d0c17-5019-43c4-a5ef-f2cfe005557a"/>
    <ds:schemaRef ds:uri="http://purl.org/dc/terms/"/>
  </ds:schemaRefs>
</ds:datastoreItem>
</file>

<file path=customXml/itemProps2.xml><?xml version="1.0" encoding="utf-8"?>
<ds:datastoreItem xmlns:ds="http://schemas.openxmlformats.org/officeDocument/2006/customXml" ds:itemID="{B62FF1B1-5823-41FD-A97E-55C15E2FDB6D}">
  <ds:schemaRefs>
    <ds:schemaRef ds:uri="http://schemas.microsoft.com/sharepoint/v3/contenttype/forms"/>
  </ds:schemaRefs>
</ds:datastoreItem>
</file>

<file path=customXml/itemProps3.xml><?xml version="1.0" encoding="utf-8"?>
<ds:datastoreItem xmlns:ds="http://schemas.openxmlformats.org/officeDocument/2006/customXml" ds:itemID="{4B3F5408-56DC-412C-B91A-1402C5499F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9b8435-1346-43cd-b817-8aa95282fcec"/>
    <ds:schemaRef ds:uri="d22d0c17-5019-43c4-a5ef-f2cfe00555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8DACC8-8A3A-4971-B045-EE5363B6A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15989</Words>
  <Characters>91141</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Kelly</dc:creator>
  <cp:keywords/>
  <dc:description/>
  <cp:lastModifiedBy>Charlene Henry</cp:lastModifiedBy>
  <cp:revision>2</cp:revision>
  <cp:lastPrinted>2019-05-01T17:58:00Z</cp:lastPrinted>
  <dcterms:created xsi:type="dcterms:W3CDTF">2023-03-29T17:29:00Z</dcterms:created>
  <dcterms:modified xsi:type="dcterms:W3CDTF">2023-03-29T17:29:00Z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0x010100B593BB9B704DA147862BB7B120CD03F4</vt:lpwstr>
  </property>
</Properties>
</file>