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9.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13.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EA9BFE" w14:textId="77777777" w:rsidR="005472C1" w:rsidRDefault="005472C1" w:rsidP="00017E2E">
      <w:bookmarkStart w:id="0" w:name="_GoBack"/>
      <w:bookmarkEnd w:id="0"/>
    </w:p>
    <w:p w14:paraId="606F3B22" w14:textId="77777777" w:rsidR="005472C1" w:rsidRDefault="005472C1" w:rsidP="00017E2E"/>
    <w:p w14:paraId="21D34C3B" w14:textId="77777777" w:rsidR="005472C1" w:rsidRDefault="005472C1" w:rsidP="00017E2E"/>
    <w:p w14:paraId="7154BA06" w14:textId="77777777" w:rsidR="00DB6B13" w:rsidRPr="00965E0E" w:rsidRDefault="00663C10" w:rsidP="0054786F">
      <w:pPr>
        <w:jc w:val="center"/>
        <w:rPr>
          <w:rFonts w:ascii="Franklin Gothic Medium" w:hAnsi="Franklin Gothic Medium"/>
          <w:color w:val="984806" w:themeColor="accent6" w:themeShade="80"/>
          <w:sz w:val="40"/>
          <w:szCs w:val="40"/>
        </w:rPr>
      </w:pPr>
      <w:r w:rsidRPr="00965E0E">
        <w:rPr>
          <w:rFonts w:ascii="Franklin Gothic Medium" w:hAnsi="Franklin Gothic Medium"/>
          <w:color w:val="984806" w:themeColor="accent6" w:themeShade="80"/>
          <w:sz w:val="40"/>
          <w:szCs w:val="40"/>
        </w:rPr>
        <w:t>Florida Statewide Quality Assurance Program</w:t>
      </w:r>
    </w:p>
    <w:p w14:paraId="7154BA07" w14:textId="77777777" w:rsidR="00663C10" w:rsidRDefault="00663C10" w:rsidP="0054786F">
      <w:pPr>
        <w:jc w:val="center"/>
      </w:pPr>
    </w:p>
    <w:p w14:paraId="422037B2" w14:textId="77777777" w:rsidR="005472C1" w:rsidRPr="00663C10" w:rsidRDefault="005472C1" w:rsidP="0054786F">
      <w:pPr>
        <w:jc w:val="center"/>
      </w:pPr>
    </w:p>
    <w:p w14:paraId="7154BA08" w14:textId="23A74080" w:rsidR="00663C10" w:rsidRPr="00965E0E" w:rsidRDefault="008A521B" w:rsidP="0054786F">
      <w:pPr>
        <w:jc w:val="center"/>
        <w:rPr>
          <w:rFonts w:ascii="Franklin Gothic Medium" w:hAnsi="Franklin Gothic Medium"/>
          <w:sz w:val="32"/>
          <w:szCs w:val="32"/>
        </w:rPr>
      </w:pPr>
      <w:r>
        <w:rPr>
          <w:rFonts w:ascii="Franklin Gothic Medium" w:hAnsi="Franklin Gothic Medium"/>
          <w:sz w:val="32"/>
          <w:szCs w:val="32"/>
        </w:rPr>
        <w:t xml:space="preserve">Year </w:t>
      </w:r>
      <w:r w:rsidR="008A265C">
        <w:rPr>
          <w:rFonts w:ascii="Franklin Gothic Medium" w:hAnsi="Franklin Gothic Medium"/>
          <w:sz w:val="32"/>
          <w:szCs w:val="32"/>
        </w:rPr>
        <w:t xml:space="preserve">7 Quarter </w:t>
      </w:r>
      <w:r w:rsidR="00326D39">
        <w:rPr>
          <w:rFonts w:ascii="Franklin Gothic Medium" w:hAnsi="Franklin Gothic Medium"/>
          <w:sz w:val="32"/>
          <w:szCs w:val="32"/>
        </w:rPr>
        <w:t>2</w:t>
      </w:r>
    </w:p>
    <w:p w14:paraId="7154BA09" w14:textId="77777777" w:rsidR="00663C10" w:rsidRDefault="00663C10" w:rsidP="0054786F">
      <w:pPr>
        <w:jc w:val="center"/>
        <w:rPr>
          <w:rFonts w:ascii="Franklin Gothic Medium" w:hAnsi="Franklin Gothic Medium"/>
          <w:sz w:val="32"/>
          <w:szCs w:val="32"/>
        </w:rPr>
      </w:pPr>
    </w:p>
    <w:p w14:paraId="69056D58" w14:textId="77777777" w:rsidR="005472C1" w:rsidRPr="00965E0E" w:rsidRDefault="005472C1" w:rsidP="0054786F">
      <w:pPr>
        <w:jc w:val="center"/>
        <w:rPr>
          <w:rFonts w:ascii="Franklin Gothic Medium" w:hAnsi="Franklin Gothic Medium"/>
          <w:sz w:val="32"/>
          <w:szCs w:val="32"/>
        </w:rPr>
      </w:pPr>
    </w:p>
    <w:p w14:paraId="7154BA0A" w14:textId="19F79C6F" w:rsidR="00663C10" w:rsidRPr="00965E0E" w:rsidRDefault="00326D39" w:rsidP="0054786F">
      <w:pPr>
        <w:jc w:val="center"/>
        <w:rPr>
          <w:rFonts w:ascii="Franklin Gothic Medium" w:hAnsi="Franklin Gothic Medium"/>
          <w:sz w:val="32"/>
          <w:szCs w:val="32"/>
        </w:rPr>
      </w:pPr>
      <w:r>
        <w:rPr>
          <w:rFonts w:ascii="Franklin Gothic Medium" w:hAnsi="Franklin Gothic Medium"/>
          <w:sz w:val="32"/>
          <w:szCs w:val="32"/>
        </w:rPr>
        <w:t>April - June</w:t>
      </w:r>
      <w:r w:rsidR="008A265C">
        <w:rPr>
          <w:rFonts w:ascii="Franklin Gothic Medium" w:hAnsi="Franklin Gothic Medium"/>
          <w:sz w:val="32"/>
          <w:szCs w:val="32"/>
        </w:rPr>
        <w:t xml:space="preserve"> 2016</w:t>
      </w:r>
    </w:p>
    <w:p w14:paraId="7154BA0B" w14:textId="77777777" w:rsidR="00720091" w:rsidRDefault="00720091" w:rsidP="00017E2E"/>
    <w:p w14:paraId="7154BA0C" w14:textId="77777777" w:rsidR="00305823" w:rsidRDefault="00305823" w:rsidP="00305823"/>
    <w:p w14:paraId="1040C654" w14:textId="1CC79E9C" w:rsidR="005472C1" w:rsidRDefault="0065778E" w:rsidP="0065778E">
      <w:pPr>
        <w:spacing w:line="240" w:lineRule="auto"/>
      </w:pPr>
      <w:r>
        <w:t xml:space="preserve">    </w:t>
      </w:r>
    </w:p>
    <w:p w14:paraId="7154BA10" w14:textId="77777777" w:rsidR="00663C10" w:rsidRPr="0054786F" w:rsidRDefault="00663C10" w:rsidP="0054786F">
      <w:pPr>
        <w:jc w:val="center"/>
        <w:rPr>
          <w:rFonts w:ascii="Franklin Gothic Medium" w:hAnsi="Franklin Gothic Medium"/>
          <w:sz w:val="28"/>
          <w:szCs w:val="28"/>
        </w:rPr>
      </w:pPr>
      <w:r w:rsidRPr="0054786F">
        <w:rPr>
          <w:rFonts w:ascii="Franklin Gothic Medium" w:hAnsi="Franklin Gothic Medium"/>
          <w:sz w:val="28"/>
          <w:szCs w:val="28"/>
        </w:rPr>
        <w:t>Submitted to:</w:t>
      </w:r>
    </w:p>
    <w:p w14:paraId="7154BA11" w14:textId="77777777" w:rsidR="00663C10" w:rsidRPr="0054786F" w:rsidRDefault="00663C10" w:rsidP="0054786F">
      <w:pPr>
        <w:jc w:val="center"/>
        <w:rPr>
          <w:rFonts w:ascii="Franklin Gothic Medium" w:hAnsi="Franklin Gothic Medium"/>
          <w:sz w:val="28"/>
          <w:szCs w:val="28"/>
        </w:rPr>
      </w:pPr>
      <w:r w:rsidRPr="0054786F">
        <w:rPr>
          <w:rFonts w:ascii="Franklin Gothic Medium" w:hAnsi="Franklin Gothic Medium"/>
          <w:sz w:val="28"/>
          <w:szCs w:val="28"/>
        </w:rPr>
        <w:t>Agency for Health Care Administration and</w:t>
      </w:r>
    </w:p>
    <w:p w14:paraId="7154BA12" w14:textId="77777777" w:rsidR="00663C10" w:rsidRPr="0054786F" w:rsidRDefault="00663C10" w:rsidP="0054786F">
      <w:pPr>
        <w:jc w:val="center"/>
        <w:rPr>
          <w:rFonts w:ascii="Franklin Gothic Medium" w:hAnsi="Franklin Gothic Medium"/>
          <w:sz w:val="28"/>
          <w:szCs w:val="28"/>
        </w:rPr>
      </w:pPr>
      <w:r w:rsidRPr="0054786F">
        <w:rPr>
          <w:rFonts w:ascii="Franklin Gothic Medium" w:hAnsi="Franklin Gothic Medium"/>
          <w:sz w:val="28"/>
          <w:szCs w:val="28"/>
        </w:rPr>
        <w:t>Agency for Persons with Disabilities</w:t>
      </w:r>
    </w:p>
    <w:p w14:paraId="7154BA13" w14:textId="77777777" w:rsidR="00663C10" w:rsidRDefault="00663C10" w:rsidP="0054786F">
      <w:pPr>
        <w:jc w:val="center"/>
        <w:rPr>
          <w:rFonts w:ascii="Franklin Gothic Medium" w:hAnsi="Franklin Gothic Medium"/>
          <w:sz w:val="28"/>
          <w:szCs w:val="28"/>
        </w:rPr>
      </w:pPr>
    </w:p>
    <w:p w14:paraId="521AE252" w14:textId="77777777" w:rsidR="006B61DB" w:rsidRPr="0054786F" w:rsidRDefault="006B61DB" w:rsidP="0054786F">
      <w:pPr>
        <w:jc w:val="center"/>
        <w:rPr>
          <w:rFonts w:ascii="Franklin Gothic Medium" w:hAnsi="Franklin Gothic Medium"/>
          <w:sz w:val="28"/>
          <w:szCs w:val="28"/>
        </w:rPr>
      </w:pPr>
    </w:p>
    <w:p w14:paraId="7154BA14" w14:textId="3F148FCF" w:rsidR="00663C10" w:rsidRPr="0054786F" w:rsidRDefault="00A706E9" w:rsidP="0065778E">
      <w:pPr>
        <w:spacing w:line="240" w:lineRule="auto"/>
        <w:rPr>
          <w:rFonts w:ascii="Franklin Gothic Medium" w:hAnsi="Franklin Gothic Medium"/>
          <w:sz w:val="28"/>
          <w:szCs w:val="28"/>
        </w:rPr>
      </w:pPr>
      <w:r>
        <w:rPr>
          <w:noProof/>
        </w:rPr>
        <w:drawing>
          <wp:inline distT="0" distB="0" distL="0" distR="0" wp14:anchorId="7FA9A2FF" wp14:editId="72632E9A">
            <wp:extent cx="2318918" cy="1119226"/>
            <wp:effectExtent l="0" t="0" r="5715" b="5080"/>
            <wp:docPr id="2055" name="Picture 5" descr="APD_Logo_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 name="Picture 5" descr="APD_Logo_1_10"/>
                    <pic:cNvPicPr>
                      <a:picLocks noChangeAspect="1"/>
                    </pic:cNvPicPr>
                  </pic:nvPicPr>
                  <pic:blipFill>
                    <a:blip r:embed="rId11" cstate="print"/>
                    <a:srcRect/>
                    <a:stretch>
                      <a:fillRect/>
                    </a:stretch>
                  </pic:blipFill>
                  <pic:spPr bwMode="auto">
                    <a:xfrm>
                      <a:off x="0" y="0"/>
                      <a:ext cx="2321603" cy="1120522"/>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14:anchorId="3F2A33E8" wp14:editId="3BBFCFEF">
            <wp:extent cx="1360627" cy="994867"/>
            <wp:effectExtent l="0" t="0" r="0" b="0"/>
            <wp:docPr id="3" name="Picture 7" descr="C:\Users\moormanr\Documents\AHCA logo 2015.png" title="Agency for Healthcare Administ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C:\Users\moormanr\Documents\AHCA logo 2015.png" title="Agency for Healthcare Administration Logo"/>
                    <pic:cNvPicPr>
                      <a:picLocks noChangeAspect="1" noChangeArrowheads="1"/>
                    </pic:cNvPicPr>
                  </pic:nvPicPr>
                  <pic:blipFill>
                    <a:blip r:embed="rId12"/>
                    <a:srcRect/>
                    <a:stretch>
                      <a:fillRect/>
                    </a:stretch>
                  </pic:blipFill>
                  <pic:spPr bwMode="auto">
                    <a:xfrm>
                      <a:off x="0" y="0"/>
                      <a:ext cx="1360627" cy="994867"/>
                    </a:xfrm>
                    <a:prstGeom prst="rect">
                      <a:avLst/>
                    </a:prstGeom>
                    <a:noFill/>
                    <a:extLst/>
                  </pic:spPr>
                </pic:pic>
              </a:graphicData>
            </a:graphic>
          </wp:inline>
        </w:drawing>
      </w:r>
    </w:p>
    <w:p w14:paraId="7154BA15" w14:textId="77777777" w:rsidR="00663C10" w:rsidRDefault="00663C10" w:rsidP="0065778E">
      <w:pPr>
        <w:spacing w:line="240" w:lineRule="auto"/>
        <w:rPr>
          <w:rFonts w:ascii="Franklin Gothic Medium" w:hAnsi="Franklin Gothic Medium"/>
          <w:sz w:val="28"/>
          <w:szCs w:val="28"/>
        </w:rPr>
      </w:pPr>
    </w:p>
    <w:p w14:paraId="35003888" w14:textId="04890A40" w:rsidR="0065778E" w:rsidRDefault="0065778E" w:rsidP="0065778E">
      <w:pPr>
        <w:spacing w:line="240" w:lineRule="auto"/>
        <w:rPr>
          <w:rFonts w:ascii="Franklin Gothic Medium" w:hAnsi="Franklin Gothic Medium"/>
          <w:sz w:val="28"/>
          <w:szCs w:val="28"/>
        </w:rPr>
      </w:pPr>
      <w:r>
        <w:rPr>
          <w:rFonts w:ascii="Franklin Gothic Medium" w:hAnsi="Franklin Gothic Medium"/>
          <w:sz w:val="28"/>
          <w:szCs w:val="28"/>
        </w:rPr>
        <w:t xml:space="preserve">           </w:t>
      </w:r>
    </w:p>
    <w:p w14:paraId="64858BAD" w14:textId="12D98715" w:rsidR="0065778E" w:rsidRPr="0054786F" w:rsidRDefault="0065778E" w:rsidP="0065778E">
      <w:pPr>
        <w:spacing w:line="240" w:lineRule="auto"/>
        <w:rPr>
          <w:rFonts w:ascii="Franklin Gothic Medium" w:hAnsi="Franklin Gothic Medium"/>
          <w:sz w:val="28"/>
          <w:szCs w:val="28"/>
        </w:rPr>
      </w:pPr>
      <w:r>
        <w:rPr>
          <w:rFonts w:ascii="Franklin Gothic Medium" w:hAnsi="Franklin Gothic Medium"/>
          <w:sz w:val="28"/>
          <w:szCs w:val="28"/>
        </w:rPr>
        <w:t xml:space="preserve"> </w:t>
      </w:r>
    </w:p>
    <w:p w14:paraId="7154BA16" w14:textId="6354B718" w:rsidR="00663C10" w:rsidRPr="0054786F" w:rsidRDefault="0065778E" w:rsidP="0065778E">
      <w:pPr>
        <w:spacing w:line="240" w:lineRule="auto"/>
        <w:rPr>
          <w:rFonts w:ascii="Franklin Gothic Medium" w:hAnsi="Franklin Gothic Medium"/>
          <w:sz w:val="28"/>
          <w:szCs w:val="28"/>
        </w:rPr>
      </w:pPr>
      <w:r>
        <w:rPr>
          <w:noProof/>
        </w:rPr>
        <w:t xml:space="preserve">                                                  </w:t>
      </w:r>
    </w:p>
    <w:p w14:paraId="7154BA1C" w14:textId="0519BA7E" w:rsidR="00F23951" w:rsidRPr="0054786F" w:rsidRDefault="0065778E" w:rsidP="00A706E9">
      <w:pPr>
        <w:spacing w:line="240" w:lineRule="auto"/>
        <w:rPr>
          <w:rFonts w:ascii="Franklin Gothic Medium" w:hAnsi="Franklin Gothic Medium"/>
          <w:sz w:val="28"/>
          <w:szCs w:val="28"/>
        </w:rPr>
      </w:pPr>
      <w:r>
        <w:rPr>
          <w:rFonts w:ascii="Franklin Gothic Medium" w:hAnsi="Franklin Gothic Medium"/>
          <w:sz w:val="28"/>
          <w:szCs w:val="28"/>
        </w:rPr>
        <w:t xml:space="preserve">  </w:t>
      </w:r>
    </w:p>
    <w:p w14:paraId="7154BA1D" w14:textId="77777777" w:rsidR="00663C10" w:rsidRPr="0054786F" w:rsidRDefault="00663C10" w:rsidP="0054786F">
      <w:pPr>
        <w:jc w:val="center"/>
        <w:rPr>
          <w:rFonts w:ascii="Franklin Gothic Medium" w:hAnsi="Franklin Gothic Medium"/>
          <w:sz w:val="28"/>
          <w:szCs w:val="28"/>
        </w:rPr>
      </w:pPr>
      <w:r w:rsidRPr="0054786F">
        <w:rPr>
          <w:rFonts w:ascii="Franklin Gothic Medium" w:hAnsi="Franklin Gothic Medium"/>
          <w:sz w:val="28"/>
          <w:szCs w:val="28"/>
        </w:rPr>
        <w:lastRenderedPageBreak/>
        <w:t>Prepared by Delmarva Foundation</w:t>
      </w:r>
    </w:p>
    <w:p w14:paraId="7154BA1E" w14:textId="40A24420" w:rsidR="00663C10" w:rsidRPr="0054786F" w:rsidRDefault="00326D39" w:rsidP="0054786F">
      <w:pPr>
        <w:jc w:val="center"/>
        <w:rPr>
          <w:rFonts w:ascii="Franklin Gothic Medium" w:hAnsi="Franklin Gothic Medium"/>
          <w:sz w:val="28"/>
          <w:szCs w:val="28"/>
        </w:rPr>
      </w:pPr>
      <w:r>
        <w:rPr>
          <w:rFonts w:ascii="Franklin Gothic Medium" w:hAnsi="Franklin Gothic Medium"/>
          <w:sz w:val="28"/>
          <w:szCs w:val="28"/>
        </w:rPr>
        <w:t>August 15</w:t>
      </w:r>
      <w:r w:rsidR="009C053E" w:rsidRPr="00E817CD">
        <w:rPr>
          <w:rFonts w:ascii="Franklin Gothic Medium" w:hAnsi="Franklin Gothic Medium"/>
          <w:sz w:val="28"/>
          <w:szCs w:val="28"/>
        </w:rPr>
        <w:t>,</w:t>
      </w:r>
      <w:r w:rsidR="00E82AD2" w:rsidRPr="00451C1E">
        <w:rPr>
          <w:rFonts w:ascii="Franklin Gothic Medium" w:hAnsi="Franklin Gothic Medium"/>
          <w:sz w:val="28"/>
          <w:szCs w:val="28"/>
        </w:rPr>
        <w:t xml:space="preserve"> 201</w:t>
      </w:r>
      <w:r w:rsidR="00A706E9">
        <w:rPr>
          <w:rFonts w:ascii="Franklin Gothic Medium" w:hAnsi="Franklin Gothic Medium"/>
          <w:sz w:val="28"/>
          <w:szCs w:val="28"/>
        </w:rPr>
        <w:t>6</w:t>
      </w:r>
    </w:p>
    <w:p w14:paraId="7154BA1F" w14:textId="77777777" w:rsidR="00663C10" w:rsidRPr="00663C10" w:rsidRDefault="00663C10" w:rsidP="00017E2E"/>
    <w:p w14:paraId="7154BA20" w14:textId="0A1453C7" w:rsidR="00B566C1" w:rsidRDefault="00A706E9" w:rsidP="00A706E9">
      <w:pPr>
        <w:spacing w:line="240" w:lineRule="auto"/>
      </w:pPr>
      <w:r>
        <w:t xml:space="preserve"> </w:t>
      </w:r>
    </w:p>
    <w:p w14:paraId="7154BA21" w14:textId="48DEB815" w:rsidR="00663C10" w:rsidRDefault="00A706E9" w:rsidP="00A706E9">
      <w:pPr>
        <w:spacing w:line="240" w:lineRule="auto"/>
      </w:pPr>
      <w:r>
        <w:t xml:space="preserve">                                                          </w:t>
      </w:r>
      <w:r>
        <w:rPr>
          <w:noProof/>
        </w:rPr>
        <w:drawing>
          <wp:inline distT="0" distB="0" distL="0" distR="0" wp14:anchorId="7EB2311A" wp14:editId="1512B772">
            <wp:extent cx="1755648" cy="928184"/>
            <wp:effectExtent l="0" t="0" r="0" b="5715"/>
            <wp:docPr id="5" name="Picture 5" descr="https://intranet.qualityhealthstrategies.org/html/business_tools/templates_forms/templates/docs/logos/FSQAP/DF_Florida_logo_2c_2_8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net.qualityhealthstrategies.org/html/business_tools/templates_forms/templates/docs/logos/FSQAP/DF_Florida_logo_2c_2_8_2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63459" cy="932313"/>
                    </a:xfrm>
                    <a:prstGeom prst="rect">
                      <a:avLst/>
                    </a:prstGeom>
                    <a:noFill/>
                    <a:ln>
                      <a:noFill/>
                    </a:ln>
                  </pic:spPr>
                </pic:pic>
              </a:graphicData>
            </a:graphic>
          </wp:inline>
        </w:drawing>
      </w:r>
      <w:r w:rsidR="00663C10">
        <w:br w:type="page"/>
      </w:r>
    </w:p>
    <w:sdt>
      <w:sdtPr>
        <w:rPr>
          <w:rFonts w:ascii="Garamond" w:eastAsiaTheme="minorHAnsi" w:hAnsi="Garamond" w:cstheme="minorBidi"/>
          <w:b w:val="0"/>
          <w:bCs w:val="0"/>
          <w:color w:val="auto"/>
          <w:sz w:val="24"/>
          <w:szCs w:val="22"/>
          <w:highlight w:val="yellow"/>
        </w:rPr>
        <w:id w:val="31308200"/>
        <w:docPartObj>
          <w:docPartGallery w:val="Table of Contents"/>
          <w:docPartUnique/>
        </w:docPartObj>
      </w:sdtPr>
      <w:sdtEndPr>
        <w:rPr>
          <w:noProof/>
          <w:highlight w:val="none"/>
        </w:rPr>
      </w:sdtEndPr>
      <w:sdtContent>
        <w:p w14:paraId="2E4004E8" w14:textId="4F6519ED" w:rsidR="005472C1" w:rsidRPr="0034799C" w:rsidRDefault="005472C1">
          <w:pPr>
            <w:pStyle w:val="TOCHeading"/>
          </w:pPr>
          <w:r w:rsidRPr="0034799C">
            <w:t>Table of Contents</w:t>
          </w:r>
        </w:p>
        <w:p w14:paraId="71DE46CE" w14:textId="77777777" w:rsidR="00892B42" w:rsidRDefault="005472C1">
          <w:pPr>
            <w:pStyle w:val="TOC1"/>
            <w:rPr>
              <w:rFonts w:asciiTheme="minorHAnsi" w:eastAsiaTheme="minorEastAsia" w:hAnsiTheme="minorHAnsi"/>
              <w:noProof/>
              <w:sz w:val="22"/>
            </w:rPr>
          </w:pPr>
          <w:r w:rsidRPr="00326D39">
            <w:rPr>
              <w:highlight w:val="yellow"/>
            </w:rPr>
            <w:fldChar w:fldCharType="begin"/>
          </w:r>
          <w:r w:rsidRPr="00326D39">
            <w:rPr>
              <w:highlight w:val="yellow"/>
            </w:rPr>
            <w:instrText xml:space="preserve"> TOC \o "1-3" \h \z \u </w:instrText>
          </w:r>
          <w:r w:rsidRPr="00326D39">
            <w:rPr>
              <w:highlight w:val="yellow"/>
            </w:rPr>
            <w:fldChar w:fldCharType="separate"/>
          </w:r>
          <w:hyperlink w:anchor="_Toc459080614" w:history="1">
            <w:r w:rsidR="00892B42" w:rsidRPr="00B70512">
              <w:rPr>
                <w:rStyle w:val="Hyperlink"/>
                <w:rFonts w:eastAsia="Times New Roman"/>
                <w:noProof/>
              </w:rPr>
              <w:t>List of Acronyms</w:t>
            </w:r>
            <w:r w:rsidR="00892B42">
              <w:rPr>
                <w:noProof/>
                <w:webHidden/>
              </w:rPr>
              <w:tab/>
            </w:r>
            <w:r w:rsidR="00892B42">
              <w:rPr>
                <w:noProof/>
                <w:webHidden/>
              </w:rPr>
              <w:fldChar w:fldCharType="begin"/>
            </w:r>
            <w:r w:rsidR="00892B42">
              <w:rPr>
                <w:noProof/>
                <w:webHidden/>
              </w:rPr>
              <w:instrText xml:space="preserve"> PAGEREF _Toc459080614 \h </w:instrText>
            </w:r>
            <w:r w:rsidR="00892B42">
              <w:rPr>
                <w:noProof/>
                <w:webHidden/>
              </w:rPr>
            </w:r>
            <w:r w:rsidR="00892B42">
              <w:rPr>
                <w:noProof/>
                <w:webHidden/>
              </w:rPr>
              <w:fldChar w:fldCharType="separate"/>
            </w:r>
            <w:r w:rsidR="00892B42">
              <w:rPr>
                <w:noProof/>
                <w:webHidden/>
              </w:rPr>
              <w:t>4</w:t>
            </w:r>
            <w:r w:rsidR="00892B42">
              <w:rPr>
                <w:noProof/>
                <w:webHidden/>
              </w:rPr>
              <w:fldChar w:fldCharType="end"/>
            </w:r>
          </w:hyperlink>
        </w:p>
        <w:p w14:paraId="774F4EFC" w14:textId="77777777" w:rsidR="00892B42" w:rsidRDefault="00A55D83">
          <w:pPr>
            <w:pStyle w:val="TOC1"/>
            <w:rPr>
              <w:rFonts w:asciiTheme="minorHAnsi" w:eastAsiaTheme="minorEastAsia" w:hAnsiTheme="minorHAnsi"/>
              <w:noProof/>
              <w:sz w:val="22"/>
            </w:rPr>
          </w:pPr>
          <w:hyperlink w:anchor="_Toc459080615" w:history="1">
            <w:r w:rsidR="00892B42" w:rsidRPr="00B70512">
              <w:rPr>
                <w:rStyle w:val="Hyperlink"/>
                <w:noProof/>
              </w:rPr>
              <w:t>Executive Summary</w:t>
            </w:r>
            <w:r w:rsidR="00892B42">
              <w:rPr>
                <w:noProof/>
                <w:webHidden/>
              </w:rPr>
              <w:tab/>
            </w:r>
            <w:r w:rsidR="00892B42">
              <w:rPr>
                <w:noProof/>
                <w:webHidden/>
              </w:rPr>
              <w:fldChar w:fldCharType="begin"/>
            </w:r>
            <w:r w:rsidR="00892B42">
              <w:rPr>
                <w:noProof/>
                <w:webHidden/>
              </w:rPr>
              <w:instrText xml:space="preserve"> PAGEREF _Toc459080615 \h </w:instrText>
            </w:r>
            <w:r w:rsidR="00892B42">
              <w:rPr>
                <w:noProof/>
                <w:webHidden/>
              </w:rPr>
            </w:r>
            <w:r w:rsidR="00892B42">
              <w:rPr>
                <w:noProof/>
                <w:webHidden/>
              </w:rPr>
              <w:fldChar w:fldCharType="separate"/>
            </w:r>
            <w:r w:rsidR="00892B42">
              <w:rPr>
                <w:noProof/>
                <w:webHidden/>
              </w:rPr>
              <w:t>5</w:t>
            </w:r>
            <w:r w:rsidR="00892B42">
              <w:rPr>
                <w:noProof/>
                <w:webHidden/>
              </w:rPr>
              <w:fldChar w:fldCharType="end"/>
            </w:r>
          </w:hyperlink>
        </w:p>
        <w:p w14:paraId="38960705" w14:textId="77777777" w:rsidR="00892B42" w:rsidRDefault="00A55D83">
          <w:pPr>
            <w:pStyle w:val="TOC1"/>
            <w:rPr>
              <w:rFonts w:asciiTheme="minorHAnsi" w:eastAsiaTheme="minorEastAsia" w:hAnsiTheme="minorHAnsi"/>
              <w:noProof/>
              <w:sz w:val="22"/>
            </w:rPr>
          </w:pPr>
          <w:hyperlink w:anchor="_Toc459080616" w:history="1">
            <w:r w:rsidR="00892B42" w:rsidRPr="00B70512">
              <w:rPr>
                <w:rStyle w:val="Hyperlink"/>
                <w:noProof/>
              </w:rPr>
              <w:t>Introduction</w:t>
            </w:r>
            <w:r w:rsidR="00892B42">
              <w:rPr>
                <w:noProof/>
                <w:webHidden/>
              </w:rPr>
              <w:tab/>
            </w:r>
            <w:r w:rsidR="00892B42">
              <w:rPr>
                <w:noProof/>
                <w:webHidden/>
              </w:rPr>
              <w:fldChar w:fldCharType="begin"/>
            </w:r>
            <w:r w:rsidR="00892B42">
              <w:rPr>
                <w:noProof/>
                <w:webHidden/>
              </w:rPr>
              <w:instrText xml:space="preserve"> PAGEREF _Toc459080616 \h </w:instrText>
            </w:r>
            <w:r w:rsidR="00892B42">
              <w:rPr>
                <w:noProof/>
                <w:webHidden/>
              </w:rPr>
            </w:r>
            <w:r w:rsidR="00892B42">
              <w:rPr>
                <w:noProof/>
                <w:webHidden/>
              </w:rPr>
              <w:fldChar w:fldCharType="separate"/>
            </w:r>
            <w:r w:rsidR="00892B42">
              <w:rPr>
                <w:noProof/>
                <w:webHidden/>
              </w:rPr>
              <w:t>6</w:t>
            </w:r>
            <w:r w:rsidR="00892B42">
              <w:rPr>
                <w:noProof/>
                <w:webHidden/>
              </w:rPr>
              <w:fldChar w:fldCharType="end"/>
            </w:r>
          </w:hyperlink>
        </w:p>
        <w:p w14:paraId="6E980CD3" w14:textId="77777777" w:rsidR="00892B42" w:rsidRDefault="00A55D83">
          <w:pPr>
            <w:pStyle w:val="TOC1"/>
            <w:rPr>
              <w:rFonts w:asciiTheme="minorHAnsi" w:eastAsiaTheme="minorEastAsia" w:hAnsiTheme="minorHAnsi"/>
              <w:noProof/>
              <w:sz w:val="22"/>
            </w:rPr>
          </w:pPr>
          <w:hyperlink w:anchor="_Toc459080617" w:history="1">
            <w:r w:rsidR="00892B42" w:rsidRPr="00B70512">
              <w:rPr>
                <w:rStyle w:val="Hyperlink"/>
                <w:noProof/>
              </w:rPr>
              <w:t>Section I:  Significant Contract Activity</w:t>
            </w:r>
            <w:r w:rsidR="00892B42">
              <w:rPr>
                <w:noProof/>
                <w:webHidden/>
              </w:rPr>
              <w:tab/>
            </w:r>
            <w:r w:rsidR="00892B42">
              <w:rPr>
                <w:noProof/>
                <w:webHidden/>
              </w:rPr>
              <w:fldChar w:fldCharType="begin"/>
            </w:r>
            <w:r w:rsidR="00892B42">
              <w:rPr>
                <w:noProof/>
                <w:webHidden/>
              </w:rPr>
              <w:instrText xml:space="preserve"> PAGEREF _Toc459080617 \h </w:instrText>
            </w:r>
            <w:r w:rsidR="00892B42">
              <w:rPr>
                <w:noProof/>
                <w:webHidden/>
              </w:rPr>
            </w:r>
            <w:r w:rsidR="00892B42">
              <w:rPr>
                <w:noProof/>
                <w:webHidden/>
              </w:rPr>
              <w:fldChar w:fldCharType="separate"/>
            </w:r>
            <w:r w:rsidR="00892B42">
              <w:rPr>
                <w:noProof/>
                <w:webHidden/>
              </w:rPr>
              <w:t>8</w:t>
            </w:r>
            <w:r w:rsidR="00892B42">
              <w:rPr>
                <w:noProof/>
                <w:webHidden/>
              </w:rPr>
              <w:fldChar w:fldCharType="end"/>
            </w:r>
          </w:hyperlink>
        </w:p>
        <w:p w14:paraId="5A30FBD4" w14:textId="77777777" w:rsidR="00892B42" w:rsidRDefault="00A55D83">
          <w:pPr>
            <w:pStyle w:val="TOC2"/>
            <w:tabs>
              <w:tab w:val="right" w:leader="dot" w:pos="9350"/>
            </w:tabs>
            <w:rPr>
              <w:rFonts w:asciiTheme="minorHAnsi" w:eastAsiaTheme="minorEastAsia" w:hAnsiTheme="minorHAnsi"/>
              <w:noProof/>
              <w:sz w:val="22"/>
            </w:rPr>
          </w:pPr>
          <w:hyperlink w:anchor="_Toc459080618" w:history="1">
            <w:r w:rsidR="00892B42" w:rsidRPr="00B70512">
              <w:rPr>
                <w:rStyle w:val="Hyperlink"/>
                <w:noProof/>
              </w:rPr>
              <w:t>Information Sharing</w:t>
            </w:r>
            <w:r w:rsidR="00892B42">
              <w:rPr>
                <w:noProof/>
                <w:webHidden/>
              </w:rPr>
              <w:tab/>
            </w:r>
            <w:r w:rsidR="00892B42">
              <w:rPr>
                <w:noProof/>
                <w:webHidden/>
              </w:rPr>
              <w:fldChar w:fldCharType="begin"/>
            </w:r>
            <w:r w:rsidR="00892B42">
              <w:rPr>
                <w:noProof/>
                <w:webHidden/>
              </w:rPr>
              <w:instrText xml:space="preserve"> PAGEREF _Toc459080618 \h </w:instrText>
            </w:r>
            <w:r w:rsidR="00892B42">
              <w:rPr>
                <w:noProof/>
                <w:webHidden/>
              </w:rPr>
            </w:r>
            <w:r w:rsidR="00892B42">
              <w:rPr>
                <w:noProof/>
                <w:webHidden/>
              </w:rPr>
              <w:fldChar w:fldCharType="separate"/>
            </w:r>
            <w:r w:rsidR="00892B42">
              <w:rPr>
                <w:noProof/>
                <w:webHidden/>
              </w:rPr>
              <w:t>8</w:t>
            </w:r>
            <w:r w:rsidR="00892B42">
              <w:rPr>
                <w:noProof/>
                <w:webHidden/>
              </w:rPr>
              <w:fldChar w:fldCharType="end"/>
            </w:r>
          </w:hyperlink>
        </w:p>
        <w:p w14:paraId="2439D38D" w14:textId="77777777" w:rsidR="00892B42" w:rsidRDefault="00A55D83">
          <w:pPr>
            <w:pStyle w:val="TOC3"/>
            <w:tabs>
              <w:tab w:val="right" w:leader="dot" w:pos="9350"/>
            </w:tabs>
            <w:rPr>
              <w:rFonts w:asciiTheme="minorHAnsi" w:eastAsiaTheme="minorEastAsia" w:hAnsiTheme="minorHAnsi"/>
              <w:noProof/>
              <w:sz w:val="22"/>
            </w:rPr>
          </w:pPr>
          <w:hyperlink w:anchor="_Toc459080619" w:history="1">
            <w:r w:rsidR="00892B42" w:rsidRPr="00B70512">
              <w:rPr>
                <w:rStyle w:val="Hyperlink"/>
                <w:noProof/>
              </w:rPr>
              <w:t>Staff Conference Calls</w:t>
            </w:r>
            <w:r w:rsidR="00892B42">
              <w:rPr>
                <w:noProof/>
                <w:webHidden/>
              </w:rPr>
              <w:tab/>
            </w:r>
            <w:r w:rsidR="00892B42">
              <w:rPr>
                <w:noProof/>
                <w:webHidden/>
              </w:rPr>
              <w:fldChar w:fldCharType="begin"/>
            </w:r>
            <w:r w:rsidR="00892B42">
              <w:rPr>
                <w:noProof/>
                <w:webHidden/>
              </w:rPr>
              <w:instrText xml:space="preserve"> PAGEREF _Toc459080619 \h </w:instrText>
            </w:r>
            <w:r w:rsidR="00892B42">
              <w:rPr>
                <w:noProof/>
                <w:webHidden/>
              </w:rPr>
            </w:r>
            <w:r w:rsidR="00892B42">
              <w:rPr>
                <w:noProof/>
                <w:webHidden/>
              </w:rPr>
              <w:fldChar w:fldCharType="separate"/>
            </w:r>
            <w:r w:rsidR="00892B42">
              <w:rPr>
                <w:noProof/>
                <w:webHidden/>
              </w:rPr>
              <w:t>8</w:t>
            </w:r>
            <w:r w:rsidR="00892B42">
              <w:rPr>
                <w:noProof/>
                <w:webHidden/>
              </w:rPr>
              <w:fldChar w:fldCharType="end"/>
            </w:r>
          </w:hyperlink>
        </w:p>
        <w:p w14:paraId="59759267" w14:textId="77777777" w:rsidR="00892B42" w:rsidRDefault="00A55D83">
          <w:pPr>
            <w:pStyle w:val="TOC3"/>
            <w:tabs>
              <w:tab w:val="right" w:leader="dot" w:pos="9350"/>
            </w:tabs>
            <w:rPr>
              <w:rFonts w:asciiTheme="minorHAnsi" w:eastAsiaTheme="minorEastAsia" w:hAnsiTheme="minorHAnsi"/>
              <w:noProof/>
              <w:sz w:val="22"/>
            </w:rPr>
          </w:pPr>
          <w:hyperlink w:anchor="_Toc459080620" w:history="1">
            <w:r w:rsidR="00892B42" w:rsidRPr="00B70512">
              <w:rPr>
                <w:rStyle w:val="Hyperlink"/>
                <w:noProof/>
              </w:rPr>
              <w:t>Status Meetings</w:t>
            </w:r>
            <w:r w:rsidR="00892B42">
              <w:rPr>
                <w:noProof/>
                <w:webHidden/>
              </w:rPr>
              <w:tab/>
            </w:r>
            <w:r w:rsidR="00892B42">
              <w:rPr>
                <w:noProof/>
                <w:webHidden/>
              </w:rPr>
              <w:fldChar w:fldCharType="begin"/>
            </w:r>
            <w:r w:rsidR="00892B42">
              <w:rPr>
                <w:noProof/>
                <w:webHidden/>
              </w:rPr>
              <w:instrText xml:space="preserve"> PAGEREF _Toc459080620 \h </w:instrText>
            </w:r>
            <w:r w:rsidR="00892B42">
              <w:rPr>
                <w:noProof/>
                <w:webHidden/>
              </w:rPr>
            </w:r>
            <w:r w:rsidR="00892B42">
              <w:rPr>
                <w:noProof/>
                <w:webHidden/>
              </w:rPr>
              <w:fldChar w:fldCharType="separate"/>
            </w:r>
            <w:r w:rsidR="00892B42">
              <w:rPr>
                <w:noProof/>
                <w:webHidden/>
              </w:rPr>
              <w:t>8</w:t>
            </w:r>
            <w:r w:rsidR="00892B42">
              <w:rPr>
                <w:noProof/>
                <w:webHidden/>
              </w:rPr>
              <w:fldChar w:fldCharType="end"/>
            </w:r>
          </w:hyperlink>
        </w:p>
        <w:p w14:paraId="0E7E4C84" w14:textId="77777777" w:rsidR="00892B42" w:rsidRDefault="00A55D83">
          <w:pPr>
            <w:pStyle w:val="TOC2"/>
            <w:tabs>
              <w:tab w:val="right" w:leader="dot" w:pos="9350"/>
            </w:tabs>
            <w:rPr>
              <w:rFonts w:asciiTheme="minorHAnsi" w:eastAsiaTheme="minorEastAsia" w:hAnsiTheme="minorHAnsi"/>
              <w:noProof/>
              <w:sz w:val="22"/>
            </w:rPr>
          </w:pPr>
          <w:hyperlink w:anchor="_Toc459080621" w:history="1">
            <w:r w:rsidR="00892B42" w:rsidRPr="00B70512">
              <w:rPr>
                <w:rStyle w:val="Hyperlink"/>
                <w:noProof/>
              </w:rPr>
              <w:t>Internal Quality Assurance Activities</w:t>
            </w:r>
            <w:r w:rsidR="00892B42">
              <w:rPr>
                <w:noProof/>
                <w:webHidden/>
              </w:rPr>
              <w:tab/>
            </w:r>
            <w:r w:rsidR="00892B42">
              <w:rPr>
                <w:noProof/>
                <w:webHidden/>
              </w:rPr>
              <w:fldChar w:fldCharType="begin"/>
            </w:r>
            <w:r w:rsidR="00892B42">
              <w:rPr>
                <w:noProof/>
                <w:webHidden/>
              </w:rPr>
              <w:instrText xml:space="preserve"> PAGEREF _Toc459080621 \h </w:instrText>
            </w:r>
            <w:r w:rsidR="00892B42">
              <w:rPr>
                <w:noProof/>
                <w:webHidden/>
              </w:rPr>
            </w:r>
            <w:r w:rsidR="00892B42">
              <w:rPr>
                <w:noProof/>
                <w:webHidden/>
              </w:rPr>
              <w:fldChar w:fldCharType="separate"/>
            </w:r>
            <w:r w:rsidR="00892B42">
              <w:rPr>
                <w:noProof/>
                <w:webHidden/>
              </w:rPr>
              <w:t>8</w:t>
            </w:r>
            <w:r w:rsidR="00892B42">
              <w:rPr>
                <w:noProof/>
                <w:webHidden/>
              </w:rPr>
              <w:fldChar w:fldCharType="end"/>
            </w:r>
          </w:hyperlink>
        </w:p>
        <w:p w14:paraId="1E4A284A" w14:textId="77777777" w:rsidR="00892B42" w:rsidRDefault="00A55D83">
          <w:pPr>
            <w:pStyle w:val="TOC3"/>
            <w:tabs>
              <w:tab w:val="right" w:leader="dot" w:pos="9350"/>
            </w:tabs>
            <w:rPr>
              <w:rFonts w:asciiTheme="minorHAnsi" w:eastAsiaTheme="minorEastAsia" w:hAnsiTheme="minorHAnsi"/>
              <w:noProof/>
              <w:sz w:val="22"/>
            </w:rPr>
          </w:pPr>
          <w:hyperlink w:anchor="_Toc459080622" w:history="1">
            <w:r w:rsidR="00892B42" w:rsidRPr="00B70512">
              <w:rPr>
                <w:rStyle w:val="Hyperlink"/>
                <w:noProof/>
              </w:rPr>
              <w:t>Report Approval Process</w:t>
            </w:r>
            <w:r w:rsidR="00892B42">
              <w:rPr>
                <w:noProof/>
                <w:webHidden/>
              </w:rPr>
              <w:tab/>
            </w:r>
            <w:r w:rsidR="00892B42">
              <w:rPr>
                <w:noProof/>
                <w:webHidden/>
              </w:rPr>
              <w:fldChar w:fldCharType="begin"/>
            </w:r>
            <w:r w:rsidR="00892B42">
              <w:rPr>
                <w:noProof/>
                <w:webHidden/>
              </w:rPr>
              <w:instrText xml:space="preserve"> PAGEREF _Toc459080622 \h </w:instrText>
            </w:r>
            <w:r w:rsidR="00892B42">
              <w:rPr>
                <w:noProof/>
                <w:webHidden/>
              </w:rPr>
            </w:r>
            <w:r w:rsidR="00892B42">
              <w:rPr>
                <w:noProof/>
                <w:webHidden/>
              </w:rPr>
              <w:fldChar w:fldCharType="separate"/>
            </w:r>
            <w:r w:rsidR="00892B42">
              <w:rPr>
                <w:noProof/>
                <w:webHidden/>
              </w:rPr>
              <w:t>8</w:t>
            </w:r>
            <w:r w:rsidR="00892B42">
              <w:rPr>
                <w:noProof/>
                <w:webHidden/>
              </w:rPr>
              <w:fldChar w:fldCharType="end"/>
            </w:r>
          </w:hyperlink>
        </w:p>
        <w:p w14:paraId="1DF86B89" w14:textId="77777777" w:rsidR="00892B42" w:rsidRDefault="00A55D83">
          <w:pPr>
            <w:pStyle w:val="TOC3"/>
            <w:tabs>
              <w:tab w:val="right" w:leader="dot" w:pos="9350"/>
            </w:tabs>
            <w:rPr>
              <w:rFonts w:asciiTheme="minorHAnsi" w:eastAsiaTheme="minorEastAsia" w:hAnsiTheme="minorHAnsi"/>
              <w:noProof/>
              <w:sz w:val="22"/>
            </w:rPr>
          </w:pPr>
          <w:hyperlink w:anchor="_Toc459080623" w:history="1">
            <w:r w:rsidR="00892B42" w:rsidRPr="00B70512">
              <w:rPr>
                <w:rStyle w:val="Hyperlink"/>
                <w:noProof/>
              </w:rPr>
              <w:t>Reliability</w:t>
            </w:r>
            <w:r w:rsidR="00892B42">
              <w:rPr>
                <w:noProof/>
                <w:webHidden/>
              </w:rPr>
              <w:tab/>
            </w:r>
            <w:r w:rsidR="00892B42">
              <w:rPr>
                <w:noProof/>
                <w:webHidden/>
              </w:rPr>
              <w:fldChar w:fldCharType="begin"/>
            </w:r>
            <w:r w:rsidR="00892B42">
              <w:rPr>
                <w:noProof/>
                <w:webHidden/>
              </w:rPr>
              <w:instrText xml:space="preserve"> PAGEREF _Toc459080623 \h </w:instrText>
            </w:r>
            <w:r w:rsidR="00892B42">
              <w:rPr>
                <w:noProof/>
                <w:webHidden/>
              </w:rPr>
            </w:r>
            <w:r w:rsidR="00892B42">
              <w:rPr>
                <w:noProof/>
                <w:webHidden/>
              </w:rPr>
              <w:fldChar w:fldCharType="separate"/>
            </w:r>
            <w:r w:rsidR="00892B42">
              <w:rPr>
                <w:noProof/>
                <w:webHidden/>
              </w:rPr>
              <w:t>8</w:t>
            </w:r>
            <w:r w:rsidR="00892B42">
              <w:rPr>
                <w:noProof/>
                <w:webHidden/>
              </w:rPr>
              <w:fldChar w:fldCharType="end"/>
            </w:r>
          </w:hyperlink>
        </w:p>
        <w:p w14:paraId="5E4239A4" w14:textId="77777777" w:rsidR="00892B42" w:rsidRDefault="00A55D83">
          <w:pPr>
            <w:pStyle w:val="TOC3"/>
            <w:tabs>
              <w:tab w:val="right" w:leader="dot" w:pos="9350"/>
            </w:tabs>
            <w:rPr>
              <w:rFonts w:asciiTheme="minorHAnsi" w:eastAsiaTheme="minorEastAsia" w:hAnsiTheme="minorHAnsi"/>
              <w:noProof/>
              <w:sz w:val="22"/>
            </w:rPr>
          </w:pPr>
          <w:hyperlink w:anchor="_Toc459080624" w:history="1">
            <w:r w:rsidR="00892B42" w:rsidRPr="00B70512">
              <w:rPr>
                <w:rStyle w:val="Hyperlink"/>
                <w:noProof/>
              </w:rPr>
              <w:t>Internal Training</w:t>
            </w:r>
            <w:r w:rsidR="00892B42">
              <w:rPr>
                <w:noProof/>
                <w:webHidden/>
              </w:rPr>
              <w:tab/>
            </w:r>
            <w:r w:rsidR="00892B42">
              <w:rPr>
                <w:noProof/>
                <w:webHidden/>
              </w:rPr>
              <w:fldChar w:fldCharType="begin"/>
            </w:r>
            <w:r w:rsidR="00892B42">
              <w:rPr>
                <w:noProof/>
                <w:webHidden/>
              </w:rPr>
              <w:instrText xml:space="preserve"> PAGEREF _Toc459080624 \h </w:instrText>
            </w:r>
            <w:r w:rsidR="00892B42">
              <w:rPr>
                <w:noProof/>
                <w:webHidden/>
              </w:rPr>
            </w:r>
            <w:r w:rsidR="00892B42">
              <w:rPr>
                <w:noProof/>
                <w:webHidden/>
              </w:rPr>
              <w:fldChar w:fldCharType="separate"/>
            </w:r>
            <w:r w:rsidR="00892B42">
              <w:rPr>
                <w:noProof/>
                <w:webHidden/>
              </w:rPr>
              <w:t>9</w:t>
            </w:r>
            <w:r w:rsidR="00892B42">
              <w:rPr>
                <w:noProof/>
                <w:webHidden/>
              </w:rPr>
              <w:fldChar w:fldCharType="end"/>
            </w:r>
          </w:hyperlink>
        </w:p>
        <w:p w14:paraId="2DAA1E5F" w14:textId="77777777" w:rsidR="00892B42" w:rsidRDefault="00A55D83">
          <w:pPr>
            <w:pStyle w:val="TOC2"/>
            <w:tabs>
              <w:tab w:val="right" w:leader="dot" w:pos="9350"/>
            </w:tabs>
            <w:rPr>
              <w:rFonts w:asciiTheme="minorHAnsi" w:eastAsiaTheme="minorEastAsia" w:hAnsiTheme="minorHAnsi"/>
              <w:noProof/>
              <w:sz w:val="22"/>
            </w:rPr>
          </w:pPr>
          <w:hyperlink w:anchor="_Toc459080625" w:history="1">
            <w:r w:rsidR="00892B42" w:rsidRPr="00B70512">
              <w:rPr>
                <w:rStyle w:val="Hyperlink"/>
                <w:noProof/>
              </w:rPr>
              <w:t>Training Provided</w:t>
            </w:r>
            <w:r w:rsidR="00892B42">
              <w:rPr>
                <w:noProof/>
                <w:webHidden/>
              </w:rPr>
              <w:tab/>
            </w:r>
            <w:r w:rsidR="00892B42">
              <w:rPr>
                <w:noProof/>
                <w:webHidden/>
              </w:rPr>
              <w:fldChar w:fldCharType="begin"/>
            </w:r>
            <w:r w:rsidR="00892B42">
              <w:rPr>
                <w:noProof/>
                <w:webHidden/>
              </w:rPr>
              <w:instrText xml:space="preserve"> PAGEREF _Toc459080625 \h </w:instrText>
            </w:r>
            <w:r w:rsidR="00892B42">
              <w:rPr>
                <w:noProof/>
                <w:webHidden/>
              </w:rPr>
            </w:r>
            <w:r w:rsidR="00892B42">
              <w:rPr>
                <w:noProof/>
                <w:webHidden/>
              </w:rPr>
              <w:fldChar w:fldCharType="separate"/>
            </w:r>
            <w:r w:rsidR="00892B42">
              <w:rPr>
                <w:noProof/>
                <w:webHidden/>
              </w:rPr>
              <w:t>9</w:t>
            </w:r>
            <w:r w:rsidR="00892B42">
              <w:rPr>
                <w:noProof/>
                <w:webHidden/>
              </w:rPr>
              <w:fldChar w:fldCharType="end"/>
            </w:r>
          </w:hyperlink>
        </w:p>
        <w:p w14:paraId="725BFB86" w14:textId="77777777" w:rsidR="00892B42" w:rsidRDefault="00A55D83">
          <w:pPr>
            <w:pStyle w:val="TOC2"/>
            <w:tabs>
              <w:tab w:val="right" w:leader="dot" w:pos="9350"/>
            </w:tabs>
            <w:rPr>
              <w:rFonts w:asciiTheme="minorHAnsi" w:eastAsiaTheme="minorEastAsia" w:hAnsiTheme="minorHAnsi"/>
              <w:noProof/>
              <w:sz w:val="22"/>
            </w:rPr>
          </w:pPr>
          <w:hyperlink w:anchor="_Toc459080626" w:history="1">
            <w:r w:rsidR="00892B42" w:rsidRPr="00B70512">
              <w:rPr>
                <w:rStyle w:val="Hyperlink"/>
                <w:noProof/>
              </w:rPr>
              <w:t>Regional Quarterly Meetings</w:t>
            </w:r>
            <w:r w:rsidR="00892B42">
              <w:rPr>
                <w:noProof/>
                <w:webHidden/>
              </w:rPr>
              <w:tab/>
            </w:r>
            <w:r w:rsidR="00892B42">
              <w:rPr>
                <w:noProof/>
                <w:webHidden/>
              </w:rPr>
              <w:fldChar w:fldCharType="begin"/>
            </w:r>
            <w:r w:rsidR="00892B42">
              <w:rPr>
                <w:noProof/>
                <w:webHidden/>
              </w:rPr>
              <w:instrText xml:space="preserve"> PAGEREF _Toc459080626 \h </w:instrText>
            </w:r>
            <w:r w:rsidR="00892B42">
              <w:rPr>
                <w:noProof/>
                <w:webHidden/>
              </w:rPr>
            </w:r>
            <w:r w:rsidR="00892B42">
              <w:rPr>
                <w:noProof/>
                <w:webHidden/>
              </w:rPr>
              <w:fldChar w:fldCharType="separate"/>
            </w:r>
            <w:r w:rsidR="00892B42">
              <w:rPr>
                <w:noProof/>
                <w:webHidden/>
              </w:rPr>
              <w:t>10</w:t>
            </w:r>
            <w:r w:rsidR="00892B42">
              <w:rPr>
                <w:noProof/>
                <w:webHidden/>
              </w:rPr>
              <w:fldChar w:fldCharType="end"/>
            </w:r>
          </w:hyperlink>
        </w:p>
        <w:p w14:paraId="4DCD3BCA" w14:textId="77777777" w:rsidR="00892B42" w:rsidRDefault="00A55D83">
          <w:pPr>
            <w:pStyle w:val="TOC2"/>
            <w:tabs>
              <w:tab w:val="right" w:leader="dot" w:pos="9350"/>
            </w:tabs>
            <w:rPr>
              <w:rFonts w:asciiTheme="minorHAnsi" w:eastAsiaTheme="minorEastAsia" w:hAnsiTheme="minorHAnsi"/>
              <w:noProof/>
              <w:sz w:val="22"/>
            </w:rPr>
          </w:pPr>
          <w:hyperlink w:anchor="_Toc459080627" w:history="1">
            <w:r w:rsidR="00892B42" w:rsidRPr="00B70512">
              <w:rPr>
                <w:rStyle w:val="Hyperlink"/>
                <w:noProof/>
              </w:rPr>
              <w:t>Quality Council (QC)</w:t>
            </w:r>
            <w:r w:rsidR="00892B42">
              <w:rPr>
                <w:noProof/>
                <w:webHidden/>
              </w:rPr>
              <w:tab/>
            </w:r>
            <w:r w:rsidR="00892B42">
              <w:rPr>
                <w:noProof/>
                <w:webHidden/>
              </w:rPr>
              <w:fldChar w:fldCharType="begin"/>
            </w:r>
            <w:r w:rsidR="00892B42">
              <w:rPr>
                <w:noProof/>
                <w:webHidden/>
              </w:rPr>
              <w:instrText xml:space="preserve"> PAGEREF _Toc459080627 \h </w:instrText>
            </w:r>
            <w:r w:rsidR="00892B42">
              <w:rPr>
                <w:noProof/>
                <w:webHidden/>
              </w:rPr>
            </w:r>
            <w:r w:rsidR="00892B42">
              <w:rPr>
                <w:noProof/>
                <w:webHidden/>
              </w:rPr>
              <w:fldChar w:fldCharType="separate"/>
            </w:r>
            <w:r w:rsidR="00892B42">
              <w:rPr>
                <w:noProof/>
                <w:webHidden/>
              </w:rPr>
              <w:t>10</w:t>
            </w:r>
            <w:r w:rsidR="00892B42">
              <w:rPr>
                <w:noProof/>
                <w:webHidden/>
              </w:rPr>
              <w:fldChar w:fldCharType="end"/>
            </w:r>
          </w:hyperlink>
        </w:p>
        <w:p w14:paraId="557B94D1" w14:textId="77777777" w:rsidR="00892B42" w:rsidRDefault="00A55D83">
          <w:pPr>
            <w:pStyle w:val="TOC2"/>
            <w:tabs>
              <w:tab w:val="right" w:leader="dot" w:pos="9350"/>
            </w:tabs>
            <w:rPr>
              <w:rFonts w:asciiTheme="minorHAnsi" w:eastAsiaTheme="minorEastAsia" w:hAnsiTheme="minorHAnsi"/>
              <w:noProof/>
              <w:sz w:val="22"/>
            </w:rPr>
          </w:pPr>
          <w:hyperlink w:anchor="_Toc459080628" w:history="1">
            <w:r w:rsidR="00892B42" w:rsidRPr="00B70512">
              <w:rPr>
                <w:rStyle w:val="Hyperlink"/>
                <w:rFonts w:eastAsia="Calibri"/>
                <w:noProof/>
              </w:rPr>
              <w:t>Abuse, Neglect, Exploitation (ANE) Verified by Department of Children and Families (DCF)</w:t>
            </w:r>
            <w:r w:rsidR="00892B42">
              <w:rPr>
                <w:noProof/>
                <w:webHidden/>
              </w:rPr>
              <w:tab/>
            </w:r>
            <w:r w:rsidR="00892B42">
              <w:rPr>
                <w:noProof/>
                <w:webHidden/>
              </w:rPr>
              <w:fldChar w:fldCharType="begin"/>
            </w:r>
            <w:r w:rsidR="00892B42">
              <w:rPr>
                <w:noProof/>
                <w:webHidden/>
              </w:rPr>
              <w:instrText xml:space="preserve"> PAGEREF _Toc459080628 \h </w:instrText>
            </w:r>
            <w:r w:rsidR="00892B42">
              <w:rPr>
                <w:noProof/>
                <w:webHidden/>
              </w:rPr>
            </w:r>
            <w:r w:rsidR="00892B42">
              <w:rPr>
                <w:noProof/>
                <w:webHidden/>
              </w:rPr>
              <w:fldChar w:fldCharType="separate"/>
            </w:r>
            <w:r w:rsidR="00892B42">
              <w:rPr>
                <w:noProof/>
                <w:webHidden/>
              </w:rPr>
              <w:t>11</w:t>
            </w:r>
            <w:r w:rsidR="00892B42">
              <w:rPr>
                <w:noProof/>
                <w:webHidden/>
              </w:rPr>
              <w:fldChar w:fldCharType="end"/>
            </w:r>
          </w:hyperlink>
        </w:p>
        <w:p w14:paraId="0108E701" w14:textId="77777777" w:rsidR="00892B42" w:rsidRDefault="00A55D83">
          <w:pPr>
            <w:pStyle w:val="TOC2"/>
            <w:tabs>
              <w:tab w:val="right" w:leader="dot" w:pos="9350"/>
            </w:tabs>
            <w:rPr>
              <w:rFonts w:asciiTheme="minorHAnsi" w:eastAsiaTheme="minorEastAsia" w:hAnsiTheme="minorHAnsi"/>
              <w:noProof/>
              <w:sz w:val="22"/>
            </w:rPr>
          </w:pPr>
          <w:hyperlink w:anchor="_Toc459080629" w:history="1">
            <w:r w:rsidR="00892B42" w:rsidRPr="00B70512">
              <w:rPr>
                <w:rStyle w:val="Hyperlink"/>
                <w:noProof/>
              </w:rPr>
              <w:t>Feedback Surveys</w:t>
            </w:r>
            <w:r w:rsidR="00892B42">
              <w:rPr>
                <w:noProof/>
                <w:webHidden/>
              </w:rPr>
              <w:tab/>
            </w:r>
            <w:r w:rsidR="00892B42">
              <w:rPr>
                <w:noProof/>
                <w:webHidden/>
              </w:rPr>
              <w:fldChar w:fldCharType="begin"/>
            </w:r>
            <w:r w:rsidR="00892B42">
              <w:rPr>
                <w:noProof/>
                <w:webHidden/>
              </w:rPr>
              <w:instrText xml:space="preserve"> PAGEREF _Toc459080629 \h </w:instrText>
            </w:r>
            <w:r w:rsidR="00892B42">
              <w:rPr>
                <w:noProof/>
                <w:webHidden/>
              </w:rPr>
            </w:r>
            <w:r w:rsidR="00892B42">
              <w:rPr>
                <w:noProof/>
                <w:webHidden/>
              </w:rPr>
              <w:fldChar w:fldCharType="separate"/>
            </w:r>
            <w:r w:rsidR="00892B42">
              <w:rPr>
                <w:noProof/>
                <w:webHidden/>
              </w:rPr>
              <w:t>11</w:t>
            </w:r>
            <w:r w:rsidR="00892B42">
              <w:rPr>
                <w:noProof/>
                <w:webHidden/>
              </w:rPr>
              <w:fldChar w:fldCharType="end"/>
            </w:r>
          </w:hyperlink>
        </w:p>
        <w:p w14:paraId="4D92B301" w14:textId="77777777" w:rsidR="00892B42" w:rsidRDefault="00A55D83">
          <w:pPr>
            <w:pStyle w:val="TOC3"/>
            <w:tabs>
              <w:tab w:val="right" w:leader="dot" w:pos="9350"/>
            </w:tabs>
            <w:rPr>
              <w:rFonts w:asciiTheme="minorHAnsi" w:eastAsiaTheme="minorEastAsia" w:hAnsiTheme="minorHAnsi"/>
              <w:noProof/>
              <w:sz w:val="22"/>
            </w:rPr>
          </w:pPr>
          <w:hyperlink w:anchor="_Toc459080630" w:history="1">
            <w:r w:rsidR="00892B42" w:rsidRPr="00B70512">
              <w:rPr>
                <w:rStyle w:val="Hyperlink"/>
                <w:noProof/>
              </w:rPr>
              <w:t>National Core Indicator (NCI) Consumer Survey Feedback Survey</w:t>
            </w:r>
            <w:r w:rsidR="00892B42">
              <w:rPr>
                <w:noProof/>
                <w:webHidden/>
              </w:rPr>
              <w:tab/>
            </w:r>
            <w:r w:rsidR="00892B42">
              <w:rPr>
                <w:noProof/>
                <w:webHidden/>
              </w:rPr>
              <w:fldChar w:fldCharType="begin"/>
            </w:r>
            <w:r w:rsidR="00892B42">
              <w:rPr>
                <w:noProof/>
                <w:webHidden/>
              </w:rPr>
              <w:instrText xml:space="preserve"> PAGEREF _Toc459080630 \h </w:instrText>
            </w:r>
            <w:r w:rsidR="00892B42">
              <w:rPr>
                <w:noProof/>
                <w:webHidden/>
              </w:rPr>
            </w:r>
            <w:r w:rsidR="00892B42">
              <w:rPr>
                <w:noProof/>
                <w:webHidden/>
              </w:rPr>
              <w:fldChar w:fldCharType="separate"/>
            </w:r>
            <w:r w:rsidR="00892B42">
              <w:rPr>
                <w:noProof/>
                <w:webHidden/>
              </w:rPr>
              <w:t>11</w:t>
            </w:r>
            <w:r w:rsidR="00892B42">
              <w:rPr>
                <w:noProof/>
                <w:webHidden/>
              </w:rPr>
              <w:fldChar w:fldCharType="end"/>
            </w:r>
          </w:hyperlink>
        </w:p>
        <w:p w14:paraId="0FEA1C90" w14:textId="77777777" w:rsidR="00892B42" w:rsidRDefault="00A55D83">
          <w:pPr>
            <w:pStyle w:val="TOC3"/>
            <w:tabs>
              <w:tab w:val="right" w:leader="dot" w:pos="9350"/>
            </w:tabs>
            <w:rPr>
              <w:rFonts w:asciiTheme="minorHAnsi" w:eastAsiaTheme="minorEastAsia" w:hAnsiTheme="minorHAnsi"/>
              <w:noProof/>
              <w:sz w:val="22"/>
            </w:rPr>
          </w:pPr>
          <w:hyperlink w:anchor="_Toc459080631" w:history="1">
            <w:r w:rsidR="00892B42" w:rsidRPr="00B70512">
              <w:rPr>
                <w:rStyle w:val="Hyperlink"/>
                <w:noProof/>
              </w:rPr>
              <w:t>Provider Feedback Survey</w:t>
            </w:r>
            <w:r w:rsidR="00892B42">
              <w:rPr>
                <w:noProof/>
                <w:webHidden/>
              </w:rPr>
              <w:tab/>
            </w:r>
            <w:r w:rsidR="00892B42">
              <w:rPr>
                <w:noProof/>
                <w:webHidden/>
              </w:rPr>
              <w:fldChar w:fldCharType="begin"/>
            </w:r>
            <w:r w:rsidR="00892B42">
              <w:rPr>
                <w:noProof/>
                <w:webHidden/>
              </w:rPr>
              <w:instrText xml:space="preserve"> PAGEREF _Toc459080631 \h </w:instrText>
            </w:r>
            <w:r w:rsidR="00892B42">
              <w:rPr>
                <w:noProof/>
                <w:webHidden/>
              </w:rPr>
            </w:r>
            <w:r w:rsidR="00892B42">
              <w:rPr>
                <w:noProof/>
                <w:webHidden/>
              </w:rPr>
              <w:fldChar w:fldCharType="separate"/>
            </w:r>
            <w:r w:rsidR="00892B42">
              <w:rPr>
                <w:noProof/>
                <w:webHidden/>
              </w:rPr>
              <w:t>12</w:t>
            </w:r>
            <w:r w:rsidR="00892B42">
              <w:rPr>
                <w:noProof/>
                <w:webHidden/>
              </w:rPr>
              <w:fldChar w:fldCharType="end"/>
            </w:r>
          </w:hyperlink>
        </w:p>
        <w:p w14:paraId="23566E2C" w14:textId="77777777" w:rsidR="00892B42" w:rsidRDefault="00A55D83">
          <w:pPr>
            <w:pStyle w:val="TOC2"/>
            <w:tabs>
              <w:tab w:val="right" w:leader="dot" w:pos="9350"/>
            </w:tabs>
            <w:rPr>
              <w:rFonts w:asciiTheme="minorHAnsi" w:eastAsiaTheme="minorEastAsia" w:hAnsiTheme="minorHAnsi"/>
              <w:noProof/>
              <w:sz w:val="22"/>
            </w:rPr>
          </w:pPr>
          <w:hyperlink w:anchor="_Toc459080632" w:history="1">
            <w:r w:rsidR="00892B42" w:rsidRPr="00B70512">
              <w:rPr>
                <w:rStyle w:val="Hyperlink"/>
                <w:noProof/>
              </w:rPr>
              <w:t>Summary of Customer Service Calls</w:t>
            </w:r>
            <w:r w:rsidR="00892B42">
              <w:rPr>
                <w:noProof/>
                <w:webHidden/>
              </w:rPr>
              <w:tab/>
            </w:r>
            <w:r w:rsidR="00892B42">
              <w:rPr>
                <w:noProof/>
                <w:webHidden/>
              </w:rPr>
              <w:fldChar w:fldCharType="begin"/>
            </w:r>
            <w:r w:rsidR="00892B42">
              <w:rPr>
                <w:noProof/>
                <w:webHidden/>
              </w:rPr>
              <w:instrText xml:space="preserve"> PAGEREF _Toc459080632 \h </w:instrText>
            </w:r>
            <w:r w:rsidR="00892B42">
              <w:rPr>
                <w:noProof/>
                <w:webHidden/>
              </w:rPr>
            </w:r>
            <w:r w:rsidR="00892B42">
              <w:rPr>
                <w:noProof/>
                <w:webHidden/>
              </w:rPr>
              <w:fldChar w:fldCharType="separate"/>
            </w:r>
            <w:r w:rsidR="00892B42">
              <w:rPr>
                <w:noProof/>
                <w:webHidden/>
              </w:rPr>
              <w:t>12</w:t>
            </w:r>
            <w:r w:rsidR="00892B42">
              <w:rPr>
                <w:noProof/>
                <w:webHidden/>
              </w:rPr>
              <w:fldChar w:fldCharType="end"/>
            </w:r>
          </w:hyperlink>
        </w:p>
        <w:p w14:paraId="45CD47C1" w14:textId="77777777" w:rsidR="00892B42" w:rsidRDefault="00A55D83">
          <w:pPr>
            <w:pStyle w:val="TOC2"/>
            <w:tabs>
              <w:tab w:val="right" w:leader="dot" w:pos="9350"/>
            </w:tabs>
            <w:rPr>
              <w:rFonts w:asciiTheme="minorHAnsi" w:eastAsiaTheme="minorEastAsia" w:hAnsiTheme="minorHAnsi"/>
              <w:noProof/>
              <w:sz w:val="22"/>
            </w:rPr>
          </w:pPr>
          <w:hyperlink w:anchor="_Toc459080633" w:history="1">
            <w:r w:rsidR="00892B42" w:rsidRPr="00B70512">
              <w:rPr>
                <w:rStyle w:val="Hyperlink"/>
                <w:noProof/>
              </w:rPr>
              <w:t>Data Availability</w:t>
            </w:r>
            <w:r w:rsidR="00892B42">
              <w:rPr>
                <w:noProof/>
                <w:webHidden/>
              </w:rPr>
              <w:tab/>
            </w:r>
            <w:r w:rsidR="00892B42">
              <w:rPr>
                <w:noProof/>
                <w:webHidden/>
              </w:rPr>
              <w:fldChar w:fldCharType="begin"/>
            </w:r>
            <w:r w:rsidR="00892B42">
              <w:rPr>
                <w:noProof/>
                <w:webHidden/>
              </w:rPr>
              <w:instrText xml:space="preserve"> PAGEREF _Toc459080633 \h </w:instrText>
            </w:r>
            <w:r w:rsidR="00892B42">
              <w:rPr>
                <w:noProof/>
                <w:webHidden/>
              </w:rPr>
            </w:r>
            <w:r w:rsidR="00892B42">
              <w:rPr>
                <w:noProof/>
                <w:webHidden/>
              </w:rPr>
              <w:fldChar w:fldCharType="separate"/>
            </w:r>
            <w:r w:rsidR="00892B42">
              <w:rPr>
                <w:noProof/>
                <w:webHidden/>
              </w:rPr>
              <w:t>13</w:t>
            </w:r>
            <w:r w:rsidR="00892B42">
              <w:rPr>
                <w:noProof/>
                <w:webHidden/>
              </w:rPr>
              <w:fldChar w:fldCharType="end"/>
            </w:r>
          </w:hyperlink>
        </w:p>
        <w:p w14:paraId="6F4692AC" w14:textId="77777777" w:rsidR="00892B42" w:rsidRDefault="00A55D83">
          <w:pPr>
            <w:pStyle w:val="TOC2"/>
            <w:tabs>
              <w:tab w:val="right" w:leader="dot" w:pos="9350"/>
            </w:tabs>
            <w:rPr>
              <w:rFonts w:asciiTheme="minorHAnsi" w:eastAsiaTheme="minorEastAsia" w:hAnsiTheme="minorHAnsi"/>
              <w:noProof/>
              <w:sz w:val="22"/>
            </w:rPr>
          </w:pPr>
          <w:hyperlink w:anchor="_Toc459080634" w:history="1">
            <w:r w:rsidR="00892B42" w:rsidRPr="00B70512">
              <w:rPr>
                <w:rStyle w:val="Hyperlink"/>
                <w:noProof/>
              </w:rPr>
              <w:t>Staff Changes</w:t>
            </w:r>
            <w:r w:rsidR="00892B42">
              <w:rPr>
                <w:noProof/>
                <w:webHidden/>
              </w:rPr>
              <w:tab/>
            </w:r>
            <w:r w:rsidR="00892B42">
              <w:rPr>
                <w:noProof/>
                <w:webHidden/>
              </w:rPr>
              <w:fldChar w:fldCharType="begin"/>
            </w:r>
            <w:r w:rsidR="00892B42">
              <w:rPr>
                <w:noProof/>
                <w:webHidden/>
              </w:rPr>
              <w:instrText xml:space="preserve"> PAGEREF _Toc459080634 \h </w:instrText>
            </w:r>
            <w:r w:rsidR="00892B42">
              <w:rPr>
                <w:noProof/>
                <w:webHidden/>
              </w:rPr>
            </w:r>
            <w:r w:rsidR="00892B42">
              <w:rPr>
                <w:noProof/>
                <w:webHidden/>
              </w:rPr>
              <w:fldChar w:fldCharType="separate"/>
            </w:r>
            <w:r w:rsidR="00892B42">
              <w:rPr>
                <w:noProof/>
                <w:webHidden/>
              </w:rPr>
              <w:t>13</w:t>
            </w:r>
            <w:r w:rsidR="00892B42">
              <w:rPr>
                <w:noProof/>
                <w:webHidden/>
              </w:rPr>
              <w:fldChar w:fldCharType="end"/>
            </w:r>
          </w:hyperlink>
        </w:p>
        <w:p w14:paraId="0175CF58" w14:textId="77777777" w:rsidR="00892B42" w:rsidRDefault="00A55D83">
          <w:pPr>
            <w:pStyle w:val="TOC1"/>
            <w:rPr>
              <w:rFonts w:asciiTheme="minorHAnsi" w:eastAsiaTheme="minorEastAsia" w:hAnsiTheme="minorHAnsi"/>
              <w:noProof/>
              <w:sz w:val="22"/>
            </w:rPr>
          </w:pPr>
          <w:hyperlink w:anchor="_Toc459080635" w:history="1">
            <w:r w:rsidR="00892B42" w:rsidRPr="00B70512">
              <w:rPr>
                <w:rStyle w:val="Hyperlink"/>
                <w:noProof/>
              </w:rPr>
              <w:t>Section II:  Data from Review Activities</w:t>
            </w:r>
            <w:r w:rsidR="00892B42">
              <w:rPr>
                <w:noProof/>
                <w:webHidden/>
              </w:rPr>
              <w:tab/>
            </w:r>
            <w:r w:rsidR="00892B42">
              <w:rPr>
                <w:noProof/>
                <w:webHidden/>
              </w:rPr>
              <w:fldChar w:fldCharType="begin"/>
            </w:r>
            <w:r w:rsidR="00892B42">
              <w:rPr>
                <w:noProof/>
                <w:webHidden/>
              </w:rPr>
              <w:instrText xml:space="preserve"> PAGEREF _Toc459080635 \h </w:instrText>
            </w:r>
            <w:r w:rsidR="00892B42">
              <w:rPr>
                <w:noProof/>
                <w:webHidden/>
              </w:rPr>
            </w:r>
            <w:r w:rsidR="00892B42">
              <w:rPr>
                <w:noProof/>
                <w:webHidden/>
              </w:rPr>
              <w:fldChar w:fldCharType="separate"/>
            </w:r>
            <w:r w:rsidR="00892B42">
              <w:rPr>
                <w:noProof/>
                <w:webHidden/>
              </w:rPr>
              <w:t>14</w:t>
            </w:r>
            <w:r w:rsidR="00892B42">
              <w:rPr>
                <w:noProof/>
                <w:webHidden/>
              </w:rPr>
              <w:fldChar w:fldCharType="end"/>
            </w:r>
          </w:hyperlink>
        </w:p>
        <w:p w14:paraId="1FA00404" w14:textId="77777777" w:rsidR="00892B42" w:rsidRDefault="00A55D83">
          <w:pPr>
            <w:pStyle w:val="TOC2"/>
            <w:tabs>
              <w:tab w:val="right" w:leader="dot" w:pos="9350"/>
            </w:tabs>
            <w:rPr>
              <w:rFonts w:asciiTheme="minorHAnsi" w:eastAsiaTheme="minorEastAsia" w:hAnsiTheme="minorHAnsi"/>
              <w:noProof/>
              <w:sz w:val="22"/>
            </w:rPr>
          </w:pPr>
          <w:hyperlink w:anchor="_Toc459080636" w:history="1">
            <w:r w:rsidR="00892B42" w:rsidRPr="00B70512">
              <w:rPr>
                <w:rStyle w:val="Hyperlink"/>
                <w:noProof/>
              </w:rPr>
              <w:t>Person Centered Reviews (PCR)</w:t>
            </w:r>
            <w:r w:rsidR="00892B42">
              <w:rPr>
                <w:noProof/>
                <w:webHidden/>
              </w:rPr>
              <w:tab/>
            </w:r>
            <w:r w:rsidR="00892B42">
              <w:rPr>
                <w:noProof/>
                <w:webHidden/>
              </w:rPr>
              <w:fldChar w:fldCharType="begin"/>
            </w:r>
            <w:r w:rsidR="00892B42">
              <w:rPr>
                <w:noProof/>
                <w:webHidden/>
              </w:rPr>
              <w:instrText xml:space="preserve"> PAGEREF _Toc459080636 \h </w:instrText>
            </w:r>
            <w:r w:rsidR="00892B42">
              <w:rPr>
                <w:noProof/>
                <w:webHidden/>
              </w:rPr>
            </w:r>
            <w:r w:rsidR="00892B42">
              <w:rPr>
                <w:noProof/>
                <w:webHidden/>
              </w:rPr>
              <w:fldChar w:fldCharType="separate"/>
            </w:r>
            <w:r w:rsidR="00892B42">
              <w:rPr>
                <w:noProof/>
                <w:webHidden/>
              </w:rPr>
              <w:t>14</w:t>
            </w:r>
            <w:r w:rsidR="00892B42">
              <w:rPr>
                <w:noProof/>
                <w:webHidden/>
              </w:rPr>
              <w:fldChar w:fldCharType="end"/>
            </w:r>
          </w:hyperlink>
        </w:p>
        <w:p w14:paraId="58C6C4E6" w14:textId="77777777" w:rsidR="00892B42" w:rsidRDefault="00A55D83">
          <w:pPr>
            <w:pStyle w:val="TOC3"/>
            <w:tabs>
              <w:tab w:val="right" w:leader="dot" w:pos="9350"/>
            </w:tabs>
            <w:rPr>
              <w:rFonts w:asciiTheme="minorHAnsi" w:eastAsiaTheme="minorEastAsia" w:hAnsiTheme="minorHAnsi"/>
              <w:noProof/>
              <w:sz w:val="22"/>
            </w:rPr>
          </w:pPr>
          <w:hyperlink w:anchor="_Toc459080637" w:history="1">
            <w:r w:rsidR="00892B42" w:rsidRPr="00B70512">
              <w:rPr>
                <w:rStyle w:val="Hyperlink"/>
                <w:noProof/>
              </w:rPr>
              <w:t>Demographics</w:t>
            </w:r>
            <w:r w:rsidR="00892B42">
              <w:rPr>
                <w:noProof/>
                <w:webHidden/>
              </w:rPr>
              <w:tab/>
            </w:r>
            <w:r w:rsidR="00892B42">
              <w:rPr>
                <w:noProof/>
                <w:webHidden/>
              </w:rPr>
              <w:fldChar w:fldCharType="begin"/>
            </w:r>
            <w:r w:rsidR="00892B42">
              <w:rPr>
                <w:noProof/>
                <w:webHidden/>
              </w:rPr>
              <w:instrText xml:space="preserve"> PAGEREF _Toc459080637 \h </w:instrText>
            </w:r>
            <w:r w:rsidR="00892B42">
              <w:rPr>
                <w:noProof/>
                <w:webHidden/>
              </w:rPr>
            </w:r>
            <w:r w:rsidR="00892B42">
              <w:rPr>
                <w:noProof/>
                <w:webHidden/>
              </w:rPr>
              <w:fldChar w:fldCharType="separate"/>
            </w:r>
            <w:r w:rsidR="00892B42">
              <w:rPr>
                <w:noProof/>
                <w:webHidden/>
              </w:rPr>
              <w:t>15</w:t>
            </w:r>
            <w:r w:rsidR="00892B42">
              <w:rPr>
                <w:noProof/>
                <w:webHidden/>
              </w:rPr>
              <w:fldChar w:fldCharType="end"/>
            </w:r>
          </w:hyperlink>
        </w:p>
        <w:p w14:paraId="5C7CA0C7" w14:textId="77777777" w:rsidR="00892B42" w:rsidRDefault="00A55D83">
          <w:pPr>
            <w:pStyle w:val="TOC3"/>
            <w:tabs>
              <w:tab w:val="right" w:leader="dot" w:pos="9350"/>
            </w:tabs>
            <w:rPr>
              <w:rFonts w:asciiTheme="minorHAnsi" w:eastAsiaTheme="minorEastAsia" w:hAnsiTheme="minorHAnsi"/>
              <w:noProof/>
              <w:sz w:val="22"/>
            </w:rPr>
          </w:pPr>
          <w:hyperlink w:anchor="_Toc459080638" w:history="1">
            <w:r w:rsidR="00892B42" w:rsidRPr="00B70512">
              <w:rPr>
                <w:rStyle w:val="Hyperlink"/>
                <w:noProof/>
              </w:rPr>
              <w:t>PCR Individual Interview (II)</w:t>
            </w:r>
            <w:r w:rsidR="00892B42">
              <w:rPr>
                <w:noProof/>
                <w:webHidden/>
              </w:rPr>
              <w:tab/>
            </w:r>
            <w:r w:rsidR="00892B42">
              <w:rPr>
                <w:noProof/>
                <w:webHidden/>
              </w:rPr>
              <w:fldChar w:fldCharType="begin"/>
            </w:r>
            <w:r w:rsidR="00892B42">
              <w:rPr>
                <w:noProof/>
                <w:webHidden/>
              </w:rPr>
              <w:instrText xml:space="preserve"> PAGEREF _Toc459080638 \h </w:instrText>
            </w:r>
            <w:r w:rsidR="00892B42">
              <w:rPr>
                <w:noProof/>
                <w:webHidden/>
              </w:rPr>
            </w:r>
            <w:r w:rsidR="00892B42">
              <w:rPr>
                <w:noProof/>
                <w:webHidden/>
              </w:rPr>
              <w:fldChar w:fldCharType="separate"/>
            </w:r>
            <w:r w:rsidR="00892B42">
              <w:rPr>
                <w:noProof/>
                <w:webHidden/>
              </w:rPr>
              <w:t>17</w:t>
            </w:r>
            <w:r w:rsidR="00892B42">
              <w:rPr>
                <w:noProof/>
                <w:webHidden/>
              </w:rPr>
              <w:fldChar w:fldCharType="end"/>
            </w:r>
          </w:hyperlink>
        </w:p>
        <w:p w14:paraId="3430E622" w14:textId="77777777" w:rsidR="00892B42" w:rsidRDefault="00A55D83">
          <w:pPr>
            <w:pStyle w:val="TOC3"/>
            <w:tabs>
              <w:tab w:val="right" w:leader="dot" w:pos="9350"/>
            </w:tabs>
            <w:rPr>
              <w:rFonts w:asciiTheme="minorHAnsi" w:eastAsiaTheme="minorEastAsia" w:hAnsiTheme="minorHAnsi"/>
              <w:noProof/>
              <w:sz w:val="22"/>
            </w:rPr>
          </w:pPr>
          <w:hyperlink w:anchor="_Toc459080639" w:history="1">
            <w:r w:rsidR="00892B42" w:rsidRPr="00B70512">
              <w:rPr>
                <w:rStyle w:val="Hyperlink"/>
                <w:noProof/>
              </w:rPr>
              <w:t>PCR Waiver Support Coordinator (WSC) Interview</w:t>
            </w:r>
            <w:r w:rsidR="00892B42">
              <w:rPr>
                <w:noProof/>
                <w:webHidden/>
              </w:rPr>
              <w:tab/>
            </w:r>
            <w:r w:rsidR="00892B42">
              <w:rPr>
                <w:noProof/>
                <w:webHidden/>
              </w:rPr>
              <w:fldChar w:fldCharType="begin"/>
            </w:r>
            <w:r w:rsidR="00892B42">
              <w:rPr>
                <w:noProof/>
                <w:webHidden/>
              </w:rPr>
              <w:instrText xml:space="preserve"> PAGEREF _Toc459080639 \h </w:instrText>
            </w:r>
            <w:r w:rsidR="00892B42">
              <w:rPr>
                <w:noProof/>
                <w:webHidden/>
              </w:rPr>
            </w:r>
            <w:r w:rsidR="00892B42">
              <w:rPr>
                <w:noProof/>
                <w:webHidden/>
              </w:rPr>
              <w:fldChar w:fldCharType="separate"/>
            </w:r>
            <w:r w:rsidR="00892B42">
              <w:rPr>
                <w:noProof/>
                <w:webHidden/>
              </w:rPr>
              <w:t>21</w:t>
            </w:r>
            <w:r w:rsidR="00892B42">
              <w:rPr>
                <w:noProof/>
                <w:webHidden/>
              </w:rPr>
              <w:fldChar w:fldCharType="end"/>
            </w:r>
          </w:hyperlink>
        </w:p>
        <w:p w14:paraId="52F97926" w14:textId="77777777" w:rsidR="00892B42" w:rsidRDefault="00A55D83">
          <w:pPr>
            <w:pStyle w:val="TOC3"/>
            <w:tabs>
              <w:tab w:val="right" w:leader="dot" w:pos="9350"/>
            </w:tabs>
            <w:rPr>
              <w:rFonts w:asciiTheme="minorHAnsi" w:eastAsiaTheme="minorEastAsia" w:hAnsiTheme="minorHAnsi"/>
              <w:noProof/>
              <w:sz w:val="22"/>
            </w:rPr>
          </w:pPr>
          <w:hyperlink w:anchor="_Toc459080640" w:history="1">
            <w:r w:rsidR="00892B42" w:rsidRPr="00B70512">
              <w:rPr>
                <w:rStyle w:val="Hyperlink"/>
                <w:noProof/>
              </w:rPr>
              <w:t>PCR Waiver Support Coordinator and CDC+ Consultant Record Reviews</w:t>
            </w:r>
            <w:r w:rsidR="00892B42">
              <w:rPr>
                <w:noProof/>
                <w:webHidden/>
              </w:rPr>
              <w:tab/>
            </w:r>
            <w:r w:rsidR="00892B42">
              <w:rPr>
                <w:noProof/>
                <w:webHidden/>
              </w:rPr>
              <w:fldChar w:fldCharType="begin"/>
            </w:r>
            <w:r w:rsidR="00892B42">
              <w:rPr>
                <w:noProof/>
                <w:webHidden/>
              </w:rPr>
              <w:instrText xml:space="preserve"> PAGEREF _Toc459080640 \h </w:instrText>
            </w:r>
            <w:r w:rsidR="00892B42">
              <w:rPr>
                <w:noProof/>
                <w:webHidden/>
              </w:rPr>
            </w:r>
            <w:r w:rsidR="00892B42">
              <w:rPr>
                <w:noProof/>
                <w:webHidden/>
              </w:rPr>
              <w:fldChar w:fldCharType="separate"/>
            </w:r>
            <w:r w:rsidR="00892B42">
              <w:rPr>
                <w:noProof/>
                <w:webHidden/>
              </w:rPr>
              <w:t>22</w:t>
            </w:r>
            <w:r w:rsidR="00892B42">
              <w:rPr>
                <w:noProof/>
                <w:webHidden/>
              </w:rPr>
              <w:fldChar w:fldCharType="end"/>
            </w:r>
          </w:hyperlink>
        </w:p>
        <w:p w14:paraId="47A975A1" w14:textId="77777777" w:rsidR="00892B42" w:rsidRDefault="00A55D83">
          <w:pPr>
            <w:pStyle w:val="TOC3"/>
            <w:tabs>
              <w:tab w:val="right" w:leader="dot" w:pos="9350"/>
            </w:tabs>
            <w:rPr>
              <w:rFonts w:asciiTheme="minorHAnsi" w:eastAsiaTheme="minorEastAsia" w:hAnsiTheme="minorHAnsi"/>
              <w:noProof/>
              <w:sz w:val="22"/>
            </w:rPr>
          </w:pPr>
          <w:hyperlink w:anchor="_Toc459080641" w:history="1">
            <w:r w:rsidR="00892B42" w:rsidRPr="00B70512">
              <w:rPr>
                <w:rStyle w:val="Hyperlink"/>
                <w:noProof/>
              </w:rPr>
              <w:t>CDC+ Representative (CDC-R)</w:t>
            </w:r>
            <w:r w:rsidR="00892B42">
              <w:rPr>
                <w:noProof/>
                <w:webHidden/>
              </w:rPr>
              <w:tab/>
            </w:r>
            <w:r w:rsidR="00892B42">
              <w:rPr>
                <w:noProof/>
                <w:webHidden/>
              </w:rPr>
              <w:fldChar w:fldCharType="begin"/>
            </w:r>
            <w:r w:rsidR="00892B42">
              <w:rPr>
                <w:noProof/>
                <w:webHidden/>
              </w:rPr>
              <w:instrText xml:space="preserve"> PAGEREF _Toc459080641 \h </w:instrText>
            </w:r>
            <w:r w:rsidR="00892B42">
              <w:rPr>
                <w:noProof/>
                <w:webHidden/>
              </w:rPr>
            </w:r>
            <w:r w:rsidR="00892B42">
              <w:rPr>
                <w:noProof/>
                <w:webHidden/>
              </w:rPr>
              <w:fldChar w:fldCharType="separate"/>
            </w:r>
            <w:r w:rsidR="00892B42">
              <w:rPr>
                <w:noProof/>
                <w:webHidden/>
              </w:rPr>
              <w:t>26</w:t>
            </w:r>
            <w:r w:rsidR="00892B42">
              <w:rPr>
                <w:noProof/>
                <w:webHidden/>
              </w:rPr>
              <w:fldChar w:fldCharType="end"/>
            </w:r>
          </w:hyperlink>
        </w:p>
        <w:p w14:paraId="4B127EA0" w14:textId="77777777" w:rsidR="00892B42" w:rsidRDefault="00A55D83">
          <w:pPr>
            <w:pStyle w:val="TOC3"/>
            <w:tabs>
              <w:tab w:val="right" w:leader="dot" w:pos="9350"/>
            </w:tabs>
            <w:rPr>
              <w:rFonts w:asciiTheme="minorHAnsi" w:eastAsiaTheme="minorEastAsia" w:hAnsiTheme="minorHAnsi"/>
              <w:noProof/>
              <w:sz w:val="22"/>
            </w:rPr>
          </w:pPr>
          <w:hyperlink w:anchor="_Toc459080642" w:history="1">
            <w:r w:rsidR="00892B42" w:rsidRPr="00B70512">
              <w:rPr>
                <w:rStyle w:val="Hyperlink"/>
                <w:noProof/>
              </w:rPr>
              <w:t>Health Summary</w:t>
            </w:r>
            <w:r w:rsidR="00892B42">
              <w:rPr>
                <w:noProof/>
                <w:webHidden/>
              </w:rPr>
              <w:tab/>
            </w:r>
            <w:r w:rsidR="00892B42">
              <w:rPr>
                <w:noProof/>
                <w:webHidden/>
              </w:rPr>
              <w:fldChar w:fldCharType="begin"/>
            </w:r>
            <w:r w:rsidR="00892B42">
              <w:rPr>
                <w:noProof/>
                <w:webHidden/>
              </w:rPr>
              <w:instrText xml:space="preserve"> PAGEREF _Toc459080642 \h </w:instrText>
            </w:r>
            <w:r w:rsidR="00892B42">
              <w:rPr>
                <w:noProof/>
                <w:webHidden/>
              </w:rPr>
            </w:r>
            <w:r w:rsidR="00892B42">
              <w:rPr>
                <w:noProof/>
                <w:webHidden/>
              </w:rPr>
              <w:fldChar w:fldCharType="separate"/>
            </w:r>
            <w:r w:rsidR="00892B42">
              <w:rPr>
                <w:noProof/>
                <w:webHidden/>
              </w:rPr>
              <w:t>28</w:t>
            </w:r>
            <w:r w:rsidR="00892B42">
              <w:rPr>
                <w:noProof/>
                <w:webHidden/>
              </w:rPr>
              <w:fldChar w:fldCharType="end"/>
            </w:r>
          </w:hyperlink>
        </w:p>
        <w:p w14:paraId="1F909180" w14:textId="77777777" w:rsidR="00892B42" w:rsidRDefault="00A55D83">
          <w:pPr>
            <w:pStyle w:val="TOC2"/>
            <w:tabs>
              <w:tab w:val="right" w:leader="dot" w:pos="9350"/>
            </w:tabs>
            <w:rPr>
              <w:rFonts w:asciiTheme="minorHAnsi" w:eastAsiaTheme="minorEastAsia" w:hAnsiTheme="minorHAnsi"/>
              <w:noProof/>
              <w:sz w:val="22"/>
            </w:rPr>
          </w:pPr>
          <w:hyperlink w:anchor="_Toc459080643" w:history="1">
            <w:r w:rsidR="00892B42" w:rsidRPr="00B70512">
              <w:rPr>
                <w:rStyle w:val="Hyperlink"/>
                <w:noProof/>
              </w:rPr>
              <w:t>National Core Indicator (NCI) Adult Consumer Survey Results</w:t>
            </w:r>
            <w:r w:rsidR="00892B42">
              <w:rPr>
                <w:noProof/>
                <w:webHidden/>
              </w:rPr>
              <w:tab/>
            </w:r>
            <w:r w:rsidR="00892B42">
              <w:rPr>
                <w:noProof/>
                <w:webHidden/>
              </w:rPr>
              <w:fldChar w:fldCharType="begin"/>
            </w:r>
            <w:r w:rsidR="00892B42">
              <w:rPr>
                <w:noProof/>
                <w:webHidden/>
              </w:rPr>
              <w:instrText xml:space="preserve"> PAGEREF _Toc459080643 \h </w:instrText>
            </w:r>
            <w:r w:rsidR="00892B42">
              <w:rPr>
                <w:noProof/>
                <w:webHidden/>
              </w:rPr>
            </w:r>
            <w:r w:rsidR="00892B42">
              <w:rPr>
                <w:noProof/>
                <w:webHidden/>
              </w:rPr>
              <w:fldChar w:fldCharType="separate"/>
            </w:r>
            <w:r w:rsidR="00892B42">
              <w:rPr>
                <w:noProof/>
                <w:webHidden/>
              </w:rPr>
              <w:t>29</w:t>
            </w:r>
            <w:r w:rsidR="00892B42">
              <w:rPr>
                <w:noProof/>
                <w:webHidden/>
              </w:rPr>
              <w:fldChar w:fldCharType="end"/>
            </w:r>
          </w:hyperlink>
        </w:p>
        <w:p w14:paraId="082A9905" w14:textId="77777777" w:rsidR="00892B42" w:rsidRDefault="00A55D83">
          <w:pPr>
            <w:pStyle w:val="TOC2"/>
            <w:tabs>
              <w:tab w:val="right" w:leader="dot" w:pos="9350"/>
            </w:tabs>
            <w:rPr>
              <w:rFonts w:asciiTheme="minorHAnsi" w:eastAsiaTheme="minorEastAsia" w:hAnsiTheme="minorHAnsi"/>
              <w:noProof/>
              <w:sz w:val="22"/>
            </w:rPr>
          </w:pPr>
          <w:hyperlink w:anchor="_Toc459080644" w:history="1">
            <w:r w:rsidR="00892B42" w:rsidRPr="00B70512">
              <w:rPr>
                <w:rStyle w:val="Hyperlink"/>
                <w:noProof/>
              </w:rPr>
              <w:t>Provider Discovery Reviews (PDR)</w:t>
            </w:r>
            <w:r w:rsidR="00892B42">
              <w:rPr>
                <w:noProof/>
                <w:webHidden/>
              </w:rPr>
              <w:tab/>
            </w:r>
            <w:r w:rsidR="00892B42">
              <w:rPr>
                <w:noProof/>
                <w:webHidden/>
              </w:rPr>
              <w:fldChar w:fldCharType="begin"/>
            </w:r>
            <w:r w:rsidR="00892B42">
              <w:rPr>
                <w:noProof/>
                <w:webHidden/>
              </w:rPr>
              <w:instrText xml:space="preserve"> PAGEREF _Toc459080644 \h </w:instrText>
            </w:r>
            <w:r w:rsidR="00892B42">
              <w:rPr>
                <w:noProof/>
                <w:webHidden/>
              </w:rPr>
            </w:r>
            <w:r w:rsidR="00892B42">
              <w:rPr>
                <w:noProof/>
                <w:webHidden/>
              </w:rPr>
              <w:fldChar w:fldCharType="separate"/>
            </w:r>
            <w:r w:rsidR="00892B42">
              <w:rPr>
                <w:noProof/>
                <w:webHidden/>
              </w:rPr>
              <w:t>30</w:t>
            </w:r>
            <w:r w:rsidR="00892B42">
              <w:rPr>
                <w:noProof/>
                <w:webHidden/>
              </w:rPr>
              <w:fldChar w:fldCharType="end"/>
            </w:r>
          </w:hyperlink>
        </w:p>
        <w:p w14:paraId="653D0D29" w14:textId="77777777" w:rsidR="00892B42" w:rsidRDefault="00A55D83">
          <w:pPr>
            <w:pStyle w:val="TOC3"/>
            <w:tabs>
              <w:tab w:val="right" w:leader="dot" w:pos="9350"/>
            </w:tabs>
            <w:rPr>
              <w:rFonts w:asciiTheme="minorHAnsi" w:eastAsiaTheme="minorEastAsia" w:hAnsiTheme="minorHAnsi"/>
              <w:noProof/>
              <w:sz w:val="22"/>
            </w:rPr>
          </w:pPr>
          <w:hyperlink w:anchor="_Toc459080645" w:history="1">
            <w:r w:rsidR="00892B42" w:rsidRPr="00B70512">
              <w:rPr>
                <w:rStyle w:val="Hyperlink"/>
                <w:noProof/>
              </w:rPr>
              <w:t>PDR Individual and Staff Interviews</w:t>
            </w:r>
            <w:r w:rsidR="00892B42">
              <w:rPr>
                <w:noProof/>
                <w:webHidden/>
              </w:rPr>
              <w:tab/>
            </w:r>
            <w:r w:rsidR="00892B42">
              <w:rPr>
                <w:noProof/>
                <w:webHidden/>
              </w:rPr>
              <w:fldChar w:fldCharType="begin"/>
            </w:r>
            <w:r w:rsidR="00892B42">
              <w:rPr>
                <w:noProof/>
                <w:webHidden/>
              </w:rPr>
              <w:instrText xml:space="preserve"> PAGEREF _Toc459080645 \h </w:instrText>
            </w:r>
            <w:r w:rsidR="00892B42">
              <w:rPr>
                <w:noProof/>
                <w:webHidden/>
              </w:rPr>
            </w:r>
            <w:r w:rsidR="00892B42">
              <w:rPr>
                <w:noProof/>
                <w:webHidden/>
              </w:rPr>
              <w:fldChar w:fldCharType="separate"/>
            </w:r>
            <w:r w:rsidR="00892B42">
              <w:rPr>
                <w:noProof/>
                <w:webHidden/>
              </w:rPr>
              <w:t>30</w:t>
            </w:r>
            <w:r w:rsidR="00892B42">
              <w:rPr>
                <w:noProof/>
                <w:webHidden/>
              </w:rPr>
              <w:fldChar w:fldCharType="end"/>
            </w:r>
          </w:hyperlink>
        </w:p>
        <w:p w14:paraId="722ECE82" w14:textId="77777777" w:rsidR="00892B42" w:rsidRDefault="00A55D83">
          <w:pPr>
            <w:pStyle w:val="TOC3"/>
            <w:tabs>
              <w:tab w:val="right" w:leader="dot" w:pos="9350"/>
            </w:tabs>
            <w:rPr>
              <w:rFonts w:asciiTheme="minorHAnsi" w:eastAsiaTheme="minorEastAsia" w:hAnsiTheme="minorHAnsi"/>
              <w:noProof/>
              <w:sz w:val="22"/>
            </w:rPr>
          </w:pPr>
          <w:hyperlink w:anchor="_Toc459080646" w:history="1">
            <w:r w:rsidR="00892B42" w:rsidRPr="00B70512">
              <w:rPr>
                <w:rStyle w:val="Hyperlink"/>
                <w:noProof/>
              </w:rPr>
              <w:t>Observations</w:t>
            </w:r>
            <w:r w:rsidR="00892B42">
              <w:rPr>
                <w:noProof/>
                <w:webHidden/>
              </w:rPr>
              <w:tab/>
            </w:r>
            <w:r w:rsidR="00892B42">
              <w:rPr>
                <w:noProof/>
                <w:webHidden/>
              </w:rPr>
              <w:fldChar w:fldCharType="begin"/>
            </w:r>
            <w:r w:rsidR="00892B42">
              <w:rPr>
                <w:noProof/>
                <w:webHidden/>
              </w:rPr>
              <w:instrText xml:space="preserve"> PAGEREF _Toc459080646 \h </w:instrText>
            </w:r>
            <w:r w:rsidR="00892B42">
              <w:rPr>
                <w:noProof/>
                <w:webHidden/>
              </w:rPr>
            </w:r>
            <w:r w:rsidR="00892B42">
              <w:rPr>
                <w:noProof/>
                <w:webHidden/>
              </w:rPr>
              <w:fldChar w:fldCharType="separate"/>
            </w:r>
            <w:r w:rsidR="00892B42">
              <w:rPr>
                <w:noProof/>
                <w:webHidden/>
              </w:rPr>
              <w:t>32</w:t>
            </w:r>
            <w:r w:rsidR="00892B42">
              <w:rPr>
                <w:noProof/>
                <w:webHidden/>
              </w:rPr>
              <w:fldChar w:fldCharType="end"/>
            </w:r>
          </w:hyperlink>
        </w:p>
        <w:p w14:paraId="08B551A8" w14:textId="77777777" w:rsidR="00892B42" w:rsidRDefault="00A55D83">
          <w:pPr>
            <w:pStyle w:val="TOC3"/>
            <w:tabs>
              <w:tab w:val="right" w:leader="dot" w:pos="9350"/>
            </w:tabs>
            <w:rPr>
              <w:rFonts w:asciiTheme="minorHAnsi" w:eastAsiaTheme="minorEastAsia" w:hAnsiTheme="minorHAnsi"/>
              <w:noProof/>
              <w:sz w:val="22"/>
            </w:rPr>
          </w:pPr>
          <w:hyperlink w:anchor="_Toc459080647" w:history="1">
            <w:r w:rsidR="00892B42" w:rsidRPr="00B70512">
              <w:rPr>
                <w:rStyle w:val="Hyperlink"/>
                <w:noProof/>
              </w:rPr>
              <w:t>Administrative Policy and Procedure</w:t>
            </w:r>
            <w:r w:rsidR="00892B42">
              <w:rPr>
                <w:noProof/>
                <w:webHidden/>
              </w:rPr>
              <w:tab/>
            </w:r>
            <w:r w:rsidR="00892B42">
              <w:rPr>
                <w:noProof/>
                <w:webHidden/>
              </w:rPr>
              <w:fldChar w:fldCharType="begin"/>
            </w:r>
            <w:r w:rsidR="00892B42">
              <w:rPr>
                <w:noProof/>
                <w:webHidden/>
              </w:rPr>
              <w:instrText xml:space="preserve"> PAGEREF _Toc459080647 \h </w:instrText>
            </w:r>
            <w:r w:rsidR="00892B42">
              <w:rPr>
                <w:noProof/>
                <w:webHidden/>
              </w:rPr>
            </w:r>
            <w:r w:rsidR="00892B42">
              <w:rPr>
                <w:noProof/>
                <w:webHidden/>
              </w:rPr>
              <w:fldChar w:fldCharType="separate"/>
            </w:r>
            <w:r w:rsidR="00892B42">
              <w:rPr>
                <w:noProof/>
                <w:webHidden/>
              </w:rPr>
              <w:t>36</w:t>
            </w:r>
            <w:r w:rsidR="00892B42">
              <w:rPr>
                <w:noProof/>
                <w:webHidden/>
              </w:rPr>
              <w:fldChar w:fldCharType="end"/>
            </w:r>
          </w:hyperlink>
        </w:p>
        <w:p w14:paraId="2F0A5A3F" w14:textId="77777777" w:rsidR="00892B42" w:rsidRDefault="00A55D83">
          <w:pPr>
            <w:pStyle w:val="TOC3"/>
            <w:tabs>
              <w:tab w:val="right" w:leader="dot" w:pos="9350"/>
            </w:tabs>
            <w:rPr>
              <w:rFonts w:asciiTheme="minorHAnsi" w:eastAsiaTheme="minorEastAsia" w:hAnsiTheme="minorHAnsi"/>
              <w:noProof/>
              <w:sz w:val="22"/>
            </w:rPr>
          </w:pPr>
          <w:hyperlink w:anchor="_Toc459080648" w:history="1">
            <w:r w:rsidR="00892B42" w:rsidRPr="00B70512">
              <w:rPr>
                <w:rStyle w:val="Hyperlink"/>
                <w:noProof/>
              </w:rPr>
              <w:t>Qualifications and Training Requirements</w:t>
            </w:r>
            <w:r w:rsidR="00892B42">
              <w:rPr>
                <w:noProof/>
                <w:webHidden/>
              </w:rPr>
              <w:tab/>
            </w:r>
            <w:r w:rsidR="00892B42">
              <w:rPr>
                <w:noProof/>
                <w:webHidden/>
              </w:rPr>
              <w:fldChar w:fldCharType="begin"/>
            </w:r>
            <w:r w:rsidR="00892B42">
              <w:rPr>
                <w:noProof/>
                <w:webHidden/>
              </w:rPr>
              <w:instrText xml:space="preserve"> PAGEREF _Toc459080648 \h </w:instrText>
            </w:r>
            <w:r w:rsidR="00892B42">
              <w:rPr>
                <w:noProof/>
                <w:webHidden/>
              </w:rPr>
            </w:r>
            <w:r w:rsidR="00892B42">
              <w:rPr>
                <w:noProof/>
                <w:webHidden/>
              </w:rPr>
              <w:fldChar w:fldCharType="separate"/>
            </w:r>
            <w:r w:rsidR="00892B42">
              <w:rPr>
                <w:noProof/>
                <w:webHidden/>
              </w:rPr>
              <w:t>38</w:t>
            </w:r>
            <w:r w:rsidR="00892B42">
              <w:rPr>
                <w:noProof/>
                <w:webHidden/>
              </w:rPr>
              <w:fldChar w:fldCharType="end"/>
            </w:r>
          </w:hyperlink>
        </w:p>
        <w:p w14:paraId="3B34EFEA" w14:textId="77777777" w:rsidR="00892B42" w:rsidRDefault="00A55D83">
          <w:pPr>
            <w:pStyle w:val="TOC3"/>
            <w:tabs>
              <w:tab w:val="right" w:leader="dot" w:pos="9350"/>
            </w:tabs>
            <w:rPr>
              <w:rFonts w:asciiTheme="minorHAnsi" w:eastAsiaTheme="minorEastAsia" w:hAnsiTheme="minorHAnsi"/>
              <w:noProof/>
              <w:sz w:val="22"/>
            </w:rPr>
          </w:pPr>
          <w:hyperlink w:anchor="_Toc459080649" w:history="1">
            <w:r w:rsidR="00892B42" w:rsidRPr="00B70512">
              <w:rPr>
                <w:rStyle w:val="Hyperlink"/>
                <w:noProof/>
              </w:rPr>
              <w:t>Service Specific Record Review Results (SSRR)</w:t>
            </w:r>
            <w:r w:rsidR="00892B42">
              <w:rPr>
                <w:noProof/>
                <w:webHidden/>
              </w:rPr>
              <w:tab/>
            </w:r>
            <w:r w:rsidR="00892B42">
              <w:rPr>
                <w:noProof/>
                <w:webHidden/>
              </w:rPr>
              <w:fldChar w:fldCharType="begin"/>
            </w:r>
            <w:r w:rsidR="00892B42">
              <w:rPr>
                <w:noProof/>
                <w:webHidden/>
              </w:rPr>
              <w:instrText xml:space="preserve"> PAGEREF _Toc459080649 \h </w:instrText>
            </w:r>
            <w:r w:rsidR="00892B42">
              <w:rPr>
                <w:noProof/>
                <w:webHidden/>
              </w:rPr>
            </w:r>
            <w:r w:rsidR="00892B42">
              <w:rPr>
                <w:noProof/>
                <w:webHidden/>
              </w:rPr>
              <w:fldChar w:fldCharType="separate"/>
            </w:r>
            <w:r w:rsidR="00892B42">
              <w:rPr>
                <w:noProof/>
                <w:webHidden/>
              </w:rPr>
              <w:t>44</w:t>
            </w:r>
            <w:r w:rsidR="00892B42">
              <w:rPr>
                <w:noProof/>
                <w:webHidden/>
              </w:rPr>
              <w:fldChar w:fldCharType="end"/>
            </w:r>
          </w:hyperlink>
        </w:p>
        <w:p w14:paraId="78E4B35B" w14:textId="77777777" w:rsidR="00892B42" w:rsidRDefault="00A55D83">
          <w:pPr>
            <w:pStyle w:val="TOC3"/>
            <w:tabs>
              <w:tab w:val="right" w:leader="dot" w:pos="9350"/>
            </w:tabs>
            <w:rPr>
              <w:rFonts w:asciiTheme="minorHAnsi" w:eastAsiaTheme="minorEastAsia" w:hAnsiTheme="minorHAnsi"/>
              <w:noProof/>
              <w:sz w:val="22"/>
            </w:rPr>
          </w:pPr>
          <w:hyperlink w:anchor="_Toc459080650" w:history="1">
            <w:r w:rsidR="00892B42" w:rsidRPr="00B70512">
              <w:rPr>
                <w:rStyle w:val="Hyperlink"/>
                <w:noProof/>
              </w:rPr>
              <w:t>Summary of PDR Scores by Region</w:t>
            </w:r>
            <w:r w:rsidR="00892B42">
              <w:rPr>
                <w:noProof/>
                <w:webHidden/>
              </w:rPr>
              <w:tab/>
            </w:r>
            <w:r w:rsidR="00892B42">
              <w:rPr>
                <w:noProof/>
                <w:webHidden/>
              </w:rPr>
              <w:fldChar w:fldCharType="begin"/>
            </w:r>
            <w:r w:rsidR="00892B42">
              <w:rPr>
                <w:noProof/>
                <w:webHidden/>
              </w:rPr>
              <w:instrText xml:space="preserve"> PAGEREF _Toc459080650 \h </w:instrText>
            </w:r>
            <w:r w:rsidR="00892B42">
              <w:rPr>
                <w:noProof/>
                <w:webHidden/>
              </w:rPr>
            </w:r>
            <w:r w:rsidR="00892B42">
              <w:rPr>
                <w:noProof/>
                <w:webHidden/>
              </w:rPr>
              <w:fldChar w:fldCharType="separate"/>
            </w:r>
            <w:r w:rsidR="00892B42">
              <w:rPr>
                <w:noProof/>
                <w:webHidden/>
              </w:rPr>
              <w:t>45</w:t>
            </w:r>
            <w:r w:rsidR="00892B42">
              <w:rPr>
                <w:noProof/>
                <w:webHidden/>
              </w:rPr>
              <w:fldChar w:fldCharType="end"/>
            </w:r>
          </w:hyperlink>
        </w:p>
        <w:p w14:paraId="78C1919B" w14:textId="77777777" w:rsidR="00892B42" w:rsidRDefault="00A55D83">
          <w:pPr>
            <w:pStyle w:val="TOC3"/>
            <w:tabs>
              <w:tab w:val="right" w:leader="dot" w:pos="9350"/>
            </w:tabs>
            <w:rPr>
              <w:rFonts w:asciiTheme="minorHAnsi" w:eastAsiaTheme="minorEastAsia" w:hAnsiTheme="minorHAnsi"/>
              <w:noProof/>
              <w:sz w:val="22"/>
            </w:rPr>
          </w:pPr>
          <w:hyperlink w:anchor="_Toc459080651" w:history="1">
            <w:r w:rsidR="00892B42" w:rsidRPr="00B70512">
              <w:rPr>
                <w:rStyle w:val="Hyperlink"/>
                <w:noProof/>
              </w:rPr>
              <w:t>Alerts</w:t>
            </w:r>
            <w:r w:rsidR="00892B42">
              <w:rPr>
                <w:noProof/>
                <w:webHidden/>
              </w:rPr>
              <w:tab/>
            </w:r>
            <w:r w:rsidR="00892B42">
              <w:rPr>
                <w:noProof/>
                <w:webHidden/>
              </w:rPr>
              <w:fldChar w:fldCharType="begin"/>
            </w:r>
            <w:r w:rsidR="00892B42">
              <w:rPr>
                <w:noProof/>
                <w:webHidden/>
              </w:rPr>
              <w:instrText xml:space="preserve"> PAGEREF _Toc459080651 \h </w:instrText>
            </w:r>
            <w:r w:rsidR="00892B42">
              <w:rPr>
                <w:noProof/>
                <w:webHidden/>
              </w:rPr>
            </w:r>
            <w:r w:rsidR="00892B42">
              <w:rPr>
                <w:noProof/>
                <w:webHidden/>
              </w:rPr>
              <w:fldChar w:fldCharType="separate"/>
            </w:r>
            <w:r w:rsidR="00892B42">
              <w:rPr>
                <w:noProof/>
                <w:webHidden/>
              </w:rPr>
              <w:t>46</w:t>
            </w:r>
            <w:r w:rsidR="00892B42">
              <w:rPr>
                <w:noProof/>
                <w:webHidden/>
              </w:rPr>
              <w:fldChar w:fldCharType="end"/>
            </w:r>
          </w:hyperlink>
        </w:p>
        <w:p w14:paraId="34FBE890" w14:textId="77777777" w:rsidR="00892B42" w:rsidRDefault="00A55D83">
          <w:pPr>
            <w:pStyle w:val="TOC3"/>
            <w:tabs>
              <w:tab w:val="right" w:leader="dot" w:pos="9350"/>
            </w:tabs>
            <w:rPr>
              <w:rFonts w:asciiTheme="minorHAnsi" w:eastAsiaTheme="minorEastAsia" w:hAnsiTheme="minorHAnsi"/>
              <w:noProof/>
              <w:sz w:val="22"/>
            </w:rPr>
          </w:pPr>
          <w:hyperlink w:anchor="_Toc459080652" w:history="1">
            <w:r w:rsidR="00892B42" w:rsidRPr="00B70512">
              <w:rPr>
                <w:rStyle w:val="Hyperlink"/>
                <w:noProof/>
              </w:rPr>
              <w:t>Background Screening</w:t>
            </w:r>
            <w:r w:rsidR="00892B42">
              <w:rPr>
                <w:noProof/>
                <w:webHidden/>
              </w:rPr>
              <w:tab/>
            </w:r>
            <w:r w:rsidR="00892B42">
              <w:rPr>
                <w:noProof/>
                <w:webHidden/>
              </w:rPr>
              <w:fldChar w:fldCharType="begin"/>
            </w:r>
            <w:r w:rsidR="00892B42">
              <w:rPr>
                <w:noProof/>
                <w:webHidden/>
              </w:rPr>
              <w:instrText xml:space="preserve"> PAGEREF _Toc459080652 \h </w:instrText>
            </w:r>
            <w:r w:rsidR="00892B42">
              <w:rPr>
                <w:noProof/>
                <w:webHidden/>
              </w:rPr>
            </w:r>
            <w:r w:rsidR="00892B42">
              <w:rPr>
                <w:noProof/>
                <w:webHidden/>
              </w:rPr>
              <w:fldChar w:fldCharType="separate"/>
            </w:r>
            <w:r w:rsidR="00892B42">
              <w:rPr>
                <w:noProof/>
                <w:webHidden/>
              </w:rPr>
              <w:t>47</w:t>
            </w:r>
            <w:r w:rsidR="00892B42">
              <w:rPr>
                <w:noProof/>
                <w:webHidden/>
              </w:rPr>
              <w:fldChar w:fldCharType="end"/>
            </w:r>
          </w:hyperlink>
        </w:p>
        <w:p w14:paraId="3F159C87" w14:textId="77777777" w:rsidR="00892B42" w:rsidRDefault="00A55D83">
          <w:pPr>
            <w:pStyle w:val="TOC1"/>
            <w:rPr>
              <w:rFonts w:asciiTheme="minorHAnsi" w:eastAsiaTheme="minorEastAsia" w:hAnsiTheme="minorHAnsi"/>
              <w:noProof/>
              <w:sz w:val="22"/>
            </w:rPr>
          </w:pPr>
          <w:hyperlink w:anchor="_Toc459080653" w:history="1">
            <w:r w:rsidR="00892B42" w:rsidRPr="00B70512">
              <w:rPr>
                <w:rStyle w:val="Hyperlink"/>
                <w:noProof/>
              </w:rPr>
              <w:t>Section III:  Discovery</w:t>
            </w:r>
            <w:r w:rsidR="00892B42">
              <w:rPr>
                <w:noProof/>
                <w:webHidden/>
              </w:rPr>
              <w:tab/>
            </w:r>
            <w:r w:rsidR="00892B42">
              <w:rPr>
                <w:noProof/>
                <w:webHidden/>
              </w:rPr>
              <w:fldChar w:fldCharType="begin"/>
            </w:r>
            <w:r w:rsidR="00892B42">
              <w:rPr>
                <w:noProof/>
                <w:webHidden/>
              </w:rPr>
              <w:instrText xml:space="preserve"> PAGEREF _Toc459080653 \h </w:instrText>
            </w:r>
            <w:r w:rsidR="00892B42">
              <w:rPr>
                <w:noProof/>
                <w:webHidden/>
              </w:rPr>
            </w:r>
            <w:r w:rsidR="00892B42">
              <w:rPr>
                <w:noProof/>
                <w:webHidden/>
              </w:rPr>
              <w:fldChar w:fldCharType="separate"/>
            </w:r>
            <w:r w:rsidR="00892B42">
              <w:rPr>
                <w:noProof/>
                <w:webHidden/>
              </w:rPr>
              <w:t>48</w:t>
            </w:r>
            <w:r w:rsidR="00892B42">
              <w:rPr>
                <w:noProof/>
                <w:webHidden/>
              </w:rPr>
              <w:fldChar w:fldCharType="end"/>
            </w:r>
          </w:hyperlink>
        </w:p>
        <w:p w14:paraId="3B22B412" w14:textId="77777777" w:rsidR="00892B42" w:rsidRDefault="00A55D83">
          <w:pPr>
            <w:pStyle w:val="TOC2"/>
            <w:tabs>
              <w:tab w:val="right" w:leader="dot" w:pos="9350"/>
            </w:tabs>
            <w:rPr>
              <w:rFonts w:asciiTheme="minorHAnsi" w:eastAsiaTheme="minorEastAsia" w:hAnsiTheme="minorHAnsi"/>
              <w:noProof/>
              <w:sz w:val="22"/>
            </w:rPr>
          </w:pPr>
          <w:hyperlink w:anchor="_Toc459080654" w:history="1">
            <w:r w:rsidR="00892B42" w:rsidRPr="00B70512">
              <w:rPr>
                <w:rStyle w:val="Hyperlink"/>
                <w:noProof/>
              </w:rPr>
              <w:t>Person Centered Review Results</w:t>
            </w:r>
            <w:r w:rsidR="00892B42">
              <w:rPr>
                <w:noProof/>
                <w:webHidden/>
              </w:rPr>
              <w:tab/>
            </w:r>
            <w:r w:rsidR="00892B42">
              <w:rPr>
                <w:noProof/>
                <w:webHidden/>
              </w:rPr>
              <w:fldChar w:fldCharType="begin"/>
            </w:r>
            <w:r w:rsidR="00892B42">
              <w:rPr>
                <w:noProof/>
                <w:webHidden/>
              </w:rPr>
              <w:instrText xml:space="preserve"> PAGEREF _Toc459080654 \h </w:instrText>
            </w:r>
            <w:r w:rsidR="00892B42">
              <w:rPr>
                <w:noProof/>
                <w:webHidden/>
              </w:rPr>
            </w:r>
            <w:r w:rsidR="00892B42">
              <w:rPr>
                <w:noProof/>
                <w:webHidden/>
              </w:rPr>
              <w:fldChar w:fldCharType="separate"/>
            </w:r>
            <w:r w:rsidR="00892B42">
              <w:rPr>
                <w:noProof/>
                <w:webHidden/>
              </w:rPr>
              <w:t>48</w:t>
            </w:r>
            <w:r w:rsidR="00892B42">
              <w:rPr>
                <w:noProof/>
                <w:webHidden/>
              </w:rPr>
              <w:fldChar w:fldCharType="end"/>
            </w:r>
          </w:hyperlink>
        </w:p>
        <w:p w14:paraId="3D62E5E3" w14:textId="77777777" w:rsidR="00892B42" w:rsidRDefault="00A55D83">
          <w:pPr>
            <w:pStyle w:val="TOC2"/>
            <w:tabs>
              <w:tab w:val="right" w:leader="dot" w:pos="9350"/>
            </w:tabs>
            <w:rPr>
              <w:rFonts w:asciiTheme="minorHAnsi" w:eastAsiaTheme="minorEastAsia" w:hAnsiTheme="minorHAnsi"/>
              <w:noProof/>
              <w:sz w:val="22"/>
            </w:rPr>
          </w:pPr>
          <w:hyperlink w:anchor="_Toc459080655" w:history="1">
            <w:r w:rsidR="00892B42" w:rsidRPr="00B70512">
              <w:rPr>
                <w:rStyle w:val="Hyperlink"/>
                <w:noProof/>
              </w:rPr>
              <w:t>Provider Discovery Review Results</w:t>
            </w:r>
            <w:r w:rsidR="00892B42">
              <w:rPr>
                <w:noProof/>
                <w:webHidden/>
              </w:rPr>
              <w:tab/>
            </w:r>
            <w:r w:rsidR="00892B42">
              <w:rPr>
                <w:noProof/>
                <w:webHidden/>
              </w:rPr>
              <w:fldChar w:fldCharType="begin"/>
            </w:r>
            <w:r w:rsidR="00892B42">
              <w:rPr>
                <w:noProof/>
                <w:webHidden/>
              </w:rPr>
              <w:instrText xml:space="preserve"> PAGEREF _Toc459080655 \h </w:instrText>
            </w:r>
            <w:r w:rsidR="00892B42">
              <w:rPr>
                <w:noProof/>
                <w:webHidden/>
              </w:rPr>
            </w:r>
            <w:r w:rsidR="00892B42">
              <w:rPr>
                <w:noProof/>
                <w:webHidden/>
              </w:rPr>
              <w:fldChar w:fldCharType="separate"/>
            </w:r>
            <w:r w:rsidR="00892B42">
              <w:rPr>
                <w:noProof/>
                <w:webHidden/>
              </w:rPr>
              <w:t>50</w:t>
            </w:r>
            <w:r w:rsidR="00892B42">
              <w:rPr>
                <w:noProof/>
                <w:webHidden/>
              </w:rPr>
              <w:fldChar w:fldCharType="end"/>
            </w:r>
          </w:hyperlink>
        </w:p>
        <w:p w14:paraId="161A1D05" w14:textId="77777777" w:rsidR="00892B42" w:rsidRDefault="00A55D83">
          <w:pPr>
            <w:pStyle w:val="TOC2"/>
            <w:tabs>
              <w:tab w:val="right" w:leader="dot" w:pos="9350"/>
            </w:tabs>
            <w:rPr>
              <w:rFonts w:asciiTheme="minorHAnsi" w:eastAsiaTheme="minorEastAsia" w:hAnsiTheme="minorHAnsi"/>
              <w:noProof/>
              <w:sz w:val="22"/>
            </w:rPr>
          </w:pPr>
          <w:hyperlink w:anchor="_Toc459080656" w:history="1">
            <w:r w:rsidR="00892B42" w:rsidRPr="00B70512">
              <w:rPr>
                <w:rStyle w:val="Hyperlink"/>
                <w:noProof/>
              </w:rPr>
              <w:t>Summary</w:t>
            </w:r>
            <w:r w:rsidR="00892B42">
              <w:rPr>
                <w:noProof/>
                <w:webHidden/>
              </w:rPr>
              <w:tab/>
            </w:r>
            <w:r w:rsidR="00892B42">
              <w:rPr>
                <w:noProof/>
                <w:webHidden/>
              </w:rPr>
              <w:fldChar w:fldCharType="begin"/>
            </w:r>
            <w:r w:rsidR="00892B42">
              <w:rPr>
                <w:noProof/>
                <w:webHidden/>
              </w:rPr>
              <w:instrText xml:space="preserve"> PAGEREF _Toc459080656 \h </w:instrText>
            </w:r>
            <w:r w:rsidR="00892B42">
              <w:rPr>
                <w:noProof/>
                <w:webHidden/>
              </w:rPr>
            </w:r>
            <w:r w:rsidR="00892B42">
              <w:rPr>
                <w:noProof/>
                <w:webHidden/>
              </w:rPr>
              <w:fldChar w:fldCharType="separate"/>
            </w:r>
            <w:r w:rsidR="00892B42">
              <w:rPr>
                <w:noProof/>
                <w:webHidden/>
              </w:rPr>
              <w:t>52</w:t>
            </w:r>
            <w:r w:rsidR="00892B42">
              <w:rPr>
                <w:noProof/>
                <w:webHidden/>
              </w:rPr>
              <w:fldChar w:fldCharType="end"/>
            </w:r>
          </w:hyperlink>
        </w:p>
        <w:p w14:paraId="02D7FD58" w14:textId="77777777" w:rsidR="00892B42" w:rsidRDefault="00A55D83">
          <w:pPr>
            <w:pStyle w:val="TOC1"/>
            <w:rPr>
              <w:rFonts w:asciiTheme="minorHAnsi" w:eastAsiaTheme="minorEastAsia" w:hAnsiTheme="minorHAnsi"/>
              <w:noProof/>
              <w:sz w:val="22"/>
            </w:rPr>
          </w:pPr>
          <w:hyperlink w:anchor="_Toc459080657" w:history="1">
            <w:r w:rsidR="00892B42" w:rsidRPr="00B70512">
              <w:rPr>
                <w:rStyle w:val="Hyperlink"/>
                <w:noProof/>
              </w:rPr>
              <w:t>Attachment 1:  Customer Service Activity</w:t>
            </w:r>
            <w:r w:rsidR="00892B42">
              <w:rPr>
                <w:noProof/>
                <w:webHidden/>
              </w:rPr>
              <w:tab/>
            </w:r>
            <w:r w:rsidR="00892B42">
              <w:rPr>
                <w:noProof/>
                <w:webHidden/>
              </w:rPr>
              <w:fldChar w:fldCharType="begin"/>
            </w:r>
            <w:r w:rsidR="00892B42">
              <w:rPr>
                <w:noProof/>
                <w:webHidden/>
              </w:rPr>
              <w:instrText xml:space="preserve"> PAGEREF _Toc459080657 \h </w:instrText>
            </w:r>
            <w:r w:rsidR="00892B42">
              <w:rPr>
                <w:noProof/>
                <w:webHidden/>
              </w:rPr>
            </w:r>
            <w:r w:rsidR="00892B42">
              <w:rPr>
                <w:noProof/>
                <w:webHidden/>
              </w:rPr>
              <w:fldChar w:fldCharType="separate"/>
            </w:r>
            <w:r w:rsidR="00892B42">
              <w:rPr>
                <w:noProof/>
                <w:webHidden/>
              </w:rPr>
              <w:t>53</w:t>
            </w:r>
            <w:r w:rsidR="00892B42">
              <w:rPr>
                <w:noProof/>
                <w:webHidden/>
              </w:rPr>
              <w:fldChar w:fldCharType="end"/>
            </w:r>
          </w:hyperlink>
        </w:p>
        <w:p w14:paraId="690901DC" w14:textId="6C6202E8" w:rsidR="005472C1" w:rsidRDefault="005472C1">
          <w:r w:rsidRPr="00326D39">
            <w:rPr>
              <w:b/>
              <w:bCs/>
              <w:noProof/>
              <w:highlight w:val="yellow"/>
            </w:rPr>
            <w:fldChar w:fldCharType="end"/>
          </w:r>
        </w:p>
      </w:sdtContent>
    </w:sdt>
    <w:p w14:paraId="2501C6DC" w14:textId="77777777" w:rsidR="00E254B9" w:rsidRDefault="00E254B9">
      <w:pPr>
        <w:spacing w:line="240" w:lineRule="auto"/>
        <w:rPr>
          <w:rFonts w:asciiTheme="majorHAnsi" w:eastAsiaTheme="majorEastAsia" w:hAnsiTheme="majorHAnsi" w:cstheme="majorBidi"/>
          <w:b/>
          <w:bCs/>
          <w:color w:val="365F91" w:themeColor="accent1" w:themeShade="BF"/>
          <w:sz w:val="28"/>
          <w:szCs w:val="28"/>
        </w:rPr>
      </w:pPr>
    </w:p>
    <w:p w14:paraId="7154BA54" w14:textId="77777777" w:rsidR="00481FA2" w:rsidRDefault="00481FA2">
      <w:pPr>
        <w:spacing w:line="240" w:lineRule="auto"/>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1F3942F7" w14:textId="77777777" w:rsidR="00A73D61" w:rsidRPr="00A73D61" w:rsidRDefault="00A73D61" w:rsidP="00A73D61">
      <w:pPr>
        <w:pStyle w:val="Heading1"/>
        <w:rPr>
          <w:rFonts w:eastAsia="Times New Roman"/>
        </w:rPr>
      </w:pPr>
      <w:bookmarkStart w:id="1" w:name="_Toc372224454"/>
      <w:bookmarkStart w:id="2" w:name="_Toc372224546"/>
      <w:bookmarkStart w:id="3" w:name="_Toc459080614"/>
      <w:r w:rsidRPr="00A73D61">
        <w:rPr>
          <w:rFonts w:eastAsia="Times New Roman"/>
        </w:rPr>
        <w:lastRenderedPageBreak/>
        <w:t>List of Acronyms</w:t>
      </w:r>
      <w:bookmarkEnd w:id="1"/>
      <w:bookmarkEnd w:id="2"/>
      <w:bookmarkEnd w:id="3"/>
    </w:p>
    <w:p w14:paraId="72CAD385" w14:textId="77777777" w:rsidR="00A73D61" w:rsidRPr="00A73D61" w:rsidRDefault="00A73D61" w:rsidP="00A73D61">
      <w:pPr>
        <w:rPr>
          <w:rFonts w:eastAsia="Times New Roman" w:cs="Times New Roman"/>
          <w:kern w:val="32"/>
          <w:szCs w:val="24"/>
        </w:rPr>
      </w:pPr>
    </w:p>
    <w:p w14:paraId="5693C75F" w14:textId="77777777" w:rsidR="00A73D61" w:rsidRDefault="00A73D61" w:rsidP="00A73D61">
      <w:pPr>
        <w:rPr>
          <w:rFonts w:eastAsia="Times New Roman" w:cs="Times New Roman"/>
          <w:kern w:val="32"/>
          <w:szCs w:val="24"/>
        </w:rPr>
      </w:pPr>
      <w:r>
        <w:rPr>
          <w:rFonts w:eastAsia="Times New Roman" w:cs="Times New Roman"/>
          <w:kern w:val="32"/>
          <w:szCs w:val="24"/>
        </w:rPr>
        <w:t>ABC – Allocation, Budget, and Contract Control System</w:t>
      </w:r>
    </w:p>
    <w:p w14:paraId="2C39CEF8" w14:textId="6C80540D" w:rsidR="00A73D61" w:rsidRDefault="00A73D61" w:rsidP="00A73D61">
      <w:pPr>
        <w:rPr>
          <w:rFonts w:eastAsia="Times New Roman" w:cs="Times New Roman"/>
          <w:kern w:val="32"/>
          <w:szCs w:val="24"/>
        </w:rPr>
      </w:pPr>
      <w:r>
        <w:rPr>
          <w:rFonts w:eastAsia="Times New Roman" w:cs="Times New Roman"/>
          <w:kern w:val="32"/>
          <w:szCs w:val="24"/>
        </w:rPr>
        <w:t>A P&amp;P – Administrative Policy and Procedure</w:t>
      </w:r>
    </w:p>
    <w:p w14:paraId="7E546ED6" w14:textId="0A8505BD" w:rsidR="00A73D61" w:rsidRPr="00A73D61" w:rsidRDefault="00A73D61" w:rsidP="00A73D61">
      <w:pPr>
        <w:rPr>
          <w:rFonts w:eastAsia="Times New Roman" w:cs="Times New Roman"/>
          <w:kern w:val="32"/>
          <w:szCs w:val="24"/>
        </w:rPr>
      </w:pPr>
      <w:r>
        <w:rPr>
          <w:rFonts w:eastAsia="Times New Roman" w:cs="Times New Roman"/>
          <w:kern w:val="32"/>
          <w:szCs w:val="24"/>
        </w:rPr>
        <w:t>A Q&amp;T – Administrative Qualifications and Training</w:t>
      </w:r>
    </w:p>
    <w:p w14:paraId="467457E5" w14:textId="77777777" w:rsidR="00A73D61" w:rsidRDefault="00A73D61" w:rsidP="00A73D61">
      <w:pPr>
        <w:rPr>
          <w:rFonts w:eastAsia="Times New Roman" w:cs="Times New Roman"/>
          <w:kern w:val="32"/>
          <w:szCs w:val="24"/>
        </w:rPr>
      </w:pPr>
      <w:r w:rsidRPr="00A73D61">
        <w:rPr>
          <w:rFonts w:eastAsia="Times New Roman" w:cs="Times New Roman"/>
          <w:kern w:val="32"/>
          <w:szCs w:val="24"/>
        </w:rPr>
        <w:t>A</w:t>
      </w:r>
      <w:r>
        <w:rPr>
          <w:rFonts w:eastAsia="Times New Roman" w:cs="Times New Roman"/>
          <w:kern w:val="32"/>
          <w:szCs w:val="24"/>
        </w:rPr>
        <w:t>HCA</w:t>
      </w:r>
      <w:r w:rsidRPr="00A73D61">
        <w:rPr>
          <w:rFonts w:eastAsia="Times New Roman" w:cs="Times New Roman"/>
          <w:kern w:val="32"/>
          <w:szCs w:val="24"/>
        </w:rPr>
        <w:t xml:space="preserve"> – </w:t>
      </w:r>
      <w:r>
        <w:rPr>
          <w:rFonts w:eastAsia="Times New Roman" w:cs="Times New Roman"/>
          <w:kern w:val="32"/>
          <w:szCs w:val="24"/>
        </w:rPr>
        <w:t>Agency for Health Care Administration</w:t>
      </w:r>
    </w:p>
    <w:p w14:paraId="6A2194B1" w14:textId="683D3FE8" w:rsidR="00A73D61" w:rsidRDefault="00A73D61" w:rsidP="00A73D61">
      <w:pPr>
        <w:rPr>
          <w:rFonts w:eastAsia="Times New Roman" w:cs="Times New Roman"/>
          <w:kern w:val="32"/>
          <w:szCs w:val="24"/>
        </w:rPr>
      </w:pPr>
      <w:r>
        <w:rPr>
          <w:rFonts w:eastAsia="Times New Roman" w:cs="Times New Roman"/>
          <w:kern w:val="32"/>
          <w:szCs w:val="24"/>
        </w:rPr>
        <w:t>APD – Agency for Persons with Disabilities</w:t>
      </w:r>
      <w:r w:rsidRPr="00A73D61">
        <w:rPr>
          <w:rFonts w:eastAsia="Times New Roman" w:cs="Times New Roman"/>
          <w:kern w:val="32"/>
          <w:szCs w:val="24"/>
        </w:rPr>
        <w:t xml:space="preserve"> </w:t>
      </w:r>
    </w:p>
    <w:p w14:paraId="79A726AF" w14:textId="1C840BE6" w:rsidR="001F2A99" w:rsidRDefault="001F2A99" w:rsidP="00A73D61">
      <w:pPr>
        <w:rPr>
          <w:rFonts w:eastAsia="Times New Roman" w:cs="Times New Roman"/>
          <w:kern w:val="32"/>
          <w:szCs w:val="24"/>
        </w:rPr>
      </w:pPr>
      <w:r>
        <w:rPr>
          <w:rFonts w:eastAsia="Times New Roman" w:cs="Times New Roman"/>
          <w:kern w:val="32"/>
          <w:szCs w:val="24"/>
        </w:rPr>
        <w:t>CDC+ - Consumer Directed Care</w:t>
      </w:r>
    </w:p>
    <w:p w14:paraId="79FC9CF7" w14:textId="77777777" w:rsidR="00A73D61" w:rsidRPr="00A73D61" w:rsidRDefault="00A73D61" w:rsidP="00A73D61">
      <w:pPr>
        <w:rPr>
          <w:rFonts w:eastAsia="Times New Roman" w:cs="Times New Roman"/>
          <w:kern w:val="32"/>
          <w:szCs w:val="24"/>
        </w:rPr>
      </w:pPr>
      <w:r w:rsidRPr="00A73D61">
        <w:rPr>
          <w:rFonts w:eastAsia="Times New Roman" w:cs="Times New Roman"/>
          <w:kern w:val="32"/>
          <w:szCs w:val="24"/>
        </w:rPr>
        <w:t>DD – Developmental Disability</w:t>
      </w:r>
    </w:p>
    <w:p w14:paraId="1ED86383" w14:textId="6F8B53B1" w:rsidR="00A73D61" w:rsidRDefault="00A73D61" w:rsidP="00A73D61">
      <w:pPr>
        <w:rPr>
          <w:rFonts w:eastAsia="Times New Roman" w:cs="Times New Roman"/>
          <w:kern w:val="32"/>
          <w:szCs w:val="24"/>
        </w:rPr>
      </w:pPr>
      <w:r>
        <w:rPr>
          <w:rFonts w:eastAsia="Times New Roman" w:cs="Times New Roman"/>
          <w:kern w:val="32"/>
          <w:szCs w:val="24"/>
        </w:rPr>
        <w:t>FSQAP – Florida Statewide Quality Assurance Program</w:t>
      </w:r>
    </w:p>
    <w:p w14:paraId="2EF29946" w14:textId="6AB963B1" w:rsidR="001F2A99" w:rsidRDefault="001F2A99" w:rsidP="00A73D61">
      <w:pPr>
        <w:rPr>
          <w:rFonts w:eastAsia="Times New Roman" w:cs="Times New Roman"/>
          <w:kern w:val="32"/>
          <w:szCs w:val="24"/>
        </w:rPr>
      </w:pPr>
      <w:r>
        <w:rPr>
          <w:rFonts w:eastAsia="Times New Roman" w:cs="Times New Roman"/>
          <w:kern w:val="32"/>
          <w:szCs w:val="24"/>
        </w:rPr>
        <w:t xml:space="preserve">HCBS – Home and Community-Based Services </w:t>
      </w:r>
    </w:p>
    <w:p w14:paraId="179CD598" w14:textId="77777777" w:rsidR="00A73D61" w:rsidRPr="00A73D61" w:rsidRDefault="00A73D61" w:rsidP="00A73D61">
      <w:pPr>
        <w:rPr>
          <w:rFonts w:eastAsia="Times New Roman" w:cs="Times New Roman"/>
          <w:kern w:val="32"/>
          <w:szCs w:val="24"/>
        </w:rPr>
      </w:pPr>
      <w:r w:rsidRPr="00A73D61">
        <w:rPr>
          <w:rFonts w:eastAsia="Times New Roman" w:cs="Times New Roman"/>
          <w:kern w:val="32"/>
          <w:szCs w:val="24"/>
        </w:rPr>
        <w:t>HSRI – Human Services Research Institute</w:t>
      </w:r>
    </w:p>
    <w:p w14:paraId="76BAE1B0" w14:textId="10C98AA4" w:rsidR="00A73D61" w:rsidRPr="00A73D61" w:rsidRDefault="00A73D61" w:rsidP="00A73D61">
      <w:pPr>
        <w:rPr>
          <w:rFonts w:eastAsia="Times New Roman" w:cs="Times New Roman"/>
          <w:kern w:val="32"/>
          <w:szCs w:val="24"/>
        </w:rPr>
      </w:pPr>
      <w:r w:rsidRPr="00A73D61">
        <w:rPr>
          <w:rFonts w:eastAsia="Times New Roman" w:cs="Times New Roman"/>
          <w:kern w:val="32"/>
          <w:szCs w:val="24"/>
        </w:rPr>
        <w:t>IDD – Intellectual and Developmental Disability</w:t>
      </w:r>
    </w:p>
    <w:p w14:paraId="67A67AEC" w14:textId="5187464F" w:rsidR="00A73D61" w:rsidRPr="00A73D61" w:rsidRDefault="00A73D61" w:rsidP="00A73D61">
      <w:pPr>
        <w:rPr>
          <w:rFonts w:eastAsia="Times New Roman" w:cs="Times New Roman"/>
          <w:kern w:val="32"/>
          <w:szCs w:val="24"/>
        </w:rPr>
      </w:pPr>
      <w:r>
        <w:rPr>
          <w:rFonts w:eastAsia="Times New Roman" w:cs="Times New Roman"/>
          <w:kern w:val="32"/>
          <w:szCs w:val="24"/>
        </w:rPr>
        <w:t>IRR – Inter-rater Reliability</w:t>
      </w:r>
    </w:p>
    <w:p w14:paraId="1705A660" w14:textId="77777777" w:rsidR="00A73D61" w:rsidRPr="00A73D61" w:rsidRDefault="00A73D61" w:rsidP="00A73D61">
      <w:pPr>
        <w:rPr>
          <w:rFonts w:eastAsia="Times New Roman" w:cs="Times New Roman"/>
          <w:kern w:val="32"/>
          <w:szCs w:val="24"/>
        </w:rPr>
      </w:pPr>
      <w:r w:rsidRPr="00A73D61">
        <w:rPr>
          <w:rFonts w:eastAsia="Times New Roman" w:cs="Times New Roman"/>
          <w:kern w:val="32"/>
          <w:szCs w:val="24"/>
        </w:rPr>
        <w:t>ISP – Individual Support Plan</w:t>
      </w:r>
    </w:p>
    <w:p w14:paraId="14E76334" w14:textId="77777777" w:rsidR="00A73D61" w:rsidRPr="00A73D61" w:rsidRDefault="00A73D61" w:rsidP="00A73D61">
      <w:pPr>
        <w:rPr>
          <w:rFonts w:eastAsia="Times New Roman" w:cs="Times New Roman"/>
          <w:kern w:val="32"/>
          <w:szCs w:val="24"/>
        </w:rPr>
      </w:pPr>
      <w:r w:rsidRPr="00A73D61">
        <w:rPr>
          <w:rFonts w:eastAsia="Times New Roman" w:cs="Times New Roman"/>
          <w:kern w:val="32"/>
          <w:szCs w:val="24"/>
        </w:rPr>
        <w:t>IT – Information Technology</w:t>
      </w:r>
    </w:p>
    <w:p w14:paraId="0BD57931" w14:textId="77777777" w:rsidR="00A73D61" w:rsidRDefault="00A73D61" w:rsidP="00A73D61">
      <w:pPr>
        <w:rPr>
          <w:rFonts w:eastAsia="Times New Roman" w:cs="Times New Roman"/>
          <w:kern w:val="32"/>
          <w:szCs w:val="24"/>
        </w:rPr>
      </w:pPr>
      <w:r w:rsidRPr="00A73D61">
        <w:rPr>
          <w:rFonts w:eastAsia="Times New Roman" w:cs="Times New Roman"/>
          <w:kern w:val="32"/>
          <w:szCs w:val="24"/>
        </w:rPr>
        <w:t>NCI – National Core Indicators</w:t>
      </w:r>
    </w:p>
    <w:p w14:paraId="12256326" w14:textId="3F5955FD" w:rsidR="00A73D61" w:rsidRPr="00A73D61" w:rsidRDefault="00A73D61" w:rsidP="00A73D61">
      <w:pPr>
        <w:rPr>
          <w:rFonts w:eastAsia="Times New Roman" w:cs="Times New Roman"/>
          <w:kern w:val="32"/>
          <w:szCs w:val="24"/>
        </w:rPr>
      </w:pPr>
      <w:r>
        <w:rPr>
          <w:rFonts w:eastAsia="Times New Roman" w:cs="Times New Roman"/>
          <w:kern w:val="32"/>
          <w:szCs w:val="24"/>
        </w:rPr>
        <w:t>OBS - Observations</w:t>
      </w:r>
    </w:p>
    <w:p w14:paraId="2892E822" w14:textId="77777777" w:rsidR="00364EF3" w:rsidRDefault="00A73D61" w:rsidP="00364EF3">
      <w:pPr>
        <w:rPr>
          <w:rFonts w:eastAsia="Times New Roman" w:cs="Times New Roman"/>
          <w:kern w:val="32"/>
          <w:szCs w:val="24"/>
        </w:rPr>
      </w:pPr>
      <w:r w:rsidRPr="00A73D61">
        <w:rPr>
          <w:rFonts w:eastAsia="Times New Roman" w:cs="Times New Roman"/>
          <w:kern w:val="32"/>
          <w:szCs w:val="24"/>
        </w:rPr>
        <w:t>PCR – Person Centered Review</w:t>
      </w:r>
      <w:r w:rsidR="00364EF3" w:rsidRPr="00364EF3">
        <w:rPr>
          <w:rFonts w:eastAsia="Times New Roman" w:cs="Times New Roman"/>
          <w:kern w:val="32"/>
          <w:szCs w:val="24"/>
        </w:rPr>
        <w:t xml:space="preserve"> </w:t>
      </w:r>
    </w:p>
    <w:p w14:paraId="29F8F4B3" w14:textId="26E026B6" w:rsidR="00364EF3" w:rsidRDefault="00364EF3" w:rsidP="00364EF3">
      <w:pPr>
        <w:rPr>
          <w:rFonts w:eastAsia="Times New Roman" w:cs="Times New Roman"/>
          <w:kern w:val="32"/>
          <w:szCs w:val="24"/>
        </w:rPr>
      </w:pPr>
      <w:r>
        <w:rPr>
          <w:rFonts w:eastAsia="Times New Roman" w:cs="Times New Roman"/>
          <w:kern w:val="32"/>
          <w:szCs w:val="24"/>
        </w:rPr>
        <w:t xml:space="preserve">PCR II – Person Centered Review Individual Interview </w:t>
      </w:r>
    </w:p>
    <w:p w14:paraId="246DF942" w14:textId="44861A29" w:rsidR="00A73D61" w:rsidRDefault="00A73D61" w:rsidP="00A73D61">
      <w:pPr>
        <w:rPr>
          <w:rFonts w:eastAsia="Times New Roman" w:cs="Times New Roman"/>
          <w:kern w:val="32"/>
          <w:szCs w:val="24"/>
        </w:rPr>
      </w:pPr>
      <w:r w:rsidRPr="00A73D61">
        <w:rPr>
          <w:rFonts w:eastAsia="Times New Roman" w:cs="Times New Roman"/>
          <w:kern w:val="32"/>
          <w:szCs w:val="24"/>
        </w:rPr>
        <w:t>P</w:t>
      </w:r>
      <w:r>
        <w:rPr>
          <w:rFonts w:eastAsia="Times New Roman" w:cs="Times New Roman"/>
          <w:kern w:val="32"/>
          <w:szCs w:val="24"/>
        </w:rPr>
        <w:t>D</w:t>
      </w:r>
      <w:r w:rsidRPr="00A73D61">
        <w:rPr>
          <w:rFonts w:eastAsia="Times New Roman" w:cs="Times New Roman"/>
          <w:kern w:val="32"/>
          <w:szCs w:val="24"/>
        </w:rPr>
        <w:t xml:space="preserve">R – Provider </w:t>
      </w:r>
      <w:r>
        <w:rPr>
          <w:rFonts w:eastAsia="Times New Roman" w:cs="Times New Roman"/>
          <w:kern w:val="32"/>
          <w:szCs w:val="24"/>
        </w:rPr>
        <w:t>Discovery</w:t>
      </w:r>
      <w:r w:rsidRPr="00A73D61">
        <w:rPr>
          <w:rFonts w:eastAsia="Times New Roman" w:cs="Times New Roman"/>
          <w:kern w:val="32"/>
          <w:szCs w:val="24"/>
        </w:rPr>
        <w:t xml:space="preserve"> Review</w:t>
      </w:r>
    </w:p>
    <w:p w14:paraId="7E47C3DC" w14:textId="6B1A996C" w:rsidR="00364EF3" w:rsidRDefault="00364EF3" w:rsidP="00364EF3">
      <w:pPr>
        <w:rPr>
          <w:rFonts w:eastAsia="Times New Roman" w:cs="Times New Roman"/>
          <w:kern w:val="32"/>
          <w:szCs w:val="24"/>
        </w:rPr>
      </w:pPr>
      <w:r w:rsidRPr="00A73D61">
        <w:rPr>
          <w:rFonts w:eastAsia="Times New Roman" w:cs="Times New Roman"/>
          <w:kern w:val="32"/>
          <w:szCs w:val="24"/>
        </w:rPr>
        <w:t>P</w:t>
      </w:r>
      <w:r>
        <w:rPr>
          <w:rFonts w:eastAsia="Times New Roman" w:cs="Times New Roman"/>
          <w:kern w:val="32"/>
          <w:szCs w:val="24"/>
        </w:rPr>
        <w:t>D</w:t>
      </w:r>
      <w:r w:rsidRPr="00A73D61">
        <w:rPr>
          <w:rFonts w:eastAsia="Times New Roman" w:cs="Times New Roman"/>
          <w:kern w:val="32"/>
          <w:szCs w:val="24"/>
        </w:rPr>
        <w:t xml:space="preserve">R </w:t>
      </w:r>
      <w:r>
        <w:rPr>
          <w:rFonts w:eastAsia="Times New Roman" w:cs="Times New Roman"/>
          <w:kern w:val="32"/>
          <w:szCs w:val="24"/>
        </w:rPr>
        <w:t xml:space="preserve">II </w:t>
      </w:r>
      <w:r w:rsidRPr="00A73D61">
        <w:rPr>
          <w:rFonts w:eastAsia="Times New Roman" w:cs="Times New Roman"/>
          <w:kern w:val="32"/>
          <w:szCs w:val="24"/>
        </w:rPr>
        <w:t xml:space="preserve">– Provider </w:t>
      </w:r>
      <w:r>
        <w:rPr>
          <w:rFonts w:eastAsia="Times New Roman" w:cs="Times New Roman"/>
          <w:kern w:val="32"/>
          <w:szCs w:val="24"/>
        </w:rPr>
        <w:t>Discovery</w:t>
      </w:r>
      <w:r w:rsidRPr="00A73D61">
        <w:rPr>
          <w:rFonts w:eastAsia="Times New Roman" w:cs="Times New Roman"/>
          <w:kern w:val="32"/>
          <w:szCs w:val="24"/>
        </w:rPr>
        <w:t xml:space="preserve"> Review</w:t>
      </w:r>
      <w:r>
        <w:rPr>
          <w:rFonts w:eastAsia="Times New Roman" w:cs="Times New Roman"/>
          <w:kern w:val="32"/>
          <w:szCs w:val="24"/>
        </w:rPr>
        <w:t xml:space="preserve"> Individual Interview</w:t>
      </w:r>
    </w:p>
    <w:p w14:paraId="0480AC3C" w14:textId="77777777" w:rsidR="00A73D61" w:rsidRDefault="00A73D61" w:rsidP="00A73D61">
      <w:pPr>
        <w:rPr>
          <w:rFonts w:eastAsia="Times New Roman" w:cs="Times New Roman"/>
          <w:kern w:val="32"/>
          <w:szCs w:val="24"/>
        </w:rPr>
      </w:pPr>
      <w:r w:rsidRPr="00A73D61">
        <w:rPr>
          <w:rFonts w:eastAsia="Times New Roman" w:cs="Times New Roman"/>
          <w:kern w:val="32"/>
          <w:szCs w:val="24"/>
        </w:rPr>
        <w:t>QA – Quality Assurance</w:t>
      </w:r>
    </w:p>
    <w:p w14:paraId="614492B1" w14:textId="623D4F85" w:rsidR="00A73D61" w:rsidRDefault="00A73D61" w:rsidP="00A73D61">
      <w:pPr>
        <w:rPr>
          <w:rFonts w:eastAsia="Times New Roman" w:cs="Times New Roman"/>
          <w:kern w:val="32"/>
          <w:szCs w:val="24"/>
        </w:rPr>
      </w:pPr>
      <w:r>
        <w:rPr>
          <w:rFonts w:eastAsia="Times New Roman" w:cs="Times New Roman"/>
          <w:kern w:val="32"/>
          <w:szCs w:val="24"/>
        </w:rPr>
        <w:t>QAR – Quality Assurance Reviewer</w:t>
      </w:r>
    </w:p>
    <w:p w14:paraId="55023EDA" w14:textId="188B6AA2" w:rsidR="001B7435" w:rsidRPr="00A73D61" w:rsidRDefault="001B7435" w:rsidP="00A73D61">
      <w:pPr>
        <w:rPr>
          <w:rFonts w:eastAsia="Times New Roman" w:cs="Times New Roman"/>
          <w:kern w:val="32"/>
          <w:szCs w:val="24"/>
        </w:rPr>
      </w:pPr>
      <w:r>
        <w:rPr>
          <w:rFonts w:eastAsia="Times New Roman" w:cs="Times New Roman"/>
          <w:kern w:val="32"/>
          <w:szCs w:val="24"/>
        </w:rPr>
        <w:t>QC – Quality Council</w:t>
      </w:r>
    </w:p>
    <w:p w14:paraId="575C2FD2" w14:textId="77777777" w:rsidR="00A73D61" w:rsidRPr="00A73D61" w:rsidRDefault="00A73D61" w:rsidP="00A73D61">
      <w:pPr>
        <w:rPr>
          <w:rFonts w:eastAsia="Times New Roman" w:cs="Times New Roman"/>
          <w:kern w:val="32"/>
          <w:szCs w:val="24"/>
        </w:rPr>
      </w:pPr>
      <w:r w:rsidRPr="00A73D61">
        <w:rPr>
          <w:rFonts w:eastAsia="Times New Roman" w:cs="Times New Roman"/>
          <w:kern w:val="32"/>
          <w:szCs w:val="24"/>
        </w:rPr>
        <w:t>QI – Quality Improvement</w:t>
      </w:r>
    </w:p>
    <w:p w14:paraId="172D74DD" w14:textId="77777777" w:rsidR="00A73D61" w:rsidRPr="00A73D61" w:rsidRDefault="00A73D61" w:rsidP="00A73D61">
      <w:pPr>
        <w:rPr>
          <w:rFonts w:eastAsia="Times New Roman" w:cs="Times New Roman"/>
          <w:kern w:val="32"/>
          <w:szCs w:val="24"/>
        </w:rPr>
      </w:pPr>
      <w:r w:rsidRPr="00A73D61">
        <w:rPr>
          <w:rFonts w:eastAsia="Times New Roman" w:cs="Times New Roman"/>
          <w:kern w:val="32"/>
          <w:szCs w:val="24"/>
        </w:rPr>
        <w:t>RM – Regional Manager</w:t>
      </w:r>
    </w:p>
    <w:p w14:paraId="45E90964" w14:textId="77777777" w:rsidR="00A73D61" w:rsidRPr="00A73D61" w:rsidRDefault="00A73D61" w:rsidP="00A73D61">
      <w:pPr>
        <w:rPr>
          <w:rFonts w:eastAsia="Times New Roman" w:cs="Times New Roman"/>
          <w:kern w:val="32"/>
          <w:szCs w:val="24"/>
        </w:rPr>
      </w:pPr>
      <w:r w:rsidRPr="00A73D61">
        <w:rPr>
          <w:rFonts w:eastAsia="Times New Roman" w:cs="Times New Roman"/>
          <w:kern w:val="32"/>
          <w:szCs w:val="24"/>
        </w:rPr>
        <w:t>RTDR – Real Time Data Report</w:t>
      </w:r>
    </w:p>
    <w:p w14:paraId="181A29A2" w14:textId="77777777" w:rsidR="00A73D61" w:rsidRDefault="00A73D61" w:rsidP="00A73D61">
      <w:pPr>
        <w:rPr>
          <w:rFonts w:eastAsia="Times New Roman" w:cs="Times New Roman"/>
          <w:kern w:val="32"/>
          <w:szCs w:val="24"/>
        </w:rPr>
      </w:pPr>
      <w:r w:rsidRPr="00A73D61">
        <w:rPr>
          <w:rFonts w:eastAsia="Times New Roman" w:cs="Times New Roman"/>
          <w:kern w:val="32"/>
          <w:szCs w:val="24"/>
        </w:rPr>
        <w:t>SC – Support Coordinator</w:t>
      </w:r>
    </w:p>
    <w:p w14:paraId="767CB885" w14:textId="259A645C" w:rsidR="00364EF3" w:rsidRDefault="00364EF3" w:rsidP="00A73D61">
      <w:pPr>
        <w:rPr>
          <w:rFonts w:eastAsia="Times New Roman" w:cs="Times New Roman"/>
          <w:kern w:val="32"/>
          <w:szCs w:val="24"/>
        </w:rPr>
      </w:pPr>
      <w:r>
        <w:rPr>
          <w:rFonts w:eastAsia="Times New Roman" w:cs="Times New Roman"/>
          <w:kern w:val="32"/>
          <w:szCs w:val="24"/>
        </w:rPr>
        <w:t>SCI – Support Coordinator Interview</w:t>
      </w:r>
    </w:p>
    <w:p w14:paraId="2F08D2C6" w14:textId="2A073BB6" w:rsidR="00364EF3" w:rsidRPr="00A73D61" w:rsidRDefault="00364EF3" w:rsidP="00A73D61">
      <w:pPr>
        <w:rPr>
          <w:rFonts w:eastAsia="Times New Roman" w:cs="Times New Roman"/>
          <w:kern w:val="32"/>
          <w:szCs w:val="24"/>
        </w:rPr>
      </w:pPr>
      <w:r>
        <w:rPr>
          <w:rFonts w:eastAsia="Times New Roman" w:cs="Times New Roman"/>
          <w:kern w:val="32"/>
          <w:szCs w:val="24"/>
        </w:rPr>
        <w:t>SI – Staff Interview</w:t>
      </w:r>
    </w:p>
    <w:p w14:paraId="3EBBD955" w14:textId="1151C86D" w:rsidR="00A73D61" w:rsidRPr="00A73D61" w:rsidRDefault="00A73D61" w:rsidP="00A73D61">
      <w:pPr>
        <w:rPr>
          <w:rFonts w:eastAsia="Times New Roman" w:cs="Times New Roman"/>
          <w:kern w:val="32"/>
          <w:szCs w:val="24"/>
        </w:rPr>
      </w:pPr>
      <w:r w:rsidRPr="00A73D61">
        <w:rPr>
          <w:rFonts w:eastAsia="Times New Roman" w:cs="Times New Roman"/>
          <w:kern w:val="32"/>
          <w:szCs w:val="24"/>
        </w:rPr>
        <w:t>S</w:t>
      </w:r>
      <w:r>
        <w:rPr>
          <w:rFonts w:eastAsia="Times New Roman" w:cs="Times New Roman"/>
          <w:kern w:val="32"/>
          <w:szCs w:val="24"/>
        </w:rPr>
        <w:t>SRR – Service Specific</w:t>
      </w:r>
      <w:r w:rsidRPr="00A73D61">
        <w:rPr>
          <w:rFonts w:eastAsia="Times New Roman" w:cs="Times New Roman"/>
          <w:kern w:val="32"/>
          <w:szCs w:val="24"/>
        </w:rPr>
        <w:t xml:space="preserve"> Record Review</w:t>
      </w:r>
    </w:p>
    <w:p w14:paraId="50B52805" w14:textId="5AA4268E" w:rsidR="00A73D61" w:rsidRPr="00A73D61" w:rsidRDefault="001F2A99" w:rsidP="00A73D61">
      <w:pPr>
        <w:rPr>
          <w:rFonts w:eastAsia="Times New Roman" w:cs="Times New Roman"/>
          <w:kern w:val="32"/>
          <w:szCs w:val="24"/>
        </w:rPr>
      </w:pPr>
      <w:r>
        <w:t xml:space="preserve">The Handbook – Developmental Disabilities </w:t>
      </w:r>
      <w:r w:rsidR="00AD4AE8">
        <w:t xml:space="preserve">Individual Budgeting </w:t>
      </w:r>
      <w:r>
        <w:t xml:space="preserve">Waiver Services Coverage and Limitations Handbook </w:t>
      </w:r>
    </w:p>
    <w:p w14:paraId="69874FFA" w14:textId="77777777" w:rsidR="00A73D61" w:rsidRDefault="00A73D61">
      <w:pPr>
        <w:spacing w:line="240" w:lineRule="auto"/>
        <w:rPr>
          <w:rFonts w:asciiTheme="majorHAnsi" w:eastAsiaTheme="majorEastAsia" w:hAnsiTheme="majorHAnsi" w:cstheme="majorBidi"/>
          <w:b/>
          <w:bCs/>
          <w:color w:val="365F91" w:themeColor="accent1" w:themeShade="BF"/>
          <w:sz w:val="28"/>
          <w:szCs w:val="28"/>
        </w:rPr>
      </w:pPr>
      <w:r>
        <w:br w:type="page"/>
      </w:r>
    </w:p>
    <w:p w14:paraId="7154BA56" w14:textId="61AA9E49" w:rsidR="00663C10" w:rsidRDefault="00663C10" w:rsidP="00262D42">
      <w:pPr>
        <w:pStyle w:val="Heading1"/>
      </w:pPr>
      <w:bookmarkStart w:id="4" w:name="_Toc459080615"/>
      <w:r>
        <w:lastRenderedPageBreak/>
        <w:t>Executive Summary</w:t>
      </w:r>
      <w:bookmarkEnd w:id="4"/>
      <w:r w:rsidR="0045352E">
        <w:t xml:space="preserve"> </w:t>
      </w:r>
    </w:p>
    <w:p w14:paraId="7154BA57" w14:textId="77777777" w:rsidR="00066FAB" w:rsidRDefault="00066FAB" w:rsidP="00017E2E"/>
    <w:p w14:paraId="7154BA58" w14:textId="3E0CA548" w:rsidR="004D0311" w:rsidRPr="00BF2AA1" w:rsidRDefault="003F2231" w:rsidP="00017E2E">
      <w:r w:rsidRPr="00BF2AA1">
        <w:t>In January 20</w:t>
      </w:r>
      <w:r w:rsidR="004D0311" w:rsidRPr="00BF2AA1">
        <w:t>1</w:t>
      </w:r>
      <w:r w:rsidR="008A265C">
        <w:t>6</w:t>
      </w:r>
      <w:r w:rsidRPr="00BF2AA1">
        <w:t>, t</w:t>
      </w:r>
      <w:r w:rsidR="00F30590" w:rsidRPr="00BF2AA1">
        <w:t>he Florida Statewide Quality Assurance Program</w:t>
      </w:r>
      <w:r w:rsidRPr="00BF2AA1">
        <w:t xml:space="preserve"> (FSQAP</w:t>
      </w:r>
      <w:r w:rsidR="000E2697" w:rsidRPr="00BF2AA1">
        <w:t xml:space="preserve">) </w:t>
      </w:r>
      <w:r w:rsidR="00F30590" w:rsidRPr="00BF2AA1">
        <w:t xml:space="preserve">moved into </w:t>
      </w:r>
      <w:r w:rsidR="000E2697" w:rsidRPr="00BF2AA1">
        <w:t xml:space="preserve">the </w:t>
      </w:r>
      <w:r w:rsidR="008A265C">
        <w:t>seventh</w:t>
      </w:r>
      <w:r w:rsidR="000E2697" w:rsidRPr="00BF2AA1">
        <w:t xml:space="preserve"> year of </w:t>
      </w:r>
      <w:r w:rsidR="00C14179" w:rsidRPr="00BF2AA1">
        <w:t>the</w:t>
      </w:r>
      <w:r w:rsidR="00F30590" w:rsidRPr="00BF2AA1">
        <w:t xml:space="preserve"> contract </w:t>
      </w:r>
      <w:r w:rsidR="00C14179" w:rsidRPr="00BF2AA1">
        <w:t>providing</w:t>
      </w:r>
      <w:r w:rsidR="00F30590" w:rsidRPr="00BF2AA1">
        <w:t xml:space="preserve"> oversight processes </w:t>
      </w:r>
      <w:r w:rsidR="00C14179" w:rsidRPr="00BF2AA1">
        <w:t xml:space="preserve">of provider systems </w:t>
      </w:r>
      <w:r w:rsidR="00F30590" w:rsidRPr="00BF2AA1">
        <w:t>and person centered review activities</w:t>
      </w:r>
      <w:r w:rsidR="00D07BC4" w:rsidRPr="00BF2AA1">
        <w:t xml:space="preserve"> for individuals receiving services through the Development</w:t>
      </w:r>
      <w:r w:rsidR="00EE3520" w:rsidRPr="00BF2AA1">
        <w:t>al</w:t>
      </w:r>
      <w:r w:rsidR="00D07BC4" w:rsidRPr="00BF2AA1">
        <w:t xml:space="preserve"> Disabilities (DD) Home and </w:t>
      </w:r>
      <w:r w:rsidR="002D2D4F" w:rsidRPr="00BF2AA1">
        <w:t>Community-Based Services waiver</w:t>
      </w:r>
      <w:r w:rsidR="008A265C">
        <w:t>, including</w:t>
      </w:r>
      <w:r w:rsidR="00D07BC4" w:rsidRPr="00BF2AA1">
        <w:t xml:space="preserve"> the Consumer Directed Care Plus (CDC+) program</w:t>
      </w:r>
      <w:r w:rsidR="00F30590" w:rsidRPr="00BF2AA1">
        <w:t>.  Delmarva Foundation, under a contract with the Agency for Health Care Administration</w:t>
      </w:r>
      <w:r w:rsidR="00D07BC4" w:rsidRPr="00BF2AA1">
        <w:t xml:space="preserve"> (AHCA)</w:t>
      </w:r>
      <w:r w:rsidR="00F30590" w:rsidRPr="00BF2AA1">
        <w:t xml:space="preserve">, </w:t>
      </w:r>
      <w:r w:rsidR="00D07BC4" w:rsidRPr="00BF2AA1">
        <w:t xml:space="preserve">conducts Provider Discovery Reviews (PDR) and Person Centered Reviews (PCR) to provide </w:t>
      </w:r>
      <w:r w:rsidR="00E540C0" w:rsidRPr="00BF2AA1">
        <w:t xml:space="preserve">AHCA and </w:t>
      </w:r>
      <w:r w:rsidR="00D07BC4" w:rsidRPr="00BF2AA1">
        <w:t>the Agency for Persons with Disabilities (APD) information about providers</w:t>
      </w:r>
      <w:r w:rsidR="00B9537D" w:rsidRPr="00BF2AA1">
        <w:t>, individuals receiving services,</w:t>
      </w:r>
      <w:r w:rsidR="00D07BC4" w:rsidRPr="00BF2AA1">
        <w:t xml:space="preserve"> and the </w:t>
      </w:r>
      <w:r w:rsidR="00E42289" w:rsidRPr="00BF2AA1">
        <w:t xml:space="preserve">quality of </w:t>
      </w:r>
      <w:r w:rsidR="00D07BC4" w:rsidRPr="00BF2AA1">
        <w:t xml:space="preserve">service delivery systems.   </w:t>
      </w:r>
    </w:p>
    <w:p w14:paraId="664C816D" w14:textId="77777777" w:rsidR="00AC5CD3" w:rsidRPr="00BF2AA1" w:rsidRDefault="00AC5CD3" w:rsidP="00017E2E"/>
    <w:p w14:paraId="253E89DD" w14:textId="3556650D" w:rsidR="00C13F97" w:rsidRPr="00DB634B" w:rsidRDefault="00A150DC" w:rsidP="00AB5B3A">
      <w:pPr>
        <w:rPr>
          <w:highlight w:val="yellow"/>
        </w:rPr>
      </w:pPr>
      <w:r w:rsidRPr="00102E36">
        <w:rPr>
          <w:rFonts w:eastAsia="Calibri"/>
        </w:rPr>
        <w:t>The Service Specific Record Review and Administrative tools were revised beginning in January 2016, to align with the iBudget waiver Handbook requirements.</w:t>
      </w:r>
      <w:r>
        <w:rPr>
          <w:rFonts w:eastAsia="Calibri"/>
        </w:rPr>
        <w:t xml:space="preserve"> Delmarva </w:t>
      </w:r>
      <w:r w:rsidR="00FE175A">
        <w:rPr>
          <w:rFonts w:eastAsia="Calibri"/>
        </w:rPr>
        <w:t>presented training sessions in each region on the new tools. In addition to regular review activity, Delmarva provided information about the FSQAP during DD Awareness Day in Tallahassee</w:t>
      </w:r>
      <w:r w:rsidR="00903012">
        <w:rPr>
          <w:rFonts w:eastAsia="Calibri"/>
        </w:rPr>
        <w:t xml:space="preserve">, </w:t>
      </w:r>
      <w:r w:rsidR="00460E0B">
        <w:rPr>
          <w:rFonts w:eastAsia="Calibri"/>
        </w:rPr>
        <w:t>Florida Association of Rehab Facilities (FARF)</w:t>
      </w:r>
      <w:r w:rsidR="00657207">
        <w:rPr>
          <w:rFonts w:eastAsia="Calibri"/>
        </w:rPr>
        <w:t xml:space="preserve">, Family Care Council, </w:t>
      </w:r>
      <w:r w:rsidR="00460E0B">
        <w:rPr>
          <w:rFonts w:eastAsia="Calibri"/>
        </w:rPr>
        <w:t xml:space="preserve">and </w:t>
      </w:r>
      <w:r w:rsidR="00903012">
        <w:rPr>
          <w:rFonts w:eastAsia="Calibri"/>
        </w:rPr>
        <w:t>Family Café in Orlando</w:t>
      </w:r>
      <w:r w:rsidR="00460E0B">
        <w:rPr>
          <w:rFonts w:eastAsia="Calibri"/>
        </w:rPr>
        <w:t xml:space="preserve">. </w:t>
      </w:r>
      <w:r w:rsidR="00FE175A">
        <w:rPr>
          <w:rFonts w:eastAsia="Calibri"/>
        </w:rPr>
        <w:t xml:space="preserve"> </w:t>
      </w:r>
    </w:p>
    <w:p w14:paraId="57A344C3" w14:textId="77777777" w:rsidR="00AB5B3A" w:rsidRPr="00DB634B" w:rsidRDefault="00AB5B3A" w:rsidP="00017E2E">
      <w:pPr>
        <w:rPr>
          <w:highlight w:val="yellow"/>
        </w:rPr>
      </w:pPr>
    </w:p>
    <w:p w14:paraId="3E5B3A45" w14:textId="31CD0282" w:rsidR="00A65428" w:rsidRDefault="00637856" w:rsidP="00FE175A">
      <w:r w:rsidRPr="00FE175A">
        <w:t xml:space="preserve">Findings </w:t>
      </w:r>
      <w:r w:rsidR="00FE175A" w:rsidRPr="00FE175A">
        <w:t xml:space="preserve">to date this </w:t>
      </w:r>
      <w:r w:rsidR="00010DAE" w:rsidRPr="00FE175A">
        <w:t xml:space="preserve">year </w:t>
      </w:r>
      <w:r w:rsidR="00FE175A" w:rsidRPr="00FE175A">
        <w:t xml:space="preserve">are based on </w:t>
      </w:r>
      <w:r w:rsidR="00326D39">
        <w:t>approximately half</w:t>
      </w:r>
      <w:r w:rsidR="00FE175A" w:rsidRPr="00FE175A">
        <w:t xml:space="preserve"> of the PCRs and PDRs </w:t>
      </w:r>
      <w:r w:rsidR="00510B24">
        <w:t xml:space="preserve">that will </w:t>
      </w:r>
      <w:r w:rsidR="00FE175A" w:rsidRPr="00FE175A">
        <w:t xml:space="preserve">be completed </w:t>
      </w:r>
      <w:r w:rsidR="006D2292">
        <w:t xml:space="preserve">during the contract year </w:t>
      </w:r>
      <w:r w:rsidR="00FE175A" w:rsidRPr="00FE175A">
        <w:t xml:space="preserve">and should be viewed </w:t>
      </w:r>
      <w:r w:rsidR="006D2292">
        <w:t xml:space="preserve">only </w:t>
      </w:r>
      <w:r w:rsidR="00FE175A" w:rsidRPr="00FE175A">
        <w:t xml:space="preserve">as preliminary.  </w:t>
      </w:r>
      <w:r w:rsidR="00A65428">
        <w:t xml:space="preserve">A summary of </w:t>
      </w:r>
      <w:r w:rsidR="00892B42">
        <w:t xml:space="preserve">findings </w:t>
      </w:r>
      <w:r w:rsidR="00A65428">
        <w:t>includes the following:</w:t>
      </w:r>
    </w:p>
    <w:p w14:paraId="4B93E277" w14:textId="77777777" w:rsidR="00A65428" w:rsidRDefault="00A65428" w:rsidP="00FE175A"/>
    <w:p w14:paraId="77F53E0C" w14:textId="77777777" w:rsidR="00A65428" w:rsidRDefault="00510B24" w:rsidP="00A65428">
      <w:pPr>
        <w:pStyle w:val="ListParagraph"/>
        <w:numPr>
          <w:ilvl w:val="0"/>
          <w:numId w:val="41"/>
        </w:numPr>
      </w:pPr>
      <w:r>
        <w:t xml:space="preserve">Providers have continued to do well in ensuring compliance with most documentation review standards on record reviews, </w:t>
      </w:r>
      <w:r w:rsidRPr="00A65428">
        <w:t xml:space="preserve">with average compliance rates over 90 percent for Policies and Procedures, Qualifications and Training, and Service Specific Record Reviews.  </w:t>
      </w:r>
    </w:p>
    <w:p w14:paraId="4AD1F216" w14:textId="17FBC6DF" w:rsidR="000E43B4" w:rsidRDefault="00A65428" w:rsidP="00A65428">
      <w:pPr>
        <w:pStyle w:val="ListParagraph"/>
        <w:numPr>
          <w:ilvl w:val="0"/>
          <w:numId w:val="41"/>
        </w:numPr>
      </w:pPr>
      <w:r w:rsidRPr="00A65428">
        <w:t xml:space="preserve">Observation results show an average score of approximately 96 percent, and </w:t>
      </w:r>
      <w:r w:rsidR="00510B24" w:rsidRPr="00A65428">
        <w:t>appear to be lowest in the areas of Autonomy and Independence</w:t>
      </w:r>
      <w:r w:rsidR="00903012">
        <w:t>.</w:t>
      </w:r>
      <w:r w:rsidR="00510B24" w:rsidRPr="00A65428">
        <w:t xml:space="preserve"> </w:t>
      </w:r>
    </w:p>
    <w:p w14:paraId="77A209B0" w14:textId="55978B6F" w:rsidR="00E96251" w:rsidRDefault="00892B42" w:rsidP="00A65428">
      <w:pPr>
        <w:pStyle w:val="ListParagraph"/>
        <w:numPr>
          <w:ilvl w:val="0"/>
          <w:numId w:val="41"/>
        </w:numPr>
      </w:pPr>
      <w:r>
        <w:lastRenderedPageBreak/>
        <w:t>I</w:t>
      </w:r>
      <w:r w:rsidR="00510B24" w:rsidRPr="00A65428">
        <w:t xml:space="preserve">nterview results indicate community participation </w:t>
      </w:r>
      <w:r w:rsidR="00A65428" w:rsidRPr="00A65428">
        <w:t>is</w:t>
      </w:r>
      <w:r w:rsidR="00510B24" w:rsidRPr="00A65428">
        <w:t xml:space="preserve"> most often</w:t>
      </w:r>
      <w:r w:rsidR="000E43B4">
        <w:t xml:space="preserve"> </w:t>
      </w:r>
      <w:r w:rsidR="00903012">
        <w:t>not present</w:t>
      </w:r>
      <w:r w:rsidR="00A33CA8">
        <w:t xml:space="preserve"> </w:t>
      </w:r>
      <w:r>
        <w:t>in</w:t>
      </w:r>
      <w:r w:rsidR="00903012">
        <w:t xml:space="preserve"> </w:t>
      </w:r>
      <w:r w:rsidR="000E43B4">
        <w:t>the person’s life and i</w:t>
      </w:r>
      <w:r w:rsidR="00E96251">
        <w:t>ndicators pertaining to social role developme</w:t>
      </w:r>
      <w:r>
        <w:t>nt are often the lowest scoring</w:t>
      </w:r>
      <w:r w:rsidR="00E96251">
        <w:t>.</w:t>
      </w:r>
    </w:p>
    <w:p w14:paraId="3B91A1D2" w14:textId="31090658" w:rsidR="00A65428" w:rsidRDefault="00E37FE2" w:rsidP="00A65428">
      <w:pPr>
        <w:pStyle w:val="ListParagraph"/>
        <w:numPr>
          <w:ilvl w:val="0"/>
          <w:numId w:val="41"/>
        </w:numPr>
      </w:pPr>
      <w:r>
        <w:t>Most providers are compliant with background screening documentation, with approximately 95 percent of both Service Providers and Waiver Support Coordinators</w:t>
      </w:r>
      <w:r w:rsidR="00903012">
        <w:t>.</w:t>
      </w:r>
    </w:p>
    <w:p w14:paraId="23ECC8FC" w14:textId="0DBB0978" w:rsidR="00A65428" w:rsidRDefault="00A65428" w:rsidP="00A65428">
      <w:pPr>
        <w:pStyle w:val="ListParagraph"/>
        <w:numPr>
          <w:ilvl w:val="0"/>
          <w:numId w:val="41"/>
        </w:numPr>
      </w:pPr>
      <w:r>
        <w:t>Close to 82 percent of CDC+ Representatives were compliant with background screening requirements</w:t>
      </w:r>
      <w:r w:rsidR="00903012">
        <w:t>.</w:t>
      </w:r>
      <w:r w:rsidR="00E37FE2">
        <w:t xml:space="preserve"> </w:t>
      </w:r>
    </w:p>
    <w:p w14:paraId="0363D9C8" w14:textId="77777777" w:rsidR="00A65428" w:rsidRDefault="00A65428" w:rsidP="00FE175A"/>
    <w:p w14:paraId="4703C886" w14:textId="36E7C4AD" w:rsidR="00AB0BDD" w:rsidRDefault="00510B24" w:rsidP="00FE175A">
      <w:r>
        <w:t xml:space="preserve">These and other findings are discussed in this report, </w:t>
      </w:r>
      <w:r w:rsidR="00A33CA8">
        <w:t>with</w:t>
      </w:r>
      <w:r>
        <w:t xml:space="preserve"> </w:t>
      </w:r>
      <w:r w:rsidR="001B686D">
        <w:t>recommendations provided</w:t>
      </w:r>
      <w:r>
        <w:t xml:space="preserve">.  More in-depth analysis and trending will be possible </w:t>
      </w:r>
      <w:r w:rsidR="00A65428">
        <w:t>when all the data</w:t>
      </w:r>
      <w:r>
        <w:t xml:space="preserve"> are available</w:t>
      </w:r>
      <w:r w:rsidR="00A65428">
        <w:t xml:space="preserve"> for the annual report</w:t>
      </w:r>
      <w:r>
        <w:t xml:space="preserve">.  </w:t>
      </w:r>
    </w:p>
    <w:p w14:paraId="219D020C" w14:textId="77777777" w:rsidR="00AB0BDD" w:rsidRDefault="00AB0BDD" w:rsidP="00BF2AA1"/>
    <w:p w14:paraId="1D6A453C" w14:textId="77777777" w:rsidR="00AB0BDD" w:rsidRPr="002D2D4F" w:rsidRDefault="00AB0BDD" w:rsidP="00BF2AA1"/>
    <w:p w14:paraId="7154BA5C" w14:textId="36606202" w:rsidR="00E37E6C" w:rsidRPr="002D2D4F" w:rsidRDefault="00E37E6C" w:rsidP="00017E2E">
      <w:pPr>
        <w:rPr>
          <w:highlight w:val="yellow"/>
        </w:rPr>
      </w:pPr>
      <w:r w:rsidRPr="002D2D4F">
        <w:rPr>
          <w:highlight w:val="yellow"/>
        </w:rPr>
        <w:t xml:space="preserve">  </w:t>
      </w:r>
      <w:r w:rsidR="006462EA" w:rsidRPr="002D2D4F">
        <w:rPr>
          <w:highlight w:val="yellow"/>
        </w:rPr>
        <w:t xml:space="preserve">    </w:t>
      </w:r>
    </w:p>
    <w:p w14:paraId="7154BA5F" w14:textId="77777777" w:rsidR="00A50DB8" w:rsidRPr="002D2D4F" w:rsidRDefault="00A50DB8" w:rsidP="00017E2E">
      <w:pPr>
        <w:rPr>
          <w:highlight w:val="yellow"/>
        </w:rPr>
      </w:pPr>
    </w:p>
    <w:p w14:paraId="7154BA65" w14:textId="77777777" w:rsidR="00111D35" w:rsidRDefault="00111D35" w:rsidP="00262D42">
      <w:pPr>
        <w:pStyle w:val="Heading1"/>
      </w:pPr>
      <w:bookmarkStart w:id="5" w:name="_Toc459080616"/>
      <w:r>
        <w:t>Introduction</w:t>
      </w:r>
      <w:bookmarkEnd w:id="5"/>
    </w:p>
    <w:p w14:paraId="348E102A" w14:textId="4DB954F7" w:rsidR="009114E0" w:rsidRDefault="00712A6A" w:rsidP="00111D35">
      <w:r w:rsidRPr="00C370DE">
        <w:t xml:space="preserve">In January 2010, the Agency for Health Care Administration (AHCA) entered into a contract with Delmarva Foundation to provide </w:t>
      </w:r>
      <w:r w:rsidR="002C3A9A" w:rsidRPr="00C370DE">
        <w:t>quality assurance</w:t>
      </w:r>
      <w:r w:rsidR="00F82A6B" w:rsidRPr="00C370DE">
        <w:t xml:space="preserve"> </w:t>
      </w:r>
      <w:r w:rsidR="00EC296C" w:rsidRPr="00C370DE">
        <w:t xml:space="preserve">discovery activities for the </w:t>
      </w:r>
      <w:r w:rsidR="00A7153B">
        <w:t>H</w:t>
      </w:r>
      <w:r w:rsidR="00EC296C" w:rsidRPr="00C370DE">
        <w:t xml:space="preserve">ome and </w:t>
      </w:r>
      <w:r w:rsidR="00A7153B">
        <w:t>C</w:t>
      </w:r>
      <w:r w:rsidR="00EC296C" w:rsidRPr="00C370DE">
        <w:t>ommunity</w:t>
      </w:r>
      <w:r w:rsidR="00C25CEA">
        <w:t>-</w:t>
      </w:r>
      <w:r w:rsidR="00A7153B">
        <w:t>B</w:t>
      </w:r>
      <w:r w:rsidR="00EC296C" w:rsidRPr="00C370DE">
        <w:t xml:space="preserve">ased </w:t>
      </w:r>
      <w:r w:rsidR="00A7153B">
        <w:t>S</w:t>
      </w:r>
      <w:r w:rsidR="00EC296C" w:rsidRPr="00C370DE">
        <w:t xml:space="preserve">ervices (HCBS) waivers and the Consumer Directed Care Plus (CDC+) </w:t>
      </w:r>
      <w:r w:rsidR="00A7153B">
        <w:t>p</w:t>
      </w:r>
      <w:r w:rsidR="00EC296C" w:rsidRPr="00C370DE">
        <w:t>rogram</w:t>
      </w:r>
      <w:r w:rsidR="00A7153B">
        <w:t xml:space="preserve">, </w:t>
      </w:r>
      <w:r w:rsidR="00F82A6B" w:rsidRPr="00C370DE">
        <w:t>administered by the Agency for Persons with Disabilities</w:t>
      </w:r>
      <w:r w:rsidR="00B778EC" w:rsidRPr="00C370DE">
        <w:t xml:space="preserve"> (APD)</w:t>
      </w:r>
      <w:r w:rsidR="00D31CB5" w:rsidRPr="00C370DE">
        <w:t>.  T</w:t>
      </w:r>
      <w:r w:rsidR="002C3A9A" w:rsidRPr="00C370DE">
        <w:t>hrough the Florida Statewide Quality Assurance Program (FSQAP)</w:t>
      </w:r>
      <w:r w:rsidR="00A067A0" w:rsidRPr="00C370DE">
        <w:t xml:space="preserve">, </w:t>
      </w:r>
      <w:r w:rsidR="009114E0">
        <w:t xml:space="preserve">Delmarva, AHCA and </w:t>
      </w:r>
      <w:r w:rsidR="00D940E8">
        <w:t>APD ha</w:t>
      </w:r>
      <w:r w:rsidR="009114E0">
        <w:t>ve</w:t>
      </w:r>
      <w:r w:rsidR="00D940E8">
        <w:t xml:space="preserve"> designed a Quality Management Strategy based on the </w:t>
      </w:r>
      <w:r w:rsidR="00C250B7">
        <w:t>Home and Community Based Services (</w:t>
      </w:r>
      <w:r w:rsidR="00D940E8">
        <w:t>HCBS</w:t>
      </w:r>
      <w:r w:rsidR="00C250B7">
        <w:t>)</w:t>
      </w:r>
      <w:r w:rsidR="00D940E8">
        <w:t xml:space="preserve"> Quality Framework Model developed by the Center</w:t>
      </w:r>
      <w:r w:rsidR="00FA1F2A">
        <w:t>s</w:t>
      </w:r>
      <w:r w:rsidR="00D940E8">
        <w:t xml:space="preserve"> for Medicare and Medicaid Services (CMS).  </w:t>
      </w:r>
      <w:r w:rsidR="00935F8F">
        <w:t xml:space="preserve">Three quality management functions are identified by CMS:  discovery, remediation, and improvement.  </w:t>
      </w:r>
    </w:p>
    <w:p w14:paraId="5AE3D406" w14:textId="77777777" w:rsidR="009114E0" w:rsidRDefault="009114E0" w:rsidP="00111D35"/>
    <w:p w14:paraId="7154BA68" w14:textId="490EE13E" w:rsidR="0089339E" w:rsidRDefault="00935F8F" w:rsidP="00111D35">
      <w:r>
        <w:t xml:space="preserve">Delmarva’s purpose is </w:t>
      </w:r>
      <w:r w:rsidR="00764BC3">
        <w:t>within the discovery framework</w:t>
      </w:r>
      <w:r w:rsidR="00D87ED8">
        <w:t>.  The information</w:t>
      </w:r>
      <w:r w:rsidR="00764BC3">
        <w:t xml:space="preserve"> </w:t>
      </w:r>
      <w:r w:rsidR="00D87ED8">
        <w:t xml:space="preserve">from the review processes is </w:t>
      </w:r>
      <w:r w:rsidR="00764BC3">
        <w:t xml:space="preserve">used by </w:t>
      </w:r>
      <w:r>
        <w:t xml:space="preserve">APD </w:t>
      </w:r>
      <w:r w:rsidR="00764BC3">
        <w:t xml:space="preserve">to help guide </w:t>
      </w:r>
      <w:r>
        <w:t>policies, programs, or other necessary actions to effectively remediate issues or problems uncovered through the discovery process.</w:t>
      </w:r>
      <w:r w:rsidR="0089339E">
        <w:t xml:space="preserve">  </w:t>
      </w:r>
      <w:r w:rsidR="000C2F6E">
        <w:t xml:space="preserve">Data from the quarterly </w:t>
      </w:r>
      <w:r w:rsidR="00F17B1E">
        <w:t xml:space="preserve">and annual </w:t>
      </w:r>
      <w:r w:rsidR="000C2F6E">
        <w:t xml:space="preserve">reports are examined during the </w:t>
      </w:r>
      <w:r w:rsidR="00FA555A">
        <w:t>Regional</w:t>
      </w:r>
      <w:r w:rsidR="000C2F6E">
        <w:t xml:space="preserve"> Quarterly </w:t>
      </w:r>
      <w:r w:rsidR="00A7153B">
        <w:t>M</w:t>
      </w:r>
      <w:r w:rsidR="000C2F6E">
        <w:t xml:space="preserve">eetings </w:t>
      </w:r>
      <w:r w:rsidR="001D6E4D">
        <w:t xml:space="preserve">and Quality Council meetings </w:t>
      </w:r>
      <w:r w:rsidR="000C2F6E">
        <w:t xml:space="preserve">to help target local </w:t>
      </w:r>
      <w:r w:rsidR="001D6E4D">
        <w:t xml:space="preserve">and statewide </w:t>
      </w:r>
      <w:r w:rsidR="000C2F6E">
        <w:t>remediation activity.</w:t>
      </w:r>
    </w:p>
    <w:p w14:paraId="7154BA69" w14:textId="77777777" w:rsidR="0089339E" w:rsidRDefault="0089339E" w:rsidP="00111D35"/>
    <w:p w14:paraId="10C6C094" w14:textId="2FB84D4F" w:rsidR="00010DAE" w:rsidRDefault="005A1628" w:rsidP="00111D35">
      <w:r>
        <w:lastRenderedPageBreak/>
        <w:t>Delmarva’s</w:t>
      </w:r>
      <w:r w:rsidR="0089339E">
        <w:t xml:space="preserve"> </w:t>
      </w:r>
      <w:r w:rsidR="00A64F59">
        <w:t>d</w:t>
      </w:r>
      <w:r w:rsidR="0089339E">
        <w:t xml:space="preserve">iscovery </w:t>
      </w:r>
      <w:r w:rsidR="00A64F59">
        <w:t>p</w:t>
      </w:r>
      <w:r w:rsidR="0089339E">
        <w:t>rocess is com</w:t>
      </w:r>
      <w:r w:rsidR="00526C66">
        <w:t>pose</w:t>
      </w:r>
      <w:r w:rsidR="0089339E">
        <w:t xml:space="preserve">d of two </w:t>
      </w:r>
      <w:r w:rsidR="005C5C74">
        <w:t xml:space="preserve">major components:  </w:t>
      </w:r>
      <w:r>
        <w:t xml:space="preserve">Person </w:t>
      </w:r>
      <w:r w:rsidR="005C5C74">
        <w:t>Centered Reviews (PCR) and Provider Discovery Reviews (PDR).  The primary purpose of the PCR is to determine</w:t>
      </w:r>
      <w:r w:rsidR="00CA0376">
        <w:t xml:space="preserve"> the quality of the person’s service delivery system from the perspective of </w:t>
      </w:r>
      <w:r w:rsidR="00185A8B">
        <w:t xml:space="preserve">the person receiving services. </w:t>
      </w:r>
      <w:r w:rsidR="00CA0376">
        <w:t>The PCR includes an interview with the person</w:t>
      </w:r>
      <w:r w:rsidR="00010DAE">
        <w:t xml:space="preserve">, an interview with the person’s </w:t>
      </w:r>
      <w:r w:rsidR="004D20A7">
        <w:t xml:space="preserve">support coordinator, </w:t>
      </w:r>
      <w:r w:rsidR="00010DAE">
        <w:t xml:space="preserve">and review of the support coordinator’s record for the person.  </w:t>
      </w:r>
      <w:r w:rsidR="00C250B7">
        <w:t xml:space="preserve">This process includes individuals receiving services through the Consumer Directed Care Plus (CDC+) program who are also interviewed, with record reviews completed for the CDC+ Consultant and Representative.    </w:t>
      </w:r>
    </w:p>
    <w:p w14:paraId="7149D579" w14:textId="77777777" w:rsidR="009114E0" w:rsidRDefault="009114E0" w:rsidP="00111D35"/>
    <w:p w14:paraId="4587B50C" w14:textId="77777777" w:rsidR="009114E0" w:rsidRDefault="00CA0376" w:rsidP="00111D35">
      <w:r>
        <w:t xml:space="preserve">The focus of the PDR is to </w:t>
      </w:r>
      <w:r w:rsidR="00AD7180">
        <w:t xml:space="preserve">review provider </w:t>
      </w:r>
      <w:r w:rsidR="0002710D">
        <w:t>compliance with</w:t>
      </w:r>
      <w:r>
        <w:t xml:space="preserve"> requirements and standards </w:t>
      </w:r>
      <w:r w:rsidR="009E09AE">
        <w:t xml:space="preserve">specified in </w:t>
      </w:r>
      <w:r>
        <w:t xml:space="preserve">the Developmental Disabilities Waiver Services </w:t>
      </w:r>
      <w:r w:rsidR="00E540C0">
        <w:t xml:space="preserve">Coverage </w:t>
      </w:r>
      <w:r>
        <w:t>and Limitation</w:t>
      </w:r>
      <w:r w:rsidR="0002710D">
        <w:t>s Handbook</w:t>
      </w:r>
      <w:r w:rsidR="006764BD">
        <w:t xml:space="preserve"> (The Handbook)</w:t>
      </w:r>
      <w:r w:rsidR="00AD7180">
        <w:t xml:space="preserve"> </w:t>
      </w:r>
      <w:r w:rsidR="00F17B1E">
        <w:t>for the waiver program</w:t>
      </w:r>
      <w:r w:rsidR="00185A8B">
        <w:t xml:space="preserve">, </w:t>
      </w:r>
      <w:r w:rsidR="00010DAE">
        <w:t xml:space="preserve">and </w:t>
      </w:r>
      <w:r w:rsidR="00185A8B">
        <w:t xml:space="preserve">also to </w:t>
      </w:r>
      <w:r w:rsidR="00010DAE">
        <w:t>determine how well services are supporting individuals served</w:t>
      </w:r>
      <w:r w:rsidR="0002710D">
        <w:t xml:space="preserve">. </w:t>
      </w:r>
      <w:r w:rsidR="00185A8B">
        <w:t xml:space="preserve">The PDR is composed of an Administrative </w:t>
      </w:r>
      <w:r w:rsidR="00502030">
        <w:t>R</w:t>
      </w:r>
      <w:r w:rsidR="00185A8B">
        <w:t xml:space="preserve">ecord </w:t>
      </w:r>
      <w:r w:rsidR="00502030">
        <w:t>R</w:t>
      </w:r>
      <w:r w:rsidR="00185A8B">
        <w:t>eview</w:t>
      </w:r>
      <w:r w:rsidR="00502030">
        <w:t xml:space="preserve"> of organizational policies and procedures and staff training/qualifications</w:t>
      </w:r>
      <w:r w:rsidR="00185A8B">
        <w:t xml:space="preserve">, Service Specific Record Reviews, interviews with individuals receiving services and interviews with staff.  Observations </w:t>
      </w:r>
      <w:r w:rsidR="00502030">
        <w:t>are completed</w:t>
      </w:r>
      <w:r w:rsidR="00185A8B">
        <w:t xml:space="preserve"> </w:t>
      </w:r>
      <w:r w:rsidR="003F3E50">
        <w:t xml:space="preserve">for </w:t>
      </w:r>
      <w:r w:rsidR="00185A8B">
        <w:t xml:space="preserve">licensed residential facilities and day programs.  </w:t>
      </w:r>
      <w:r w:rsidR="00502030">
        <w:t>A</w:t>
      </w:r>
      <w:r w:rsidR="00185A8B">
        <w:t>s possible</w:t>
      </w:r>
      <w:r w:rsidR="00F06AE6">
        <w:t>,</w:t>
      </w:r>
      <w:r w:rsidR="00185A8B">
        <w:t xml:space="preserve"> up to 30 percent of all observations may be unannounced. </w:t>
      </w:r>
    </w:p>
    <w:p w14:paraId="4C7AA471" w14:textId="77777777" w:rsidR="00C250B7" w:rsidRDefault="00C250B7" w:rsidP="00111D35"/>
    <w:p w14:paraId="12817447" w14:textId="0C368E16" w:rsidR="004F02BD" w:rsidRPr="00010469" w:rsidRDefault="00AD7180" w:rsidP="004F02BD">
      <w:r>
        <w:t xml:space="preserve">Within the CDC+ program, consultants and representatives are reviewed on the standards set forth by </w:t>
      </w:r>
      <w:r w:rsidR="009E09AE">
        <w:t>APD and AHCA</w:t>
      </w:r>
      <w:r>
        <w:t>.</w:t>
      </w:r>
      <w:r w:rsidR="009E09AE">
        <w:t xml:space="preserve"> </w:t>
      </w:r>
      <w:r w:rsidR="00415F19">
        <w:t>Although CDC+ participants are on th</w:t>
      </w:r>
      <w:r w:rsidR="00756DF2">
        <w:t>e</w:t>
      </w:r>
      <w:r w:rsidR="00415F19">
        <w:t xml:space="preserve"> </w:t>
      </w:r>
      <w:r w:rsidR="00C213CD">
        <w:t xml:space="preserve">iBudget </w:t>
      </w:r>
      <w:r w:rsidR="00415F19">
        <w:t xml:space="preserve">waiver, the programs are fundamentally different in several aspects and therefore results are analyzed separately.  </w:t>
      </w:r>
      <w:r w:rsidR="00756DF2">
        <w:t>In tables</w:t>
      </w:r>
      <w:r w:rsidR="00FD03C5">
        <w:t>,</w:t>
      </w:r>
      <w:r w:rsidR="00756DF2">
        <w:t xml:space="preserve"> we refer to Waiver Participants </w:t>
      </w:r>
      <w:r w:rsidR="00FD03C5">
        <w:t>(DD Waiver)</w:t>
      </w:r>
      <w:r w:rsidR="00C21ED6">
        <w:t xml:space="preserve"> </w:t>
      </w:r>
      <w:r w:rsidR="00756DF2">
        <w:t>and CDC+ Participants to make the distinction between the two gr</w:t>
      </w:r>
      <w:r w:rsidR="00010DAE">
        <w:t>o</w:t>
      </w:r>
      <w:r w:rsidR="00756DF2">
        <w:t>ups.</w:t>
      </w:r>
    </w:p>
    <w:p w14:paraId="7154BA6D" w14:textId="77777777" w:rsidR="008436D9" w:rsidRDefault="008436D9" w:rsidP="00111D35"/>
    <w:p w14:paraId="7154BA6E" w14:textId="05225F4D" w:rsidR="00BF7077" w:rsidRDefault="00F62894" w:rsidP="00111D35">
      <w:r>
        <w:t xml:space="preserve">This is the report for </w:t>
      </w:r>
      <w:r w:rsidR="00010469">
        <w:t xml:space="preserve">the </w:t>
      </w:r>
      <w:r w:rsidR="00C213CD">
        <w:t>second</w:t>
      </w:r>
      <w:r w:rsidR="00502030">
        <w:t xml:space="preserve"> </w:t>
      </w:r>
      <w:r w:rsidR="008A1BE9">
        <w:t>quarter of the s</w:t>
      </w:r>
      <w:r w:rsidR="00FD03C5">
        <w:t>eventh</w:t>
      </w:r>
      <w:r w:rsidR="008A1BE9">
        <w:t xml:space="preserve"> </w:t>
      </w:r>
      <w:r w:rsidR="008A1BE9" w:rsidRPr="006D2292">
        <w:t xml:space="preserve">year of the </w:t>
      </w:r>
      <w:r w:rsidR="00502030" w:rsidRPr="006D2292">
        <w:t>FSQAP contract</w:t>
      </w:r>
      <w:r w:rsidRPr="006D2292">
        <w:t xml:space="preserve">.  </w:t>
      </w:r>
      <w:r w:rsidR="00C250B7" w:rsidRPr="006D2292">
        <w:t xml:space="preserve">Contract activity is described for the </w:t>
      </w:r>
      <w:r w:rsidR="00C213CD">
        <w:t>second</w:t>
      </w:r>
      <w:r w:rsidR="00C250B7" w:rsidRPr="006D2292">
        <w:t xml:space="preserve"> quarter</w:t>
      </w:r>
      <w:r w:rsidR="00C13540">
        <w:t xml:space="preserve"> </w:t>
      </w:r>
      <w:r w:rsidR="00C13540" w:rsidRPr="006D2292">
        <w:t>(</w:t>
      </w:r>
      <w:r w:rsidR="00C13540">
        <w:t>April - June</w:t>
      </w:r>
      <w:r w:rsidR="00C13540" w:rsidRPr="006D2292">
        <w:t xml:space="preserve"> 2016)</w:t>
      </w:r>
      <w:r w:rsidR="00C250B7" w:rsidRPr="006D2292">
        <w:t>. Several significant changes were implemented with the January 2015 revisions, and c</w:t>
      </w:r>
      <w:r w:rsidR="00C250B7">
        <w:t xml:space="preserve">omparisons to </w:t>
      </w:r>
      <w:r w:rsidR="00FD03C5">
        <w:t>data from years prior to 2015</w:t>
      </w:r>
      <w:r w:rsidR="00C250B7">
        <w:t xml:space="preserve"> are not possible or appropriate.  </w:t>
      </w:r>
      <w:r w:rsidR="006D2292">
        <w:t>Additional changes to some tools</w:t>
      </w:r>
      <w:r w:rsidR="00EE116F">
        <w:t>, e.g., the Administrative Record Reviews,</w:t>
      </w:r>
      <w:r w:rsidR="006D2292">
        <w:t xml:space="preserve"> in January 2016 limit comparisons to </w:t>
      </w:r>
      <w:r w:rsidR="00EE116F">
        <w:t>2015</w:t>
      </w:r>
      <w:r w:rsidR="006D2292">
        <w:t xml:space="preserve"> as well. </w:t>
      </w:r>
      <w:r w:rsidR="00067423">
        <w:t xml:space="preserve">The </w:t>
      </w:r>
      <w:r w:rsidR="00BF7077">
        <w:t xml:space="preserve">report is divided into three sections.  </w:t>
      </w:r>
    </w:p>
    <w:p w14:paraId="7154BA6F" w14:textId="77777777" w:rsidR="005102E2" w:rsidRDefault="005102E2" w:rsidP="00111D35"/>
    <w:p w14:paraId="7154BA70" w14:textId="7470E69A" w:rsidR="00067423" w:rsidRDefault="00BF7077" w:rsidP="0074534B">
      <w:pPr>
        <w:numPr>
          <w:ilvl w:val="0"/>
          <w:numId w:val="1"/>
        </w:numPr>
      </w:pPr>
      <w:r>
        <w:t xml:space="preserve">Section I:  </w:t>
      </w:r>
      <w:r w:rsidR="006764BD">
        <w:t xml:space="preserve">Significant </w:t>
      </w:r>
      <w:r>
        <w:t>Contract Activity</w:t>
      </w:r>
      <w:r w:rsidR="00B360B0">
        <w:t xml:space="preserve"> During the </w:t>
      </w:r>
      <w:r w:rsidR="00903012">
        <w:t>2</w:t>
      </w:r>
      <w:r w:rsidR="00903012" w:rsidRPr="00A33CA8">
        <w:rPr>
          <w:vertAlign w:val="superscript"/>
        </w:rPr>
        <w:t>nd</w:t>
      </w:r>
      <w:r w:rsidR="00903012">
        <w:t xml:space="preserve"> </w:t>
      </w:r>
      <w:r w:rsidR="00B360B0">
        <w:t>Quarter</w:t>
      </w:r>
    </w:p>
    <w:p w14:paraId="7154BA71" w14:textId="53265EF0" w:rsidR="00BF7077" w:rsidRDefault="00BF7077" w:rsidP="0074534B">
      <w:pPr>
        <w:numPr>
          <w:ilvl w:val="0"/>
          <w:numId w:val="1"/>
        </w:numPr>
      </w:pPr>
      <w:r>
        <w:lastRenderedPageBreak/>
        <w:t>Section II:  Data from Review Activities</w:t>
      </w:r>
      <w:r w:rsidR="00981D9A">
        <w:t xml:space="preserve"> (includes </w:t>
      </w:r>
      <w:r w:rsidR="00C250B7">
        <w:t>annual</w:t>
      </w:r>
      <w:r w:rsidR="00981D9A">
        <w:t xml:space="preserve"> results)</w:t>
      </w:r>
    </w:p>
    <w:p w14:paraId="7154BA72" w14:textId="3ADDC642" w:rsidR="00067423" w:rsidRDefault="00BF7077" w:rsidP="0074534B">
      <w:pPr>
        <w:numPr>
          <w:ilvl w:val="0"/>
          <w:numId w:val="1"/>
        </w:numPr>
      </w:pPr>
      <w:r>
        <w:t>Section III:  Disc</w:t>
      </w:r>
      <w:r w:rsidR="00C250B7">
        <w:t>ussion</w:t>
      </w:r>
      <w:r w:rsidR="002D287E">
        <w:t xml:space="preserve"> and Recommendations</w:t>
      </w:r>
    </w:p>
    <w:p w14:paraId="7154BA73" w14:textId="77777777" w:rsidR="00094C5B" w:rsidRDefault="00094C5B">
      <w:pPr>
        <w:spacing w:line="240" w:lineRule="auto"/>
      </w:pPr>
      <w:r>
        <w:br w:type="page"/>
      </w:r>
    </w:p>
    <w:p w14:paraId="7154BA74" w14:textId="1009560C" w:rsidR="00017E2E" w:rsidRPr="00017E2E" w:rsidRDefault="00094C5B" w:rsidP="00262D42">
      <w:pPr>
        <w:pStyle w:val="Heading1"/>
      </w:pPr>
      <w:bookmarkStart w:id="6" w:name="_Toc459080617"/>
      <w:r>
        <w:lastRenderedPageBreak/>
        <w:t xml:space="preserve">Section I:  </w:t>
      </w:r>
      <w:r w:rsidR="006A17C6">
        <w:t>Significant</w:t>
      </w:r>
      <w:r>
        <w:t xml:space="preserve"> </w:t>
      </w:r>
      <w:r w:rsidR="006764BD">
        <w:t xml:space="preserve">Contract </w:t>
      </w:r>
      <w:r>
        <w:t>Activity</w:t>
      </w:r>
      <w:bookmarkEnd w:id="6"/>
    </w:p>
    <w:p w14:paraId="7154BA75" w14:textId="77777777" w:rsidR="00094C5B" w:rsidRDefault="00094C5B" w:rsidP="00111D35">
      <w:pPr>
        <w:pStyle w:val="NoSpacing"/>
      </w:pPr>
    </w:p>
    <w:p w14:paraId="335700CE" w14:textId="77777777" w:rsidR="00675370" w:rsidRDefault="00675370" w:rsidP="00675370">
      <w:pPr>
        <w:pStyle w:val="Heading2"/>
      </w:pPr>
      <w:bookmarkStart w:id="7" w:name="_Toc369864657"/>
      <w:bookmarkStart w:id="8" w:name="_Toc459080618"/>
      <w:r>
        <w:t>Information Sharing</w:t>
      </w:r>
      <w:bookmarkEnd w:id="7"/>
      <w:bookmarkEnd w:id="8"/>
    </w:p>
    <w:p w14:paraId="2BC6C005" w14:textId="77777777" w:rsidR="00675370" w:rsidRPr="00F44B26" w:rsidRDefault="00675370" w:rsidP="001B6245">
      <w:pPr>
        <w:pStyle w:val="Heading3"/>
      </w:pPr>
      <w:bookmarkStart w:id="9" w:name="_Toc459080619"/>
      <w:r w:rsidRPr="00F44B26">
        <w:t>Staff Conference Calls</w:t>
      </w:r>
      <w:bookmarkEnd w:id="9"/>
    </w:p>
    <w:p w14:paraId="7449CD9B" w14:textId="5E982C67" w:rsidR="00096D97" w:rsidRDefault="00675370" w:rsidP="00675370">
      <w:r w:rsidRPr="00CC2ADD">
        <w:t xml:space="preserve">Conference calls </w:t>
      </w:r>
      <w:r w:rsidR="00CA72C0" w:rsidRPr="00CC2ADD">
        <w:t>are conducted</w:t>
      </w:r>
      <w:r w:rsidRPr="00CC2ADD">
        <w:t xml:space="preserve"> on a bi-weekly basis for all reviewers and managers to provide:  </w:t>
      </w:r>
      <w:r w:rsidRPr="003F3E50">
        <w:t>updates on procedures</w:t>
      </w:r>
      <w:r w:rsidR="008F06B9" w:rsidRPr="003F3E50">
        <w:t xml:space="preserve"> </w:t>
      </w:r>
      <w:r w:rsidRPr="003F3E50">
        <w:t>and/or APD</w:t>
      </w:r>
      <w:r w:rsidR="008F06B9" w:rsidRPr="003F3E50">
        <w:t xml:space="preserve"> and AHCA</w:t>
      </w:r>
      <w:r w:rsidRPr="003F3E50">
        <w:t xml:space="preserve"> policy; a forum for questions; and an avenue to support training and reliability processes.  The managers have implemented the use of webinars and go-to-meetings, when appropriate, to enhance training and presentati</w:t>
      </w:r>
      <w:r w:rsidR="00C643E4" w:rsidRPr="003F3E50">
        <w:t>ons provided during the calls. Reliability results are discussed</w:t>
      </w:r>
      <w:r w:rsidR="00C643E4" w:rsidRPr="00CC2ADD">
        <w:t>, with a focus on standards that may have been most often scored inconsistently.</w:t>
      </w:r>
      <w:r w:rsidR="00C643E4">
        <w:t xml:space="preserve">  </w:t>
      </w:r>
    </w:p>
    <w:p w14:paraId="45881C98" w14:textId="77777777" w:rsidR="005642BD" w:rsidRDefault="005642BD" w:rsidP="0048348D"/>
    <w:p w14:paraId="02C149DA" w14:textId="56E82859" w:rsidR="00675370" w:rsidRDefault="00675370" w:rsidP="00675370">
      <w:r>
        <w:t>On alternate weeks managers often meet with their teams to review information, discuss questions or issues from reviews, and gather feedback from reviewers to help with updates to tools or standards, and changes to how a standard should be interpreted based on information from AHCA and APD</w:t>
      </w:r>
      <w:r w:rsidRPr="009B6A11">
        <w:t>.</w:t>
      </w:r>
      <w:r>
        <w:t xml:space="preserve">  The team meetings also assist with discussing issues/concerns pertinent to the specific region in which the reviewers typically work. </w:t>
      </w:r>
    </w:p>
    <w:p w14:paraId="4C3ACEFE" w14:textId="77777777" w:rsidR="00675370" w:rsidRPr="00E22E67" w:rsidRDefault="00675370" w:rsidP="001B6245">
      <w:pPr>
        <w:pStyle w:val="Heading3"/>
      </w:pPr>
      <w:bookmarkStart w:id="10" w:name="_Toc369864662"/>
      <w:bookmarkStart w:id="11" w:name="_Toc459080620"/>
      <w:r w:rsidRPr="00E22E67">
        <w:t>Status Meetings</w:t>
      </w:r>
      <w:bookmarkEnd w:id="10"/>
      <w:bookmarkEnd w:id="11"/>
    </w:p>
    <w:p w14:paraId="0723B2DB" w14:textId="6C7D7E21" w:rsidR="00675370" w:rsidRDefault="00675370" w:rsidP="00675370">
      <w:r w:rsidRPr="00940FB1">
        <w:t>Status meetings are held to provide an opportunity for Delmarva, AHCA, and APD representatives to discuss contract</w:t>
      </w:r>
      <w:r w:rsidRPr="00E22E67">
        <w:t xml:space="preserve"> activities and other relevant issues as necessary. </w:t>
      </w:r>
      <w:r>
        <w:t xml:space="preserve"> </w:t>
      </w:r>
      <w:r w:rsidR="00892693">
        <w:t xml:space="preserve">Revisions to processes and tools may be discussed as well as policy updates from AHCA or APD that may impact the FSQAP.  </w:t>
      </w:r>
      <w:r w:rsidRPr="004D270F">
        <w:t xml:space="preserve">During the </w:t>
      </w:r>
      <w:r w:rsidR="00737DD3">
        <w:t xml:space="preserve">second </w:t>
      </w:r>
      <w:r w:rsidRPr="004D270F">
        <w:t xml:space="preserve">quarter of this contract year, </w:t>
      </w:r>
      <w:r w:rsidR="00AF05A6">
        <w:t xml:space="preserve">status meetings were held </w:t>
      </w:r>
      <w:r w:rsidR="00737DD3">
        <w:t>April 21</w:t>
      </w:r>
      <w:r w:rsidR="00AF05A6">
        <w:t xml:space="preserve">, </w:t>
      </w:r>
      <w:r w:rsidR="00737DD3">
        <w:t>May 19</w:t>
      </w:r>
      <w:r w:rsidR="00AF05A6">
        <w:t xml:space="preserve"> and </w:t>
      </w:r>
      <w:r w:rsidR="00737DD3">
        <w:t>June 16</w:t>
      </w:r>
      <w:r w:rsidR="006F0661">
        <w:t xml:space="preserve">.  </w:t>
      </w:r>
      <w:r w:rsidR="00C1142A">
        <w:t xml:space="preserve">  </w:t>
      </w:r>
      <w:r>
        <w:t xml:space="preserve">  </w:t>
      </w:r>
      <w:r w:rsidR="00713030">
        <w:t xml:space="preserve">  </w:t>
      </w:r>
      <w:r>
        <w:t xml:space="preserve">    </w:t>
      </w:r>
    </w:p>
    <w:p w14:paraId="7F913819" w14:textId="77777777" w:rsidR="00675370" w:rsidRDefault="00675370" w:rsidP="00675370"/>
    <w:p w14:paraId="01220E4C" w14:textId="77777777" w:rsidR="00675370" w:rsidRPr="000F1CD2" w:rsidRDefault="00675370" w:rsidP="00675370">
      <w:pPr>
        <w:pStyle w:val="Heading2"/>
        <w:spacing w:before="0"/>
      </w:pPr>
      <w:bookmarkStart w:id="12" w:name="_Toc369864658"/>
      <w:bookmarkStart w:id="13" w:name="_Toc459080621"/>
      <w:r w:rsidRPr="000F1CD2">
        <w:t>Internal Quality Assurance Activities</w:t>
      </w:r>
      <w:bookmarkEnd w:id="12"/>
      <w:bookmarkEnd w:id="13"/>
    </w:p>
    <w:p w14:paraId="128B2CCA" w14:textId="77777777" w:rsidR="00675370" w:rsidRPr="000F1CD2" w:rsidRDefault="00675370" w:rsidP="001B6245">
      <w:pPr>
        <w:pStyle w:val="Heading3"/>
      </w:pPr>
      <w:bookmarkStart w:id="14" w:name="_Toc369864659"/>
      <w:bookmarkStart w:id="15" w:name="_Toc459080622"/>
      <w:r w:rsidRPr="000F1CD2">
        <w:t>Report Approval Process</w:t>
      </w:r>
      <w:bookmarkEnd w:id="14"/>
      <w:bookmarkEnd w:id="15"/>
    </w:p>
    <w:p w14:paraId="495A444B" w14:textId="7BBDF357" w:rsidR="00A17FEF" w:rsidRPr="00A17FEF" w:rsidRDefault="00675370" w:rsidP="00A17FEF">
      <w:r w:rsidRPr="001B30F4">
        <w:t>In order to reduce error rates and enhance reliability, the Delmarva management team review</w:t>
      </w:r>
      <w:r w:rsidR="000D3DE6">
        <w:t>s</w:t>
      </w:r>
      <w:r w:rsidRPr="001B30F4">
        <w:t xml:space="preserve"> all PCR and PDR</w:t>
      </w:r>
      <w:r>
        <w:t xml:space="preserve"> </w:t>
      </w:r>
      <w:r w:rsidRPr="000F1CD2">
        <w:t>reports before they are approved</w:t>
      </w:r>
      <w:r w:rsidR="006365EF">
        <w:t>, posted, and included in the database for analysis</w:t>
      </w:r>
      <w:r w:rsidRPr="000F1CD2">
        <w:t xml:space="preserve">.  Managers work with the reviewer if an error is discovered and provide technical assistance if needed.  After </w:t>
      </w:r>
      <w:r>
        <w:t xml:space="preserve">management </w:t>
      </w:r>
      <w:r w:rsidRPr="000F1CD2">
        <w:t>approval, reports are mailed to providers or support coordinators</w:t>
      </w:r>
      <w:r>
        <w:t>,</w:t>
      </w:r>
      <w:r w:rsidRPr="000F1CD2">
        <w:t xml:space="preserve"> and posted to </w:t>
      </w:r>
      <w:r w:rsidR="00F06AE6">
        <w:t xml:space="preserve">the web site for APD </w:t>
      </w:r>
      <w:r w:rsidR="00F06AE6">
        <w:lastRenderedPageBreak/>
        <w:t>and AHCA.</w:t>
      </w:r>
      <w:r w:rsidR="00F06AE6" w:rsidRPr="000F1CD2">
        <w:t xml:space="preserve"> </w:t>
      </w:r>
      <w:r w:rsidR="00555E52">
        <w:t xml:space="preserve">Some information from </w:t>
      </w:r>
      <w:r w:rsidR="00F06AE6">
        <w:t xml:space="preserve">PDR reports </w:t>
      </w:r>
      <w:r w:rsidR="00555E52">
        <w:t xml:space="preserve">is </w:t>
      </w:r>
      <w:r w:rsidR="00F06AE6">
        <w:t xml:space="preserve">added to the Public Reporting website at </w:t>
      </w:r>
      <w:hyperlink r:id="rId14" w:history="1">
        <w:r w:rsidR="00940FB1" w:rsidRPr="00B14E07">
          <w:rPr>
            <w:rStyle w:val="Hyperlink"/>
          </w:rPr>
          <w:t>www.flddresources.org</w:t>
        </w:r>
      </w:hyperlink>
      <w:r w:rsidR="00940FB1">
        <w:t xml:space="preserve"> </w:t>
      </w:r>
      <w:r w:rsidR="00F06AE6">
        <w:t xml:space="preserve"> </w:t>
      </w:r>
      <w:r w:rsidR="00692B18">
        <w:t>to help</w:t>
      </w:r>
      <w:r w:rsidR="00F06AE6">
        <w:t xml:space="preserve"> community stakeholders find providers and view scores. </w:t>
      </w:r>
      <w:r w:rsidR="00F06AE6" w:rsidRPr="000F1CD2">
        <w:t xml:space="preserve"> </w:t>
      </w:r>
      <w:r w:rsidRPr="000F1CD2">
        <w:t xml:space="preserve"> </w:t>
      </w:r>
      <w:bookmarkStart w:id="16" w:name="_Toc369864660"/>
    </w:p>
    <w:p w14:paraId="7DB49515" w14:textId="77777777" w:rsidR="00675370" w:rsidRDefault="00675370" w:rsidP="001B6245">
      <w:pPr>
        <w:pStyle w:val="Heading3"/>
      </w:pPr>
      <w:bookmarkStart w:id="17" w:name="_Toc459080623"/>
      <w:r>
        <w:t>Reliability</w:t>
      </w:r>
      <w:bookmarkEnd w:id="16"/>
      <w:bookmarkEnd w:id="17"/>
    </w:p>
    <w:p w14:paraId="1E35AC3F" w14:textId="77777777" w:rsidR="00692B18" w:rsidRDefault="004D0533" w:rsidP="00795292">
      <w:bookmarkStart w:id="18" w:name="_Toc369864661"/>
      <w:r>
        <w:t xml:space="preserve">Delmarva </w:t>
      </w:r>
      <w:r w:rsidRPr="004D0533">
        <w:t xml:space="preserve">Quality Assurance Reviewers (QAR) </w:t>
      </w:r>
      <w:r>
        <w:t xml:space="preserve">and Regional Managers undergo rigorous reliability testing each year, including formal and informal processes.  QARs are periodically shadowed by managers to ensure proper procedures and protocols are followed throughout the review processes.  In addition, formal </w:t>
      </w:r>
      <w:r w:rsidR="001E38F6">
        <w:t xml:space="preserve">inter-rater </w:t>
      </w:r>
      <w:r>
        <w:t>reliability</w:t>
      </w:r>
      <w:r w:rsidR="001E38F6">
        <w:t xml:space="preserve"> (IRR)</w:t>
      </w:r>
      <w:r>
        <w:t xml:space="preserve"> testing is conducted</w:t>
      </w:r>
      <w:r w:rsidR="006A12CF">
        <w:t xml:space="preserve">.  </w:t>
      </w:r>
    </w:p>
    <w:p w14:paraId="146ACFB8" w14:textId="77777777" w:rsidR="00692B18" w:rsidRDefault="00692B18" w:rsidP="00795292"/>
    <w:p w14:paraId="676A23C8" w14:textId="77777777" w:rsidR="00692B18" w:rsidRDefault="006A12CF" w:rsidP="00692B18">
      <w:pPr>
        <w:pStyle w:val="ListParagraph"/>
        <w:numPr>
          <w:ilvl w:val="0"/>
          <w:numId w:val="37"/>
        </w:numPr>
      </w:pPr>
      <w:r>
        <w:t xml:space="preserve">File reliability is used for documentation review tools (Service Specific).  One file is distributed to all reviewers who, within a certain timeframe, submit responses on the specific tool being tested.  </w:t>
      </w:r>
      <w:r w:rsidR="00692B18">
        <w:t xml:space="preserve">An “Ask the Provider” session is offered to all reviewers to better simulate the actual interactive review activity to ensure all necessary information is collected and interpreted correctly.  </w:t>
      </w:r>
    </w:p>
    <w:p w14:paraId="055361C5" w14:textId="1F24404C" w:rsidR="00692B18" w:rsidRDefault="006A12CF" w:rsidP="00692B18">
      <w:pPr>
        <w:pStyle w:val="ListParagraph"/>
        <w:numPr>
          <w:ilvl w:val="0"/>
          <w:numId w:val="37"/>
        </w:numPr>
      </w:pPr>
      <w:r>
        <w:t xml:space="preserve">Field reliability is conducted onsite with reviewers and is used to determine if protocols and </w:t>
      </w:r>
      <w:r w:rsidRPr="000A537F">
        <w:t>procedures are followed correctly and if responses on the interview processes match the manager conducting the IRR.</w:t>
      </w:r>
      <w:r w:rsidR="00A91FE4" w:rsidRPr="000A537F">
        <w:t xml:space="preserve"> </w:t>
      </w:r>
      <w:r w:rsidR="00AB5B3A" w:rsidRPr="000A537F">
        <w:t xml:space="preserve">Administrative </w:t>
      </w:r>
      <w:r w:rsidR="00AB5B3A" w:rsidRPr="00795292">
        <w:t xml:space="preserve">tool reliability is </w:t>
      </w:r>
      <w:r w:rsidR="00903012">
        <w:t>conducted</w:t>
      </w:r>
      <w:r w:rsidR="00903012" w:rsidRPr="00795292">
        <w:t xml:space="preserve"> </w:t>
      </w:r>
      <w:r w:rsidR="00AB5B3A" w:rsidRPr="00795292">
        <w:t xml:space="preserve">in the field.  </w:t>
      </w:r>
    </w:p>
    <w:p w14:paraId="5B9302C9" w14:textId="77777777" w:rsidR="00692B18" w:rsidRDefault="00692B18" w:rsidP="00795292"/>
    <w:p w14:paraId="379C8FB4" w14:textId="6ADA80FB" w:rsidR="007F3C36" w:rsidRPr="00795292" w:rsidRDefault="00795292" w:rsidP="00795292">
      <w:r>
        <w:t>T</w:t>
      </w:r>
      <w:r w:rsidR="006A12CF" w:rsidRPr="00795292">
        <w:t>he following IRR activity was completed</w:t>
      </w:r>
      <w:r>
        <w:t xml:space="preserve"> for which all participants passed</w:t>
      </w:r>
      <w:r w:rsidR="006A12CF" w:rsidRPr="00795292">
        <w:t>:</w:t>
      </w:r>
      <w:r w:rsidR="004D0533" w:rsidRPr="00795292">
        <w:t xml:space="preserve"> </w:t>
      </w:r>
    </w:p>
    <w:p w14:paraId="3A912702" w14:textId="77777777" w:rsidR="00E900F9" w:rsidRPr="00BA54E9" w:rsidRDefault="00E900F9" w:rsidP="00795292"/>
    <w:p w14:paraId="41559666" w14:textId="5DFC464C" w:rsidR="00BA54E9" w:rsidRPr="00BA54E9" w:rsidRDefault="00BA54E9" w:rsidP="00BA54E9">
      <w:pPr>
        <w:pStyle w:val="ListParagraph"/>
        <w:numPr>
          <w:ilvl w:val="0"/>
          <w:numId w:val="29"/>
        </w:numPr>
        <w:rPr>
          <w:szCs w:val="24"/>
        </w:rPr>
      </w:pPr>
      <w:r w:rsidRPr="00BA54E9">
        <w:rPr>
          <w:szCs w:val="24"/>
        </w:rPr>
        <w:t xml:space="preserve">PCR Individual Interview Field Review Reliability was completed with </w:t>
      </w:r>
      <w:r>
        <w:rPr>
          <w:szCs w:val="24"/>
        </w:rPr>
        <w:t>eight</w:t>
      </w:r>
      <w:r w:rsidRPr="00BA54E9">
        <w:rPr>
          <w:szCs w:val="24"/>
        </w:rPr>
        <w:t xml:space="preserve"> QARs</w:t>
      </w:r>
    </w:p>
    <w:p w14:paraId="7540EF76" w14:textId="77777777" w:rsidR="00BA54E9" w:rsidRDefault="00BA54E9" w:rsidP="00BA54E9">
      <w:pPr>
        <w:pStyle w:val="ListParagraph"/>
        <w:numPr>
          <w:ilvl w:val="0"/>
          <w:numId w:val="29"/>
        </w:numPr>
        <w:rPr>
          <w:szCs w:val="24"/>
        </w:rPr>
      </w:pPr>
      <w:r w:rsidRPr="00BA54E9">
        <w:rPr>
          <w:szCs w:val="24"/>
        </w:rPr>
        <w:t>PDR Field Review Reliability was completed with eight QARs</w:t>
      </w:r>
    </w:p>
    <w:p w14:paraId="06982C0D" w14:textId="67933F08" w:rsidR="00BA54E9" w:rsidRPr="00BA54E9" w:rsidRDefault="00BA54E9" w:rsidP="00BA54E9">
      <w:pPr>
        <w:pStyle w:val="ListParagraph"/>
        <w:numPr>
          <w:ilvl w:val="0"/>
          <w:numId w:val="29"/>
        </w:numPr>
        <w:rPr>
          <w:szCs w:val="24"/>
        </w:rPr>
      </w:pPr>
      <w:r w:rsidRPr="00BA54E9">
        <w:rPr>
          <w:szCs w:val="24"/>
        </w:rPr>
        <w:t xml:space="preserve">PDR Staff Interview Field Review Reliability was completed with </w:t>
      </w:r>
      <w:r>
        <w:rPr>
          <w:szCs w:val="24"/>
        </w:rPr>
        <w:t>eight</w:t>
      </w:r>
      <w:r w:rsidRPr="00BA54E9">
        <w:rPr>
          <w:szCs w:val="24"/>
        </w:rPr>
        <w:t xml:space="preserve"> QARs</w:t>
      </w:r>
    </w:p>
    <w:p w14:paraId="16DE9371" w14:textId="2F97876A" w:rsidR="00BA54E9" w:rsidRPr="00BA54E9" w:rsidRDefault="00BA54E9" w:rsidP="00BA54E9">
      <w:pPr>
        <w:pStyle w:val="ListParagraph"/>
        <w:numPr>
          <w:ilvl w:val="0"/>
          <w:numId w:val="29"/>
        </w:numPr>
        <w:rPr>
          <w:szCs w:val="24"/>
        </w:rPr>
      </w:pPr>
      <w:r w:rsidRPr="00BA54E9">
        <w:rPr>
          <w:szCs w:val="24"/>
        </w:rPr>
        <w:t>Respite File Review Reliability was completed with 28 QARs</w:t>
      </w:r>
    </w:p>
    <w:p w14:paraId="305A7BE2" w14:textId="77777777" w:rsidR="003147EE" w:rsidRPr="00BA54E9" w:rsidRDefault="003147EE" w:rsidP="00795292"/>
    <w:p w14:paraId="058D26D4" w14:textId="1206D64D" w:rsidR="00675370" w:rsidRPr="005B5A5B" w:rsidRDefault="00A91FE4" w:rsidP="001B6245">
      <w:pPr>
        <w:pStyle w:val="Heading3"/>
      </w:pPr>
      <w:bookmarkStart w:id="19" w:name="_Toc459080624"/>
      <w:r>
        <w:t xml:space="preserve">Internal </w:t>
      </w:r>
      <w:r w:rsidR="00675370" w:rsidRPr="005B5A5B">
        <w:t>Training</w:t>
      </w:r>
      <w:bookmarkEnd w:id="18"/>
      <w:bookmarkEnd w:id="19"/>
    </w:p>
    <w:p w14:paraId="0B228B6F" w14:textId="3E5CDDE9" w:rsidR="005F373D" w:rsidRPr="00951685" w:rsidRDefault="00675370" w:rsidP="005F373D">
      <w:pPr>
        <w:rPr>
          <w:rFonts w:eastAsia="Calibri" w:cs="Times New Roman"/>
          <w:szCs w:val="24"/>
        </w:rPr>
      </w:pPr>
      <w:r w:rsidRPr="00951685">
        <w:t xml:space="preserve">Informal training is </w:t>
      </w:r>
      <w:r w:rsidR="005A17C8" w:rsidRPr="00951685">
        <w:t xml:space="preserve">often </w:t>
      </w:r>
      <w:r w:rsidRPr="00951685">
        <w:t xml:space="preserve">provided during bi-weekly conference calls with all staff.  Topics for training are generated from review activities, </w:t>
      </w:r>
      <w:r w:rsidRPr="00951685">
        <w:lastRenderedPageBreak/>
        <w:t xml:space="preserve">AHCA and APD clarifications, and reliability activities.  </w:t>
      </w:r>
      <w:r w:rsidR="0011558A" w:rsidRPr="00951685">
        <w:t>Corporate training</w:t>
      </w:r>
      <w:r w:rsidRPr="00951685">
        <w:t xml:space="preserve"> </w:t>
      </w:r>
      <w:r w:rsidR="00EE116F">
        <w:t>may</w:t>
      </w:r>
      <w:r w:rsidR="0011558A" w:rsidRPr="00951685">
        <w:t xml:space="preserve"> also </w:t>
      </w:r>
      <w:r w:rsidR="00EE116F">
        <w:t xml:space="preserve">be </w:t>
      </w:r>
      <w:r w:rsidR="0011558A" w:rsidRPr="00951685">
        <w:t>made available during these meetings on</w:t>
      </w:r>
      <w:r w:rsidR="001B6245">
        <w:t xml:space="preserve"> various</w:t>
      </w:r>
      <w:r w:rsidR="0011558A" w:rsidRPr="00951685">
        <w:t xml:space="preserve"> topics.</w:t>
      </w:r>
      <w:r w:rsidRPr="00951685">
        <w:t xml:space="preserve"> </w:t>
      </w:r>
      <w:r w:rsidR="00A91FE4" w:rsidRPr="00951685">
        <w:t xml:space="preserve"> </w:t>
      </w:r>
      <w:r w:rsidR="005F373D" w:rsidRPr="00951685">
        <w:rPr>
          <w:rFonts w:eastAsia="Calibri" w:cs="Times New Roman"/>
          <w:szCs w:val="24"/>
        </w:rPr>
        <w:t xml:space="preserve"> </w:t>
      </w:r>
    </w:p>
    <w:p w14:paraId="32705D4C" w14:textId="76A19DB3" w:rsidR="00951685" w:rsidRDefault="001B6245" w:rsidP="005F373D">
      <w:r>
        <w:t xml:space="preserve">During the second quarter, in addition to regular updates </w:t>
      </w:r>
      <w:r w:rsidR="005B4A70" w:rsidRPr="005B4A70">
        <w:t>Jacqueline Ledbetter</w:t>
      </w:r>
      <w:r w:rsidR="005B4A70">
        <w:rPr>
          <w:color w:val="1F497D"/>
        </w:rPr>
        <w:t xml:space="preserve"> </w:t>
      </w:r>
      <w:r w:rsidR="005B4A70">
        <w:t>from APD joined the call to discuss requirements and acceptable documentation providers need to be in compliance with background screening</w:t>
      </w:r>
      <w:r>
        <w:t xml:space="preserve"> </w:t>
      </w:r>
    </w:p>
    <w:p w14:paraId="0BBA0AF1" w14:textId="77777777" w:rsidR="001B6245" w:rsidRDefault="001B6245" w:rsidP="005F373D">
      <w:pPr>
        <w:rPr>
          <w:rFonts w:eastAsia="Calibri" w:cs="Times New Roman"/>
          <w:szCs w:val="24"/>
          <w:highlight w:val="yellow"/>
        </w:rPr>
      </w:pPr>
    </w:p>
    <w:p w14:paraId="2B57F289" w14:textId="1BFF0D6C" w:rsidR="00A91FE4" w:rsidRPr="008C44F4" w:rsidRDefault="00A91FE4" w:rsidP="00951685">
      <w:pPr>
        <w:pStyle w:val="Heading2"/>
      </w:pPr>
      <w:bookmarkStart w:id="20" w:name="_Toc459080625"/>
      <w:r w:rsidRPr="008C44F4">
        <w:t>Training Provided</w:t>
      </w:r>
      <w:bookmarkEnd w:id="20"/>
      <w:r w:rsidRPr="008C44F4">
        <w:t xml:space="preserve"> </w:t>
      </w:r>
    </w:p>
    <w:p w14:paraId="561CB8BA" w14:textId="556D91EA" w:rsidR="00810122" w:rsidRPr="002A00FE" w:rsidRDefault="00810122" w:rsidP="00810122">
      <w:r w:rsidRPr="002A00FE">
        <w:t xml:space="preserve">Kristin Allen and </w:t>
      </w:r>
      <w:r>
        <w:t>Robyn Tourlakis,</w:t>
      </w:r>
      <w:r w:rsidRPr="002A00FE">
        <w:t xml:space="preserve"> Delmarva Regional Managers, conducted a free training at the FARF </w:t>
      </w:r>
      <w:r>
        <w:t>Annual Conference on April 20, 2016, in Tampa</w:t>
      </w:r>
      <w:r w:rsidRPr="002A00FE">
        <w:t xml:space="preserve">, Florida.  This training </w:t>
      </w:r>
      <w:r w:rsidR="00657207">
        <w:t>included a review of</w:t>
      </w:r>
      <w:r w:rsidRPr="002A00FE">
        <w:t xml:space="preserve"> the revisions to the Discovery tools for the PCR and PDR processes and was attended by 50-60 people. </w:t>
      </w:r>
    </w:p>
    <w:p w14:paraId="26E78B1E" w14:textId="77777777" w:rsidR="00810122" w:rsidRPr="002A00FE" w:rsidRDefault="00810122" w:rsidP="00810122"/>
    <w:p w14:paraId="1BD0C5AF" w14:textId="3F499427" w:rsidR="00810122" w:rsidRPr="002A00FE" w:rsidRDefault="00810122" w:rsidP="00810122">
      <w:pPr>
        <w:rPr>
          <w:rFonts w:cs="Times New Roman"/>
          <w:szCs w:val="24"/>
        </w:rPr>
      </w:pPr>
      <w:r w:rsidRPr="002A00FE">
        <w:rPr>
          <w:szCs w:val="24"/>
        </w:rPr>
        <w:t xml:space="preserve">Delmarva had an exhibit booth at the </w:t>
      </w:r>
      <w:r>
        <w:rPr>
          <w:szCs w:val="24"/>
        </w:rPr>
        <w:t xml:space="preserve">Family Café on June 10 and 11 in Orlando, Florida.  Robyn Tourlakis, </w:t>
      </w:r>
      <w:r w:rsidRPr="002A00FE">
        <w:rPr>
          <w:szCs w:val="24"/>
        </w:rPr>
        <w:t>Charmaine Pillay</w:t>
      </w:r>
      <w:r>
        <w:rPr>
          <w:szCs w:val="24"/>
        </w:rPr>
        <w:t>, Christie Gentry, Cheryl King, Theresa Skidmore, and Kristin Allen</w:t>
      </w:r>
      <w:r w:rsidRPr="002A00FE">
        <w:rPr>
          <w:szCs w:val="24"/>
        </w:rPr>
        <w:t xml:space="preserve"> of Delmarva attended the event and disseminated materials to parents, individuals receiving services, providers, and other attending stakeholders.  The materials included information on health, rights, interviewing service providers, and community activities.</w:t>
      </w:r>
    </w:p>
    <w:p w14:paraId="333C7E80" w14:textId="77777777" w:rsidR="00810122" w:rsidRDefault="00810122" w:rsidP="00810122">
      <w:pPr>
        <w:rPr>
          <w:rFonts w:eastAsia="Calibri" w:cs="Calibri"/>
          <w:b/>
          <w:bCs/>
          <w:color w:val="4E81BC"/>
          <w:szCs w:val="24"/>
        </w:rPr>
      </w:pPr>
    </w:p>
    <w:p w14:paraId="32CDC99F" w14:textId="582F93FF" w:rsidR="00810122" w:rsidRDefault="00810122" w:rsidP="00810122">
      <w:pPr>
        <w:rPr>
          <w:rFonts w:cs="Arial"/>
          <w:iCs/>
          <w:szCs w:val="24"/>
        </w:rPr>
      </w:pPr>
      <w:r>
        <w:rPr>
          <w:rFonts w:cs="Arial"/>
          <w:iCs/>
          <w:szCs w:val="24"/>
        </w:rPr>
        <w:t xml:space="preserve">Robyn Tourlakis presented a free session to the Suncoast 8 Chapter of Family Care Council on June 21, 2016. The session included an </w:t>
      </w:r>
      <w:r w:rsidRPr="002A00FE">
        <w:rPr>
          <w:rFonts w:cs="Arial"/>
          <w:szCs w:val="24"/>
        </w:rPr>
        <w:t>overview of the Person Centered Review and Provider Discovery Review processes. Delmarva staff answered questions related to the processes of Delmarva Foundation, as well as upcoming updates.</w:t>
      </w:r>
    </w:p>
    <w:p w14:paraId="1BBC996D" w14:textId="77777777" w:rsidR="00810122" w:rsidRPr="002A00FE" w:rsidRDefault="00810122" w:rsidP="00810122">
      <w:pPr>
        <w:rPr>
          <w:rFonts w:cs="Arial"/>
          <w:iCs/>
          <w:szCs w:val="24"/>
        </w:rPr>
      </w:pPr>
    </w:p>
    <w:p w14:paraId="2D56BB12" w14:textId="77777777" w:rsidR="00810122" w:rsidRDefault="00810122" w:rsidP="00810122">
      <w:pPr>
        <w:rPr>
          <w:rFonts w:cs="Arial"/>
          <w:iCs/>
          <w:szCs w:val="24"/>
        </w:rPr>
      </w:pPr>
      <w:r w:rsidRPr="002A00FE">
        <w:rPr>
          <w:rFonts w:cs="Arial"/>
          <w:iCs/>
          <w:szCs w:val="24"/>
        </w:rPr>
        <w:t xml:space="preserve">Trainings through CourseAvenue continue to be available to all stakeholders. These topics include: </w:t>
      </w:r>
    </w:p>
    <w:p w14:paraId="23BD8F8A" w14:textId="77777777" w:rsidR="00810122" w:rsidRPr="002A00FE" w:rsidRDefault="00810122" w:rsidP="00810122">
      <w:pPr>
        <w:rPr>
          <w:rFonts w:cs="Arial"/>
          <w:iCs/>
          <w:szCs w:val="24"/>
        </w:rPr>
      </w:pPr>
    </w:p>
    <w:p w14:paraId="73537E86" w14:textId="77777777" w:rsidR="00810122" w:rsidRPr="002A00FE" w:rsidRDefault="00810122" w:rsidP="00810122">
      <w:pPr>
        <w:pStyle w:val="ListParagraph"/>
        <w:numPr>
          <w:ilvl w:val="0"/>
          <w:numId w:val="39"/>
        </w:numPr>
      </w:pPr>
      <w:r w:rsidRPr="002A00FE">
        <w:t>Desk Review</w:t>
      </w:r>
    </w:p>
    <w:p w14:paraId="6529C47A" w14:textId="77777777" w:rsidR="00810122" w:rsidRPr="002A00FE" w:rsidRDefault="00810122" w:rsidP="00810122">
      <w:pPr>
        <w:pStyle w:val="ListParagraph"/>
        <w:numPr>
          <w:ilvl w:val="0"/>
          <w:numId w:val="39"/>
        </w:numPr>
      </w:pPr>
      <w:r w:rsidRPr="002A00FE">
        <w:t>Empowering Families</w:t>
      </w:r>
    </w:p>
    <w:p w14:paraId="0E636872" w14:textId="77777777" w:rsidR="00810122" w:rsidRPr="002A00FE" w:rsidRDefault="00810122" w:rsidP="00810122">
      <w:pPr>
        <w:pStyle w:val="ListParagraph"/>
        <w:numPr>
          <w:ilvl w:val="0"/>
          <w:numId w:val="39"/>
        </w:numPr>
      </w:pPr>
      <w:r w:rsidRPr="002A00FE">
        <w:t>Ethical Issues in Providing Support and Services</w:t>
      </w:r>
    </w:p>
    <w:p w14:paraId="16AA9504" w14:textId="77777777" w:rsidR="00810122" w:rsidRPr="002A00FE" w:rsidRDefault="00810122" w:rsidP="00810122">
      <w:pPr>
        <w:pStyle w:val="ListParagraph"/>
        <w:numPr>
          <w:ilvl w:val="0"/>
          <w:numId w:val="39"/>
        </w:numPr>
      </w:pPr>
      <w:r w:rsidRPr="002A00FE">
        <w:t>Introduction to Implementation Planning</w:t>
      </w:r>
    </w:p>
    <w:p w14:paraId="29236564" w14:textId="77777777" w:rsidR="00810122" w:rsidRPr="002A00FE" w:rsidRDefault="00810122" w:rsidP="00810122">
      <w:pPr>
        <w:pStyle w:val="ListParagraph"/>
        <w:numPr>
          <w:ilvl w:val="0"/>
          <w:numId w:val="39"/>
        </w:numPr>
      </w:pPr>
      <w:r w:rsidRPr="002A00FE">
        <w:t>Medication Highway</w:t>
      </w:r>
    </w:p>
    <w:p w14:paraId="4DF563E0" w14:textId="77777777" w:rsidR="00810122" w:rsidRPr="002A00FE" w:rsidRDefault="00810122" w:rsidP="00810122">
      <w:pPr>
        <w:pStyle w:val="ListParagraph"/>
        <w:numPr>
          <w:ilvl w:val="0"/>
          <w:numId w:val="39"/>
        </w:numPr>
      </w:pPr>
      <w:r w:rsidRPr="002A00FE">
        <w:lastRenderedPageBreak/>
        <w:t>Medication Review</w:t>
      </w:r>
    </w:p>
    <w:p w14:paraId="5A056B34" w14:textId="77777777" w:rsidR="00810122" w:rsidRPr="002A00FE" w:rsidRDefault="00810122" w:rsidP="00810122">
      <w:pPr>
        <w:pStyle w:val="ListParagraph"/>
        <w:numPr>
          <w:ilvl w:val="0"/>
          <w:numId w:val="39"/>
        </w:numPr>
      </w:pPr>
      <w:r w:rsidRPr="002A00FE">
        <w:t>Preventive Health Screening</w:t>
      </w:r>
    </w:p>
    <w:p w14:paraId="1CEE9A23" w14:textId="77777777" w:rsidR="00810122" w:rsidRPr="002A00FE" w:rsidRDefault="00810122" w:rsidP="00810122">
      <w:pPr>
        <w:pStyle w:val="ListParagraph"/>
        <w:numPr>
          <w:ilvl w:val="0"/>
          <w:numId w:val="39"/>
        </w:numPr>
      </w:pPr>
      <w:r w:rsidRPr="002A00FE">
        <w:t>Protecting Individual Rights</w:t>
      </w:r>
    </w:p>
    <w:p w14:paraId="089BE7F1" w14:textId="77777777" w:rsidR="00810122" w:rsidRPr="002A00FE" w:rsidRDefault="00810122" w:rsidP="00810122">
      <w:pPr>
        <w:pStyle w:val="ListParagraph"/>
        <w:numPr>
          <w:ilvl w:val="0"/>
          <w:numId w:val="39"/>
        </w:numPr>
      </w:pPr>
      <w:r w:rsidRPr="002A00FE">
        <w:t>Quality Enhancement Planning</w:t>
      </w:r>
    </w:p>
    <w:p w14:paraId="2B7CC18B" w14:textId="77777777" w:rsidR="00810122" w:rsidRPr="00810122" w:rsidRDefault="00810122" w:rsidP="00810122">
      <w:pPr>
        <w:pStyle w:val="ListParagraph"/>
        <w:numPr>
          <w:ilvl w:val="0"/>
          <w:numId w:val="39"/>
        </w:numPr>
      </w:pPr>
      <w:r w:rsidRPr="00810122">
        <w:t>Recognizing and Reporting Abuse</w:t>
      </w:r>
    </w:p>
    <w:p w14:paraId="50C9A2B2" w14:textId="6C19AD49" w:rsidR="00810122" w:rsidRPr="00810122" w:rsidRDefault="00810122" w:rsidP="00810122">
      <w:pPr>
        <w:pStyle w:val="ListParagraph"/>
        <w:numPr>
          <w:ilvl w:val="0"/>
          <w:numId w:val="39"/>
        </w:numPr>
      </w:pPr>
      <w:r w:rsidRPr="00810122">
        <w:rPr>
          <w:rStyle w:val="Strong"/>
          <w:rFonts w:eastAsiaTheme="majorEastAsia" w:cs="Arial"/>
          <w:b w:val="0"/>
        </w:rPr>
        <w:t>Rights Education Handout (English and Spanish).</w:t>
      </w:r>
    </w:p>
    <w:p w14:paraId="15F7818A" w14:textId="77777777" w:rsidR="00810122" w:rsidRPr="0011558A" w:rsidRDefault="00810122" w:rsidP="00D258FF"/>
    <w:p w14:paraId="28A6B5B4" w14:textId="1DBCF4E7" w:rsidR="00675370" w:rsidRPr="00A40784" w:rsidRDefault="00C53123" w:rsidP="00675370">
      <w:pPr>
        <w:pStyle w:val="Heading2"/>
        <w:spacing w:before="0"/>
      </w:pPr>
      <w:bookmarkStart w:id="21" w:name="_Toc369864663"/>
      <w:bookmarkStart w:id="22" w:name="_Toc459080626"/>
      <w:r>
        <w:t>Regional</w:t>
      </w:r>
      <w:r w:rsidR="00675370" w:rsidRPr="00A40784">
        <w:t xml:space="preserve"> Quarterly Meetings</w:t>
      </w:r>
      <w:bookmarkEnd w:id="21"/>
      <w:bookmarkEnd w:id="22"/>
    </w:p>
    <w:p w14:paraId="1E958E8A" w14:textId="446DFA27" w:rsidR="00675370" w:rsidRDefault="00C1142A" w:rsidP="001E38F6">
      <w:r w:rsidRPr="00F666AA">
        <w:t>Delmarva facilitates meetings in each APD Region with the Delmarva Regional Manager(s) responsible for</w:t>
      </w:r>
      <w:r w:rsidRPr="00AD34BE">
        <w:t xml:space="preserve"> the</w:t>
      </w:r>
      <w:r>
        <w:t xml:space="preserve"> review activities and staff in the Region</w:t>
      </w:r>
      <w:r w:rsidRPr="00AD34BE">
        <w:t xml:space="preserve"> and other APD </w:t>
      </w:r>
      <w:r>
        <w:t>Regional</w:t>
      </w:r>
      <w:r w:rsidRPr="00AD34BE">
        <w:t xml:space="preserve"> personnel, including the </w:t>
      </w:r>
      <w:r>
        <w:t xml:space="preserve">Regional </w:t>
      </w:r>
      <w:r w:rsidRPr="00AD34BE">
        <w:t xml:space="preserve">Administrator as possible. The purpose of the meetings is to discuss and interpret data from the Delmarva reviews to guide APD toward appropriate remediation activities, and to update all entities on current activities </w:t>
      </w:r>
      <w:r w:rsidRPr="00CC2ADD">
        <w:t xml:space="preserve">in the Region. Representatives from AHCA and APD State office </w:t>
      </w:r>
      <w:r w:rsidR="00FD12BA">
        <w:t xml:space="preserve">may </w:t>
      </w:r>
      <w:r w:rsidRPr="00CC2ADD">
        <w:t xml:space="preserve">attend the meetings via phone in each </w:t>
      </w:r>
      <w:r w:rsidRPr="00BA54E9">
        <w:t xml:space="preserve">Region. Face to face meetings were held in </w:t>
      </w:r>
      <w:r w:rsidR="00961272" w:rsidRPr="00BA54E9">
        <w:t>all</w:t>
      </w:r>
      <w:r w:rsidRPr="00BA54E9">
        <w:t xml:space="preserve"> APD Region</w:t>
      </w:r>
      <w:r w:rsidR="00D80DB7" w:rsidRPr="00BA54E9">
        <w:t>s</w:t>
      </w:r>
      <w:r w:rsidRPr="00BA54E9">
        <w:t xml:space="preserve"> </w:t>
      </w:r>
      <w:r w:rsidR="00FD12BA" w:rsidRPr="00BA54E9">
        <w:t>this quarter</w:t>
      </w:r>
      <w:r w:rsidRPr="00BA54E9">
        <w:t>.</w:t>
      </w:r>
      <w:r w:rsidR="00675370" w:rsidRPr="00BA54E9">
        <w:rPr>
          <w:rStyle w:val="FootnoteReference"/>
        </w:rPr>
        <w:footnoteReference w:id="1"/>
      </w:r>
      <w:r w:rsidR="00675370" w:rsidRPr="00A40784">
        <w:t xml:space="preserve">  </w:t>
      </w:r>
    </w:p>
    <w:p w14:paraId="7AA92AD2" w14:textId="77777777" w:rsidR="001E38F6" w:rsidRDefault="001E38F6" w:rsidP="001E38F6"/>
    <w:p w14:paraId="6DB8355F" w14:textId="781A944E" w:rsidR="00492002" w:rsidRPr="00356C4F" w:rsidRDefault="00492002" w:rsidP="001E38F6">
      <w:pPr>
        <w:pStyle w:val="Heading2"/>
        <w:spacing w:before="0"/>
      </w:pPr>
      <w:bookmarkStart w:id="23" w:name="_Toc369864670"/>
      <w:bookmarkStart w:id="24" w:name="_Toc459080627"/>
      <w:r w:rsidRPr="00356C4F">
        <w:t>Quality Council</w:t>
      </w:r>
      <w:bookmarkEnd w:id="23"/>
      <w:r w:rsidR="009E3B4E">
        <w:t xml:space="preserve"> (QC)</w:t>
      </w:r>
      <w:bookmarkEnd w:id="24"/>
    </w:p>
    <w:p w14:paraId="5A058976" w14:textId="2EB87391" w:rsidR="00D541CD" w:rsidRDefault="009E3B4E" w:rsidP="00C32092">
      <w:r>
        <w:t xml:space="preserve">There was no QC meeting during the second quarter.  </w:t>
      </w:r>
      <w:r w:rsidR="009F12D0">
        <w:t>The next meeting is scheduled for July 14, 2016, in Orlando.</w:t>
      </w:r>
    </w:p>
    <w:p w14:paraId="0C056E90" w14:textId="77777777" w:rsidR="009F12D0" w:rsidRDefault="009F12D0" w:rsidP="00C32092"/>
    <w:p w14:paraId="549FF87C" w14:textId="2E6E56F7" w:rsidR="00D375A0" w:rsidRDefault="00D375A0" w:rsidP="00D375A0">
      <w:pPr>
        <w:pStyle w:val="Heading2"/>
        <w:spacing w:before="0"/>
        <w:rPr>
          <w:rFonts w:eastAsia="Calibri"/>
        </w:rPr>
      </w:pPr>
      <w:bookmarkStart w:id="25" w:name="_Toc459080628"/>
      <w:r>
        <w:rPr>
          <w:rFonts w:eastAsia="Calibri"/>
        </w:rPr>
        <w:t>Abuse, Neglect, Exploitation (ANE) Verified by Department of Children and Families (DCF)</w:t>
      </w:r>
      <w:bookmarkEnd w:id="25"/>
    </w:p>
    <w:p w14:paraId="1F703D81" w14:textId="01FE3E79" w:rsidR="00D375A0" w:rsidRDefault="00D375A0" w:rsidP="00D375A0">
      <w:r>
        <w:t xml:space="preserve">Verified ANE reports are provided to the Agency for Persons with Disabilities (APD) by DCF. </w:t>
      </w:r>
      <w:r w:rsidR="005376B0">
        <w:t xml:space="preserve">A verified report means an allegation of ANE was reported, formally investigated, </w:t>
      </w:r>
      <w:r w:rsidR="00EE116F">
        <w:t xml:space="preserve">verified, </w:t>
      </w:r>
      <w:r w:rsidR="005376B0">
        <w:t xml:space="preserve">and closed by DCF. </w:t>
      </w:r>
      <w:r>
        <w:t xml:space="preserve">Effective February 2016, </w:t>
      </w:r>
      <w:r w:rsidR="00F40077">
        <w:t>these reports are provided to Delmarva.  A</w:t>
      </w:r>
      <w:r w:rsidR="005376B0">
        <w:t xml:space="preserve">s per APD’s request, </w:t>
      </w:r>
      <w:r>
        <w:t xml:space="preserve">the PDR reports issued by the Delmarva Foundation began including the number of </w:t>
      </w:r>
      <w:r w:rsidR="007A6065">
        <w:t xml:space="preserve">verified </w:t>
      </w:r>
      <w:r>
        <w:t xml:space="preserve">ANE reports </w:t>
      </w:r>
      <w:r w:rsidR="007A6065">
        <w:t>for incidents</w:t>
      </w:r>
      <w:r w:rsidR="00F40077">
        <w:t xml:space="preserve"> </w:t>
      </w:r>
      <w:r w:rsidR="007A6065">
        <w:t xml:space="preserve">that occurred </w:t>
      </w:r>
      <w:r>
        <w:t>over the 12 month</w:t>
      </w:r>
      <w:r w:rsidR="005376B0">
        <w:t>s</w:t>
      </w:r>
      <w:r w:rsidR="007A6065">
        <w:t xml:space="preserve"> </w:t>
      </w:r>
      <w:r w:rsidR="00903012">
        <w:t>previous</w:t>
      </w:r>
      <w:r w:rsidR="00A33CA8">
        <w:t xml:space="preserve"> </w:t>
      </w:r>
      <w:r w:rsidR="007A6065">
        <w:t xml:space="preserve">to </w:t>
      </w:r>
      <w:r w:rsidR="00F40077">
        <w:t xml:space="preserve">the providers’ scheduled PDR. </w:t>
      </w:r>
      <w:r>
        <w:t>The provider</w:t>
      </w:r>
      <w:r w:rsidR="00F40077">
        <w:t>’</w:t>
      </w:r>
      <w:r>
        <w:t xml:space="preserve">s overall PDR score </w:t>
      </w:r>
      <w:r w:rsidR="005376B0">
        <w:t>is</w:t>
      </w:r>
      <w:r>
        <w:t xml:space="preserve"> </w:t>
      </w:r>
      <w:r w:rsidR="005376B0">
        <w:t>reduced by</w:t>
      </w:r>
      <w:r>
        <w:t xml:space="preserve"> 10 percentage points for </w:t>
      </w:r>
      <w:r>
        <w:lastRenderedPageBreak/>
        <w:t xml:space="preserve">one verified report and 15 percentage points for two or more verified reports. If a verified ANE report is received for a </w:t>
      </w:r>
      <w:r w:rsidR="009F12D0">
        <w:t xml:space="preserve">deemed </w:t>
      </w:r>
      <w:r>
        <w:t>provider</w:t>
      </w:r>
      <w:r w:rsidR="009F12D0">
        <w:t>,</w:t>
      </w:r>
      <w:r>
        <w:t xml:space="preserve"> the provider will be added to the PDR schedule. </w:t>
      </w:r>
      <w:r w:rsidR="005376B0">
        <w:t xml:space="preserve"> </w:t>
      </w:r>
    </w:p>
    <w:p w14:paraId="180C89BC" w14:textId="77777777" w:rsidR="00D375A0" w:rsidRDefault="00D375A0" w:rsidP="00D375A0">
      <w:pPr>
        <w:rPr>
          <w:rFonts w:eastAsia="Calibri"/>
        </w:rPr>
      </w:pPr>
    </w:p>
    <w:p w14:paraId="49D30E82" w14:textId="77777777" w:rsidR="00675370" w:rsidRPr="00031D51" w:rsidRDefault="00675370" w:rsidP="00675370">
      <w:pPr>
        <w:pStyle w:val="Heading2"/>
        <w:spacing w:before="0"/>
      </w:pPr>
      <w:bookmarkStart w:id="26" w:name="_Toc369864666"/>
      <w:bookmarkStart w:id="27" w:name="_Toc459080629"/>
      <w:r w:rsidRPr="00031D51">
        <w:t>Feedback Surveys</w:t>
      </w:r>
      <w:bookmarkEnd w:id="26"/>
      <w:bookmarkEnd w:id="27"/>
    </w:p>
    <w:p w14:paraId="40E06958" w14:textId="77777777" w:rsidR="00675370" w:rsidRPr="004E2EF7" w:rsidRDefault="00675370" w:rsidP="001B6245">
      <w:pPr>
        <w:pStyle w:val="Heading3"/>
      </w:pPr>
      <w:bookmarkStart w:id="28" w:name="_Toc369864667"/>
      <w:bookmarkStart w:id="29" w:name="_Toc459080630"/>
      <w:r w:rsidRPr="004E2EF7">
        <w:t>National Core Indicator (NCI) Consumer Survey Feedback Survey</w:t>
      </w:r>
      <w:bookmarkEnd w:id="28"/>
      <w:bookmarkEnd w:id="29"/>
    </w:p>
    <w:p w14:paraId="6DBDC117" w14:textId="72A199D5" w:rsidR="00614F1C" w:rsidRPr="004E2EF7" w:rsidRDefault="00614F1C" w:rsidP="00614F1C">
      <w:bookmarkStart w:id="30" w:name="_Toc369864668"/>
      <w:r w:rsidRPr="004E2EF7">
        <w:t xml:space="preserve">After each individual NCI interview, Delmarva provides the individual with a feedback survey.  The individual is encouraged to complete the feedback survey, which is mailed directly to Human Services Research Institute (HSRI).  During the </w:t>
      </w:r>
      <w:r w:rsidR="00925D8B">
        <w:t>first two quarters of contract year</w:t>
      </w:r>
      <w:r w:rsidRPr="004E2EF7">
        <w:t xml:space="preserve">, </w:t>
      </w:r>
      <w:r w:rsidR="00925D8B">
        <w:t>January – June 2016, 94</w:t>
      </w:r>
      <w:r w:rsidRPr="004E2EF7">
        <w:t xml:space="preserve"> surveys were returned to HSRI, </w:t>
      </w:r>
      <w:r w:rsidR="008040D4">
        <w:t xml:space="preserve">a </w:t>
      </w:r>
      <w:r w:rsidR="008040D4" w:rsidRPr="008040D4">
        <w:t>12</w:t>
      </w:r>
      <w:r w:rsidRPr="008040D4">
        <w:t xml:space="preserve"> percent return rate (94/</w:t>
      </w:r>
      <w:r w:rsidR="008040D4" w:rsidRPr="008040D4">
        <w:t>782</w:t>
      </w:r>
      <w:r w:rsidRPr="008040D4">
        <w:t>).</w:t>
      </w:r>
      <w:r w:rsidR="00BA54E9">
        <w:rPr>
          <w:rStyle w:val="FootnoteReference"/>
        </w:rPr>
        <w:footnoteReference w:id="2"/>
      </w:r>
      <w:r w:rsidRPr="008040D4">
        <w:t xml:space="preserve">  Although</w:t>
      </w:r>
      <w:r w:rsidRPr="004E2EF7">
        <w:t xml:space="preserve"> results are generally based on a small return rate, they have remained positive and consistent over the years.  Current feedback indicates the following:</w:t>
      </w:r>
    </w:p>
    <w:p w14:paraId="23A5781B" w14:textId="77777777" w:rsidR="00614F1C" w:rsidRPr="00951685" w:rsidRDefault="00614F1C" w:rsidP="00614F1C">
      <w:pPr>
        <w:rPr>
          <w:highlight w:val="yellow"/>
        </w:rPr>
      </w:pPr>
    </w:p>
    <w:p w14:paraId="1DFD7B1A" w14:textId="3D37D3CA" w:rsidR="00614F1C" w:rsidRPr="004E2EF7" w:rsidRDefault="008040D4" w:rsidP="00614F1C">
      <w:pPr>
        <w:numPr>
          <w:ilvl w:val="0"/>
          <w:numId w:val="2"/>
        </w:numPr>
      </w:pPr>
      <w:r>
        <w:t>80.9</w:t>
      </w:r>
      <w:r w:rsidR="00614F1C" w:rsidRPr="004E2EF7">
        <w:t xml:space="preserve"> percent of respondents indicated the individual had participated in answering the </w:t>
      </w:r>
      <w:r w:rsidR="00614F1C">
        <w:t xml:space="preserve">Adult </w:t>
      </w:r>
      <w:r w:rsidR="00614F1C" w:rsidRPr="004E2EF7">
        <w:t>Consumer Survey.</w:t>
      </w:r>
    </w:p>
    <w:p w14:paraId="20685F60" w14:textId="016EC36F" w:rsidR="00614F1C" w:rsidRPr="007D5A02" w:rsidRDefault="008040D4" w:rsidP="00614F1C">
      <w:pPr>
        <w:numPr>
          <w:ilvl w:val="0"/>
          <w:numId w:val="2"/>
        </w:numPr>
      </w:pPr>
      <w:r>
        <w:t>69.1</w:t>
      </w:r>
      <w:r w:rsidR="00614F1C" w:rsidRPr="004E2EF7">
        <w:t xml:space="preserve"> percent of respondents (N=119) indicated an advocate, relative or guardian participated </w:t>
      </w:r>
      <w:r w:rsidR="00614F1C" w:rsidRPr="007D5A02">
        <w:t>in the Consumer Survey.</w:t>
      </w:r>
    </w:p>
    <w:p w14:paraId="5F1FB1ED" w14:textId="4BE8ACA9" w:rsidR="00614F1C" w:rsidRPr="007D5A02" w:rsidRDefault="00614F1C" w:rsidP="00614F1C">
      <w:pPr>
        <w:numPr>
          <w:ilvl w:val="0"/>
          <w:numId w:val="2"/>
        </w:numPr>
      </w:pPr>
      <w:r w:rsidRPr="007D5A02">
        <w:t xml:space="preserve">Only </w:t>
      </w:r>
      <w:r w:rsidR="008040D4">
        <w:t>25</w:t>
      </w:r>
      <w:r w:rsidRPr="007D5A02">
        <w:t xml:space="preserve"> feedback forms (</w:t>
      </w:r>
      <w:r w:rsidR="008040D4">
        <w:t>26.6</w:t>
      </w:r>
      <w:r w:rsidRPr="007D5A02">
        <w:t xml:space="preserve">%) were completed by the person receiving services, with </w:t>
      </w:r>
      <w:r w:rsidR="008040D4">
        <w:t>67.0</w:t>
      </w:r>
      <w:r w:rsidRPr="007D5A02">
        <w:t xml:space="preserve"> percent completed by an advocate, relative or guardian, and </w:t>
      </w:r>
      <w:r w:rsidR="008040D4">
        <w:t>19.2</w:t>
      </w:r>
      <w:r w:rsidRPr="007D5A02">
        <w:t xml:space="preserve"> percent by a staff member where the person lives or receives services. </w:t>
      </w:r>
    </w:p>
    <w:p w14:paraId="5DF9B8F2" w14:textId="11AF4DF3" w:rsidR="00614F1C" w:rsidRPr="007D5A02" w:rsidRDefault="008040D4" w:rsidP="00614F1C">
      <w:pPr>
        <w:numPr>
          <w:ilvl w:val="0"/>
          <w:numId w:val="2"/>
        </w:numPr>
      </w:pPr>
      <w:r w:rsidRPr="00BA54E9">
        <w:t>63</w:t>
      </w:r>
      <w:r w:rsidR="00614F1C" w:rsidRPr="00BA54E9">
        <w:t xml:space="preserve"> (</w:t>
      </w:r>
      <w:r w:rsidRPr="00BA54E9">
        <w:t>67.</w:t>
      </w:r>
      <w:r w:rsidR="00BA54E9" w:rsidRPr="00BA54E9">
        <w:t>7</w:t>
      </w:r>
      <w:r w:rsidR="00614F1C" w:rsidRPr="00BA54E9">
        <w:t>%</w:t>
      </w:r>
      <w:r w:rsidR="00BA54E9">
        <w:t>, N=93</w:t>
      </w:r>
      <w:r w:rsidR="00614F1C" w:rsidRPr="00BA54E9">
        <w:t>) respondents indicated</w:t>
      </w:r>
      <w:r w:rsidR="00614F1C" w:rsidRPr="007D5A02">
        <w:t xml:space="preserve"> the NCI interviews took place in the home.   </w:t>
      </w:r>
    </w:p>
    <w:p w14:paraId="503912AD" w14:textId="73D55C41" w:rsidR="00614F1C" w:rsidRPr="007D5A02" w:rsidRDefault="00835C7E" w:rsidP="00614F1C">
      <w:pPr>
        <w:numPr>
          <w:ilvl w:val="0"/>
          <w:numId w:val="2"/>
        </w:numPr>
      </w:pPr>
      <w:r>
        <w:t>72</w:t>
      </w:r>
      <w:r w:rsidR="00614F1C" w:rsidRPr="007D5A02">
        <w:t xml:space="preserve"> respondents </w:t>
      </w:r>
      <w:r>
        <w:t>(77.4%</w:t>
      </w:r>
      <w:r w:rsidR="00BA54E9">
        <w:t>, N=93)</w:t>
      </w:r>
      <w:r w:rsidR="00614F1C" w:rsidRPr="007D5A02">
        <w:t xml:space="preserve"> indicated the individual chose where to meet for the survey interview.  However, </w:t>
      </w:r>
      <w:r>
        <w:t>16 respondents</w:t>
      </w:r>
      <w:r w:rsidR="00614F1C" w:rsidRPr="007D5A02">
        <w:t xml:space="preserve"> </w:t>
      </w:r>
      <w:r>
        <w:t>(17.2%)</w:t>
      </w:r>
      <w:r w:rsidR="00614F1C" w:rsidRPr="007D5A02">
        <w:t xml:space="preserve"> indicated they did not choose where to meet for the survey.  </w:t>
      </w:r>
    </w:p>
    <w:p w14:paraId="388E4CDE" w14:textId="704FD091" w:rsidR="00614F1C" w:rsidRPr="00514865" w:rsidRDefault="00835C7E" w:rsidP="00614F1C">
      <w:pPr>
        <w:numPr>
          <w:ilvl w:val="0"/>
          <w:numId w:val="2"/>
        </w:numPr>
      </w:pPr>
      <w:r>
        <w:t>All but one respondent</w:t>
      </w:r>
      <w:r w:rsidR="00614F1C" w:rsidRPr="00514865">
        <w:t xml:space="preserve"> (9</w:t>
      </w:r>
      <w:r>
        <w:t>8</w:t>
      </w:r>
      <w:r w:rsidR="00614F1C" w:rsidRPr="00514865">
        <w:t>.9%</w:t>
      </w:r>
      <w:r w:rsidR="00BA54E9">
        <w:t>, N=93</w:t>
      </w:r>
      <w:r w:rsidR="00614F1C" w:rsidRPr="00514865">
        <w:t>) felt the interview was scheduled at a convenient time, and most (90.</w:t>
      </w:r>
      <w:r>
        <w:t>2</w:t>
      </w:r>
      <w:r w:rsidR="00614F1C" w:rsidRPr="00514865">
        <w:t>%</w:t>
      </w:r>
      <w:r w:rsidR="00BA54E9">
        <w:t>, N=92</w:t>
      </w:r>
      <w:r w:rsidR="00614F1C" w:rsidRPr="00514865">
        <w:t>) respondents felt it took about the right amount of time.</w:t>
      </w:r>
    </w:p>
    <w:p w14:paraId="4627A834" w14:textId="0852ECB7" w:rsidR="00614F1C" w:rsidRPr="00514865" w:rsidRDefault="00614F1C" w:rsidP="00614F1C">
      <w:pPr>
        <w:numPr>
          <w:ilvl w:val="0"/>
          <w:numId w:val="2"/>
        </w:numPr>
      </w:pPr>
      <w:r w:rsidRPr="00514865">
        <w:lastRenderedPageBreak/>
        <w:t>Most respondents (</w:t>
      </w:r>
      <w:r w:rsidR="00835C7E">
        <w:t>89.2</w:t>
      </w:r>
      <w:r>
        <w:t>%</w:t>
      </w:r>
      <w:r w:rsidR="00BA54E9">
        <w:t>, N=93</w:t>
      </w:r>
      <w:r w:rsidRPr="00514865">
        <w:t xml:space="preserve">) thought the questions were not difficult to answer and </w:t>
      </w:r>
      <w:r w:rsidR="00835C7E">
        <w:t>90.3</w:t>
      </w:r>
      <w:r w:rsidRPr="00514865">
        <w:t xml:space="preserve"> percent </w:t>
      </w:r>
      <w:r w:rsidR="00BA54E9">
        <w:t xml:space="preserve">(N=93) </w:t>
      </w:r>
      <w:r w:rsidRPr="00514865">
        <w:t>indicated the interviewer explained the person did not have to answer the questions.</w:t>
      </w:r>
    </w:p>
    <w:p w14:paraId="7A6CBEA2" w14:textId="6680B4B6" w:rsidR="00614F1C" w:rsidRPr="00514865" w:rsidRDefault="00835C7E" w:rsidP="00614F1C">
      <w:pPr>
        <w:numPr>
          <w:ilvl w:val="0"/>
          <w:numId w:val="2"/>
        </w:numPr>
      </w:pPr>
      <w:r>
        <w:t>All but one</w:t>
      </w:r>
      <w:r w:rsidR="00614F1C" w:rsidRPr="00514865">
        <w:t xml:space="preserve"> respondent (9</w:t>
      </w:r>
      <w:r>
        <w:t>8</w:t>
      </w:r>
      <w:r w:rsidR="00614F1C" w:rsidRPr="00514865">
        <w:t>.9%</w:t>
      </w:r>
      <w:r w:rsidR="00BA54E9">
        <w:t>, N=93</w:t>
      </w:r>
      <w:r w:rsidR="00614F1C" w:rsidRPr="00514865">
        <w:t xml:space="preserve">) felt the interviewer was respectful. </w:t>
      </w:r>
    </w:p>
    <w:p w14:paraId="38DA54B3" w14:textId="7BAD9F7D" w:rsidR="00614F1C" w:rsidRPr="00514865" w:rsidRDefault="00835C7E" w:rsidP="00614F1C">
      <w:pPr>
        <w:numPr>
          <w:ilvl w:val="0"/>
          <w:numId w:val="2"/>
        </w:numPr>
      </w:pPr>
      <w:r>
        <w:t>97.9</w:t>
      </w:r>
      <w:r w:rsidR="00614F1C" w:rsidRPr="00514865">
        <w:t>% of respondents indicated the interviewer explained what the survey was about.</w:t>
      </w:r>
    </w:p>
    <w:p w14:paraId="2AF016A5" w14:textId="77777777" w:rsidR="00614F1C" w:rsidRPr="00951685" w:rsidRDefault="00614F1C" w:rsidP="00614F1C">
      <w:pPr>
        <w:ind w:left="720"/>
        <w:rPr>
          <w:highlight w:val="yellow"/>
        </w:rPr>
      </w:pPr>
    </w:p>
    <w:p w14:paraId="72B843F3" w14:textId="46D6C37A" w:rsidR="00675370" w:rsidRPr="000877C1" w:rsidRDefault="00675370" w:rsidP="001B6245">
      <w:pPr>
        <w:pStyle w:val="Heading3"/>
      </w:pPr>
      <w:bookmarkStart w:id="31" w:name="_Toc459080631"/>
      <w:r w:rsidRPr="000877C1">
        <w:t>Provider Feedback Survey</w:t>
      </w:r>
      <w:bookmarkEnd w:id="30"/>
      <w:bookmarkEnd w:id="31"/>
    </w:p>
    <w:p w14:paraId="2213C740" w14:textId="303BA0AB" w:rsidR="00675370" w:rsidRDefault="00675370" w:rsidP="00675370">
      <w:r w:rsidRPr="000877C1">
        <w:t>After each PDR, providers are given the opportunity to offer feedback to Delmarva about the review process and</w:t>
      </w:r>
      <w:r w:rsidRPr="005A2E3C">
        <w:t xml:space="preserve"> professionalism of the reviewer(s).  Providers are given a survey they can complete and mail/fax to Delmarva, or surveys can be completed online</w:t>
      </w:r>
      <w:r w:rsidR="00AA43CF">
        <w:t xml:space="preserve"> </w:t>
      </w:r>
      <w:r w:rsidRPr="005A2E3C">
        <w:t xml:space="preserve">on the FSQAP website.  </w:t>
      </w:r>
      <w:r w:rsidR="00C41D8C">
        <w:t>B</w:t>
      </w:r>
      <w:r w:rsidR="00C43E1C" w:rsidRPr="005A2E3C">
        <w:t xml:space="preserve">etween January and </w:t>
      </w:r>
      <w:r w:rsidR="00C41D8C">
        <w:t>June</w:t>
      </w:r>
      <w:r w:rsidR="00C43E1C" w:rsidRPr="005A2E3C">
        <w:t xml:space="preserve"> </w:t>
      </w:r>
      <w:r w:rsidR="00CA2876" w:rsidRPr="00C41D8C">
        <w:t>2016</w:t>
      </w:r>
      <w:r w:rsidR="00CA2876" w:rsidRPr="001D6060">
        <w:t xml:space="preserve">, </w:t>
      </w:r>
      <w:r w:rsidR="00C41D8C" w:rsidRPr="001D6060">
        <w:t>65</w:t>
      </w:r>
      <w:r w:rsidR="006130DF" w:rsidRPr="001D6060">
        <w:t xml:space="preserve"> </w:t>
      </w:r>
      <w:r w:rsidRPr="001D6060">
        <w:t>surveys</w:t>
      </w:r>
      <w:r w:rsidRPr="00C41D8C">
        <w:t xml:space="preserve"> were</w:t>
      </w:r>
      <w:r w:rsidRPr="005A2E3C">
        <w:t xml:space="preserve"> received from providers who </w:t>
      </w:r>
      <w:r w:rsidR="009D260B" w:rsidRPr="005A2E3C">
        <w:t xml:space="preserve">had </w:t>
      </w:r>
      <w:r w:rsidRPr="005A2E3C">
        <w:t xml:space="preserve">participated in a PDR. </w:t>
      </w:r>
      <w:r w:rsidR="001D6060">
        <w:t xml:space="preserve"> On average, over 99 percent of responses were positive (504/506). </w:t>
      </w:r>
      <w:r w:rsidR="00CA2876">
        <w:t xml:space="preserve"> </w:t>
      </w:r>
    </w:p>
    <w:p w14:paraId="2D6FE8E2" w14:textId="77777777" w:rsidR="00AA43CF" w:rsidRDefault="00AA43CF" w:rsidP="00675370"/>
    <w:tbl>
      <w:tblPr>
        <w:tblW w:w="9400" w:type="dxa"/>
        <w:jc w:val="center"/>
        <w:tblLook w:val="04A0" w:firstRow="1" w:lastRow="0" w:firstColumn="1" w:lastColumn="0" w:noHBand="0" w:noVBand="1"/>
      </w:tblPr>
      <w:tblGrid>
        <w:gridCol w:w="6340"/>
        <w:gridCol w:w="1020"/>
        <w:gridCol w:w="1020"/>
        <w:gridCol w:w="1020"/>
      </w:tblGrid>
      <w:tr w:rsidR="00B439D2" w:rsidRPr="0029202E" w14:paraId="2FDF3049" w14:textId="77777777" w:rsidTr="007247E6">
        <w:trPr>
          <w:trHeight w:val="349"/>
          <w:tblHeader/>
          <w:jc w:val="center"/>
        </w:trPr>
        <w:tc>
          <w:tcPr>
            <w:tcW w:w="9400" w:type="dxa"/>
            <w:gridSpan w:val="4"/>
            <w:tcBorders>
              <w:top w:val="single" w:sz="8" w:space="0" w:color="auto"/>
              <w:left w:val="single" w:sz="8" w:space="0" w:color="auto"/>
              <w:bottom w:val="single" w:sz="4" w:space="0" w:color="auto"/>
              <w:right w:val="single" w:sz="8" w:space="0" w:color="000000"/>
            </w:tcBorders>
            <w:shd w:val="clear" w:color="000000" w:fill="632523"/>
            <w:noWrap/>
            <w:vAlign w:val="bottom"/>
            <w:hideMark/>
          </w:tcPr>
          <w:p w14:paraId="033553DE" w14:textId="77777777" w:rsidR="00B439D2" w:rsidRPr="000A7BF3" w:rsidRDefault="00B439D2" w:rsidP="007247E6">
            <w:pPr>
              <w:spacing w:line="240" w:lineRule="auto"/>
              <w:jc w:val="center"/>
              <w:rPr>
                <w:rFonts w:ascii="Franklin Gothic Medium" w:eastAsia="Times New Roman" w:hAnsi="Franklin Gothic Medium" w:cs="Times New Roman"/>
                <w:color w:val="FFFFFF"/>
              </w:rPr>
            </w:pPr>
            <w:r w:rsidRPr="000A7BF3">
              <w:rPr>
                <w:rFonts w:ascii="Franklin Gothic Medium" w:eastAsia="Times New Roman" w:hAnsi="Franklin Gothic Medium" w:cs="Times New Roman"/>
                <w:color w:val="FFFFFF"/>
              </w:rPr>
              <w:t>Table 1:  Results from Provider Feedback Surveys</w:t>
            </w:r>
          </w:p>
        </w:tc>
      </w:tr>
      <w:tr w:rsidR="00B439D2" w:rsidRPr="00831966" w14:paraId="23DB6CF7" w14:textId="77777777" w:rsidTr="007247E6">
        <w:trPr>
          <w:trHeight w:val="315"/>
          <w:tblHeader/>
          <w:jc w:val="center"/>
        </w:trPr>
        <w:tc>
          <w:tcPr>
            <w:tcW w:w="9400" w:type="dxa"/>
            <w:gridSpan w:val="4"/>
            <w:tcBorders>
              <w:top w:val="single" w:sz="4" w:space="0" w:color="auto"/>
              <w:left w:val="single" w:sz="8" w:space="0" w:color="auto"/>
              <w:bottom w:val="single" w:sz="4" w:space="0" w:color="auto"/>
              <w:right w:val="single" w:sz="8" w:space="0" w:color="000000"/>
            </w:tcBorders>
            <w:shd w:val="clear" w:color="000000" w:fill="632523"/>
            <w:noWrap/>
            <w:vAlign w:val="bottom"/>
            <w:hideMark/>
          </w:tcPr>
          <w:p w14:paraId="204C22B0" w14:textId="70867E53" w:rsidR="00B439D2" w:rsidRPr="00831966" w:rsidRDefault="00B439D2" w:rsidP="00AA43CF">
            <w:pPr>
              <w:spacing w:line="240" w:lineRule="auto"/>
              <w:jc w:val="center"/>
              <w:rPr>
                <w:rFonts w:ascii="Franklin Gothic Medium" w:eastAsia="Times New Roman" w:hAnsi="Franklin Gothic Medium" w:cs="Times New Roman"/>
                <w:color w:val="FFFFFF"/>
              </w:rPr>
            </w:pPr>
            <w:r w:rsidRPr="00831966">
              <w:rPr>
                <w:rFonts w:ascii="Franklin Gothic Medium" w:eastAsia="Times New Roman" w:hAnsi="Franklin Gothic Medium" w:cs="Times New Roman"/>
                <w:color w:val="FFFFFF"/>
              </w:rPr>
              <w:t xml:space="preserve">Reviews Completed Between January and </w:t>
            </w:r>
            <w:r w:rsidR="00AA43CF">
              <w:rPr>
                <w:rFonts w:ascii="Franklin Gothic Medium" w:eastAsia="Times New Roman" w:hAnsi="Franklin Gothic Medium" w:cs="Times New Roman"/>
                <w:color w:val="FFFFFF"/>
              </w:rPr>
              <w:t>June 2016</w:t>
            </w:r>
          </w:p>
        </w:tc>
      </w:tr>
      <w:tr w:rsidR="00B439D2" w:rsidRPr="00831966" w14:paraId="498086B3" w14:textId="77777777" w:rsidTr="007247E6">
        <w:trPr>
          <w:trHeight w:val="330"/>
          <w:tblHeader/>
          <w:jc w:val="center"/>
        </w:trPr>
        <w:tc>
          <w:tcPr>
            <w:tcW w:w="6340" w:type="dxa"/>
            <w:tcBorders>
              <w:top w:val="nil"/>
              <w:left w:val="single" w:sz="8" w:space="0" w:color="auto"/>
              <w:bottom w:val="double" w:sz="6" w:space="0" w:color="auto"/>
              <w:right w:val="single" w:sz="4" w:space="0" w:color="auto"/>
            </w:tcBorders>
            <w:shd w:val="clear" w:color="000000" w:fill="F2DDDC"/>
            <w:noWrap/>
            <w:vAlign w:val="bottom"/>
            <w:hideMark/>
          </w:tcPr>
          <w:p w14:paraId="33F00DF5" w14:textId="77777777" w:rsidR="00B439D2" w:rsidRPr="00831966" w:rsidRDefault="00B439D2" w:rsidP="007247E6">
            <w:pPr>
              <w:spacing w:line="240" w:lineRule="auto"/>
              <w:rPr>
                <w:rFonts w:ascii="Franklin Gothic Medium" w:eastAsia="Times New Roman" w:hAnsi="Franklin Gothic Medium" w:cs="Times New Roman"/>
                <w:color w:val="000000"/>
              </w:rPr>
            </w:pPr>
            <w:r w:rsidRPr="00831966">
              <w:rPr>
                <w:rFonts w:ascii="Franklin Gothic Medium" w:eastAsia="Times New Roman" w:hAnsi="Franklin Gothic Medium" w:cs="Times New Roman"/>
                <w:color w:val="000000"/>
              </w:rPr>
              <w:t>Question</w:t>
            </w:r>
          </w:p>
        </w:tc>
        <w:tc>
          <w:tcPr>
            <w:tcW w:w="1020" w:type="dxa"/>
            <w:tcBorders>
              <w:top w:val="nil"/>
              <w:left w:val="nil"/>
              <w:bottom w:val="double" w:sz="6" w:space="0" w:color="auto"/>
              <w:right w:val="single" w:sz="8" w:space="0" w:color="auto"/>
            </w:tcBorders>
            <w:shd w:val="clear" w:color="000000" w:fill="F2DDDC"/>
            <w:noWrap/>
            <w:vAlign w:val="bottom"/>
            <w:hideMark/>
          </w:tcPr>
          <w:p w14:paraId="1B543BC2" w14:textId="77777777" w:rsidR="00B439D2" w:rsidRPr="00831966" w:rsidRDefault="00B439D2" w:rsidP="007247E6">
            <w:pPr>
              <w:spacing w:line="240" w:lineRule="auto"/>
              <w:jc w:val="center"/>
              <w:rPr>
                <w:rFonts w:ascii="Franklin Gothic Medium" w:eastAsia="Times New Roman" w:hAnsi="Franklin Gothic Medium" w:cs="Times New Roman"/>
                <w:color w:val="000000"/>
              </w:rPr>
            </w:pPr>
            <w:r>
              <w:rPr>
                <w:rFonts w:ascii="Franklin Gothic Medium" w:eastAsia="Times New Roman" w:hAnsi="Franklin Gothic Medium" w:cs="Times New Roman"/>
                <w:color w:val="000000"/>
              </w:rPr>
              <w:t xml:space="preserve"># </w:t>
            </w:r>
            <w:r w:rsidRPr="00831966">
              <w:rPr>
                <w:rFonts w:ascii="Franklin Gothic Medium" w:eastAsia="Times New Roman" w:hAnsi="Franklin Gothic Medium" w:cs="Times New Roman"/>
                <w:color w:val="000000"/>
              </w:rPr>
              <w:t>Yes</w:t>
            </w:r>
          </w:p>
        </w:tc>
        <w:tc>
          <w:tcPr>
            <w:tcW w:w="1020" w:type="dxa"/>
            <w:tcBorders>
              <w:top w:val="nil"/>
              <w:left w:val="nil"/>
              <w:bottom w:val="double" w:sz="6" w:space="0" w:color="auto"/>
              <w:right w:val="single" w:sz="4" w:space="0" w:color="auto"/>
            </w:tcBorders>
            <w:shd w:val="clear" w:color="000000" w:fill="F2DDDC"/>
            <w:vAlign w:val="bottom"/>
          </w:tcPr>
          <w:p w14:paraId="09854D75" w14:textId="77777777" w:rsidR="00B439D2" w:rsidRDefault="00B439D2" w:rsidP="007247E6">
            <w:pPr>
              <w:spacing w:line="240" w:lineRule="auto"/>
              <w:jc w:val="center"/>
              <w:rPr>
                <w:rFonts w:ascii="Franklin Gothic Medium" w:eastAsia="Times New Roman" w:hAnsi="Franklin Gothic Medium" w:cs="Times New Roman"/>
                <w:color w:val="000000"/>
              </w:rPr>
            </w:pPr>
            <w:r>
              <w:rPr>
                <w:rFonts w:ascii="Franklin Gothic Medium" w:eastAsia="Times New Roman" w:hAnsi="Franklin Gothic Medium" w:cs="Times New Roman"/>
                <w:color w:val="000000"/>
              </w:rPr>
              <w:t># No</w:t>
            </w:r>
          </w:p>
        </w:tc>
        <w:tc>
          <w:tcPr>
            <w:tcW w:w="1020" w:type="dxa"/>
            <w:tcBorders>
              <w:top w:val="nil"/>
              <w:left w:val="single" w:sz="4" w:space="0" w:color="auto"/>
              <w:bottom w:val="double" w:sz="6" w:space="0" w:color="auto"/>
              <w:right w:val="single" w:sz="8" w:space="0" w:color="auto"/>
            </w:tcBorders>
            <w:shd w:val="clear" w:color="000000" w:fill="F2DDDC"/>
            <w:vAlign w:val="bottom"/>
          </w:tcPr>
          <w:p w14:paraId="59F93C06" w14:textId="77777777" w:rsidR="00B439D2" w:rsidRPr="00831966" w:rsidRDefault="00B439D2" w:rsidP="007247E6">
            <w:pPr>
              <w:spacing w:line="240" w:lineRule="auto"/>
              <w:jc w:val="center"/>
              <w:rPr>
                <w:rFonts w:ascii="Franklin Gothic Medium" w:eastAsia="Times New Roman" w:hAnsi="Franklin Gothic Medium" w:cs="Times New Roman"/>
                <w:color w:val="000000"/>
              </w:rPr>
            </w:pPr>
            <w:r>
              <w:rPr>
                <w:rFonts w:ascii="Franklin Gothic Medium" w:eastAsia="Times New Roman" w:hAnsi="Franklin Gothic Medium" w:cs="Times New Roman"/>
                <w:color w:val="000000"/>
              </w:rPr>
              <w:t>#NA</w:t>
            </w:r>
          </w:p>
        </w:tc>
      </w:tr>
      <w:tr w:rsidR="00B439D2" w:rsidRPr="00831966" w14:paraId="2C3D9339" w14:textId="77777777" w:rsidTr="007247E6">
        <w:trPr>
          <w:trHeight w:val="458"/>
          <w:jc w:val="center"/>
        </w:trPr>
        <w:tc>
          <w:tcPr>
            <w:tcW w:w="6340" w:type="dxa"/>
            <w:tcBorders>
              <w:top w:val="single" w:sz="4" w:space="0" w:color="auto"/>
              <w:left w:val="single" w:sz="8" w:space="0" w:color="auto"/>
              <w:bottom w:val="single" w:sz="4" w:space="0" w:color="auto"/>
              <w:right w:val="single" w:sz="4" w:space="0" w:color="auto"/>
            </w:tcBorders>
            <w:shd w:val="clear" w:color="auto" w:fill="auto"/>
            <w:vAlign w:val="bottom"/>
          </w:tcPr>
          <w:p w14:paraId="62BC56AB" w14:textId="77777777" w:rsidR="00B439D2" w:rsidRPr="004D3EC4" w:rsidRDefault="00B439D2" w:rsidP="007247E6">
            <w:pPr>
              <w:spacing w:line="240" w:lineRule="auto"/>
              <w:rPr>
                <w:rFonts w:ascii="Calibri" w:eastAsia="Times New Roman" w:hAnsi="Calibri" w:cs="Times New Roman"/>
                <w:color w:val="000000"/>
                <w:sz w:val="22"/>
              </w:rPr>
            </w:pPr>
            <w:r w:rsidRPr="004D3EC4">
              <w:rPr>
                <w:rFonts w:ascii="Calibri" w:eastAsia="Times New Roman" w:hAnsi="Calibri" w:cs="Times New Roman"/>
                <w:color w:val="000000"/>
                <w:sz w:val="22"/>
              </w:rPr>
              <w:t>Did the Quality Assurance Reviewer (QAR) identify documents needed to complete the review?</w:t>
            </w:r>
          </w:p>
        </w:tc>
        <w:tc>
          <w:tcPr>
            <w:tcW w:w="1020" w:type="dxa"/>
            <w:tcBorders>
              <w:top w:val="single" w:sz="4" w:space="0" w:color="auto"/>
              <w:left w:val="nil"/>
              <w:bottom w:val="single" w:sz="4" w:space="0" w:color="auto"/>
              <w:right w:val="single" w:sz="8" w:space="0" w:color="auto"/>
            </w:tcBorders>
            <w:shd w:val="clear" w:color="auto" w:fill="auto"/>
            <w:vAlign w:val="bottom"/>
          </w:tcPr>
          <w:p w14:paraId="6E55CF8F" w14:textId="335A5501" w:rsidR="001D6060" w:rsidRPr="001D6060" w:rsidRDefault="001D6060" w:rsidP="001D6060">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65</w:t>
            </w:r>
          </w:p>
        </w:tc>
        <w:tc>
          <w:tcPr>
            <w:tcW w:w="1020" w:type="dxa"/>
            <w:tcBorders>
              <w:top w:val="single" w:sz="4" w:space="0" w:color="auto"/>
              <w:left w:val="nil"/>
              <w:bottom w:val="single" w:sz="4" w:space="0" w:color="auto"/>
              <w:right w:val="single" w:sz="4" w:space="0" w:color="auto"/>
            </w:tcBorders>
            <w:vAlign w:val="bottom"/>
          </w:tcPr>
          <w:p w14:paraId="6D08A14D" w14:textId="2699B339"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0</w:t>
            </w:r>
          </w:p>
        </w:tc>
        <w:tc>
          <w:tcPr>
            <w:tcW w:w="1020" w:type="dxa"/>
            <w:tcBorders>
              <w:top w:val="single" w:sz="4" w:space="0" w:color="auto"/>
              <w:left w:val="single" w:sz="4" w:space="0" w:color="auto"/>
              <w:bottom w:val="single" w:sz="4" w:space="0" w:color="auto"/>
              <w:right w:val="single" w:sz="8" w:space="0" w:color="auto"/>
            </w:tcBorders>
            <w:vAlign w:val="bottom"/>
          </w:tcPr>
          <w:p w14:paraId="7F20E6A7" w14:textId="618605BC"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0</w:t>
            </w:r>
          </w:p>
        </w:tc>
      </w:tr>
      <w:tr w:rsidR="00B439D2" w:rsidRPr="00831966" w14:paraId="281E82C1" w14:textId="77777777" w:rsidTr="007247E6">
        <w:trPr>
          <w:trHeight w:val="458"/>
          <w:jc w:val="center"/>
        </w:trPr>
        <w:tc>
          <w:tcPr>
            <w:tcW w:w="6340"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5145C39A" w14:textId="2EB3561F" w:rsidR="00B439D2" w:rsidRPr="004D3EC4" w:rsidRDefault="00B439D2" w:rsidP="007247E6">
            <w:pPr>
              <w:spacing w:line="240" w:lineRule="auto"/>
              <w:rPr>
                <w:rFonts w:ascii="Calibri" w:eastAsia="Times New Roman" w:hAnsi="Calibri" w:cs="Times New Roman"/>
                <w:color w:val="000000"/>
                <w:sz w:val="22"/>
              </w:rPr>
            </w:pPr>
            <w:r w:rsidRPr="004D3EC4">
              <w:rPr>
                <w:rFonts w:ascii="Calibri" w:eastAsia="Times New Roman" w:hAnsi="Calibri" w:cs="Times New Roman"/>
                <w:color w:val="000000"/>
                <w:sz w:val="22"/>
              </w:rPr>
              <w:t>Did the QAR explain the purpose of the review?</w:t>
            </w:r>
          </w:p>
        </w:tc>
        <w:tc>
          <w:tcPr>
            <w:tcW w:w="1020" w:type="dxa"/>
            <w:tcBorders>
              <w:top w:val="single" w:sz="4" w:space="0" w:color="auto"/>
              <w:left w:val="nil"/>
              <w:bottom w:val="single" w:sz="4" w:space="0" w:color="auto"/>
              <w:right w:val="single" w:sz="8" w:space="0" w:color="auto"/>
            </w:tcBorders>
            <w:shd w:val="clear" w:color="auto" w:fill="BFBFBF" w:themeFill="background1" w:themeFillShade="BF"/>
            <w:vAlign w:val="bottom"/>
          </w:tcPr>
          <w:p w14:paraId="7C6DD93D" w14:textId="2B7BE7CC"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65</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1D33E163" w14:textId="717D658D"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0</w:t>
            </w:r>
          </w:p>
        </w:tc>
        <w:tc>
          <w:tcPr>
            <w:tcW w:w="1020"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bottom"/>
          </w:tcPr>
          <w:p w14:paraId="6A5A5FEA" w14:textId="6D96EDE9"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0</w:t>
            </w:r>
          </w:p>
        </w:tc>
      </w:tr>
      <w:tr w:rsidR="00B439D2" w:rsidRPr="00831966" w14:paraId="0423EDCD" w14:textId="77777777" w:rsidTr="007247E6">
        <w:trPr>
          <w:trHeight w:val="530"/>
          <w:jc w:val="center"/>
        </w:trPr>
        <w:tc>
          <w:tcPr>
            <w:tcW w:w="6340" w:type="dxa"/>
            <w:tcBorders>
              <w:top w:val="nil"/>
              <w:left w:val="single" w:sz="8" w:space="0" w:color="auto"/>
              <w:bottom w:val="single" w:sz="4" w:space="0" w:color="auto"/>
              <w:right w:val="single" w:sz="4" w:space="0" w:color="auto"/>
            </w:tcBorders>
            <w:shd w:val="clear" w:color="auto" w:fill="auto"/>
            <w:vAlign w:val="bottom"/>
            <w:hideMark/>
          </w:tcPr>
          <w:p w14:paraId="358AEB6C" w14:textId="77777777" w:rsidR="00B439D2" w:rsidRPr="004D3EC4" w:rsidRDefault="00B439D2" w:rsidP="007247E6">
            <w:pPr>
              <w:spacing w:line="240" w:lineRule="auto"/>
              <w:rPr>
                <w:rFonts w:ascii="Calibri" w:eastAsia="Times New Roman" w:hAnsi="Calibri" w:cs="Times New Roman"/>
                <w:color w:val="000000"/>
                <w:sz w:val="22"/>
              </w:rPr>
            </w:pPr>
            <w:r w:rsidRPr="004D3EC4">
              <w:rPr>
                <w:rFonts w:ascii="Calibri" w:eastAsia="Times New Roman" w:hAnsi="Calibri" w:cs="Times New Roman"/>
                <w:color w:val="000000"/>
                <w:sz w:val="22"/>
              </w:rPr>
              <w:t>Did the QAR explain the review process and how the QAR or Delmarva team would conduct the review?</w:t>
            </w:r>
          </w:p>
        </w:tc>
        <w:tc>
          <w:tcPr>
            <w:tcW w:w="1020" w:type="dxa"/>
            <w:tcBorders>
              <w:top w:val="nil"/>
              <w:left w:val="nil"/>
              <w:bottom w:val="single" w:sz="4" w:space="0" w:color="auto"/>
              <w:right w:val="single" w:sz="8" w:space="0" w:color="auto"/>
            </w:tcBorders>
            <w:shd w:val="clear" w:color="auto" w:fill="auto"/>
            <w:vAlign w:val="bottom"/>
          </w:tcPr>
          <w:p w14:paraId="2D7668C0" w14:textId="4B784E2E"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63</w:t>
            </w:r>
          </w:p>
        </w:tc>
        <w:tc>
          <w:tcPr>
            <w:tcW w:w="1020" w:type="dxa"/>
            <w:tcBorders>
              <w:top w:val="nil"/>
              <w:left w:val="nil"/>
              <w:bottom w:val="single" w:sz="4" w:space="0" w:color="auto"/>
              <w:right w:val="single" w:sz="4" w:space="0" w:color="auto"/>
            </w:tcBorders>
            <w:vAlign w:val="bottom"/>
          </w:tcPr>
          <w:p w14:paraId="329D5169" w14:textId="72ADB5E0"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1</w:t>
            </w:r>
          </w:p>
        </w:tc>
        <w:tc>
          <w:tcPr>
            <w:tcW w:w="1020" w:type="dxa"/>
            <w:tcBorders>
              <w:top w:val="nil"/>
              <w:left w:val="single" w:sz="4" w:space="0" w:color="auto"/>
              <w:bottom w:val="single" w:sz="4" w:space="0" w:color="auto"/>
              <w:right w:val="single" w:sz="8" w:space="0" w:color="auto"/>
            </w:tcBorders>
            <w:vAlign w:val="bottom"/>
          </w:tcPr>
          <w:p w14:paraId="584903CE" w14:textId="52320412"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1</w:t>
            </w:r>
          </w:p>
        </w:tc>
      </w:tr>
      <w:tr w:rsidR="00B439D2" w:rsidRPr="00831966" w14:paraId="3277BE72" w14:textId="77777777" w:rsidTr="007247E6">
        <w:trPr>
          <w:trHeight w:val="530"/>
          <w:jc w:val="center"/>
        </w:trPr>
        <w:tc>
          <w:tcPr>
            <w:tcW w:w="6340"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71667D87" w14:textId="77777777" w:rsidR="00B439D2" w:rsidRPr="004D3EC4" w:rsidRDefault="00B439D2" w:rsidP="007247E6">
            <w:pPr>
              <w:spacing w:line="240" w:lineRule="auto"/>
              <w:rPr>
                <w:rFonts w:ascii="Calibri" w:eastAsia="Times New Roman" w:hAnsi="Calibri" w:cs="Times New Roman"/>
                <w:color w:val="000000"/>
                <w:sz w:val="22"/>
              </w:rPr>
            </w:pPr>
            <w:r w:rsidRPr="004D3EC4">
              <w:rPr>
                <w:rFonts w:ascii="Calibri" w:eastAsia="Times New Roman" w:hAnsi="Calibri" w:cs="Times New Roman"/>
                <w:color w:val="000000"/>
                <w:sz w:val="22"/>
              </w:rPr>
              <w:t>Did the QAR answer any questions you had in preparation for the review?</w:t>
            </w:r>
          </w:p>
        </w:tc>
        <w:tc>
          <w:tcPr>
            <w:tcW w:w="1020" w:type="dxa"/>
            <w:tcBorders>
              <w:top w:val="single" w:sz="4" w:space="0" w:color="auto"/>
              <w:left w:val="nil"/>
              <w:bottom w:val="single" w:sz="4" w:space="0" w:color="auto"/>
              <w:right w:val="single" w:sz="8" w:space="0" w:color="auto"/>
            </w:tcBorders>
            <w:shd w:val="clear" w:color="auto" w:fill="BFBFBF" w:themeFill="background1" w:themeFillShade="BF"/>
            <w:vAlign w:val="bottom"/>
          </w:tcPr>
          <w:p w14:paraId="03EA9CC2" w14:textId="615C2914"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65</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5A8C6391" w14:textId="0D27428C"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0</w:t>
            </w:r>
          </w:p>
        </w:tc>
        <w:tc>
          <w:tcPr>
            <w:tcW w:w="1020"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bottom"/>
          </w:tcPr>
          <w:p w14:paraId="56D48824" w14:textId="63D30D1D"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0</w:t>
            </w:r>
          </w:p>
        </w:tc>
      </w:tr>
      <w:tr w:rsidR="00B439D2" w:rsidRPr="00831966" w14:paraId="60DE2142" w14:textId="77777777" w:rsidTr="007247E6">
        <w:trPr>
          <w:trHeight w:val="530"/>
          <w:jc w:val="center"/>
        </w:trPr>
        <w:tc>
          <w:tcPr>
            <w:tcW w:w="6340" w:type="dxa"/>
            <w:tcBorders>
              <w:top w:val="nil"/>
              <w:left w:val="single" w:sz="8" w:space="0" w:color="auto"/>
              <w:bottom w:val="single" w:sz="4" w:space="0" w:color="auto"/>
              <w:right w:val="single" w:sz="4" w:space="0" w:color="auto"/>
            </w:tcBorders>
            <w:shd w:val="clear" w:color="auto" w:fill="auto"/>
            <w:vAlign w:val="bottom"/>
            <w:hideMark/>
          </w:tcPr>
          <w:p w14:paraId="36D1EE6F" w14:textId="77777777" w:rsidR="00B439D2" w:rsidRPr="004D3EC4" w:rsidRDefault="00B439D2" w:rsidP="007247E6">
            <w:pPr>
              <w:spacing w:line="240" w:lineRule="auto"/>
              <w:rPr>
                <w:rFonts w:ascii="Calibri" w:eastAsia="Times New Roman" w:hAnsi="Calibri" w:cs="Times New Roman"/>
                <w:color w:val="000000"/>
                <w:sz w:val="22"/>
              </w:rPr>
            </w:pPr>
            <w:r w:rsidRPr="004D3EC4">
              <w:rPr>
                <w:rFonts w:ascii="Calibri" w:eastAsia="Times New Roman" w:hAnsi="Calibri" w:cs="Times New Roman"/>
                <w:color w:val="000000"/>
                <w:sz w:val="22"/>
              </w:rPr>
              <w:t xml:space="preserve">Did the QAR refer you to the FSQAP website, including the tools and procedures? </w:t>
            </w:r>
          </w:p>
        </w:tc>
        <w:tc>
          <w:tcPr>
            <w:tcW w:w="1020" w:type="dxa"/>
            <w:tcBorders>
              <w:top w:val="nil"/>
              <w:left w:val="nil"/>
              <w:bottom w:val="single" w:sz="4" w:space="0" w:color="auto"/>
              <w:right w:val="single" w:sz="8" w:space="0" w:color="auto"/>
            </w:tcBorders>
            <w:shd w:val="clear" w:color="auto" w:fill="auto"/>
            <w:vAlign w:val="bottom"/>
          </w:tcPr>
          <w:p w14:paraId="2EB4FC0E" w14:textId="27A0D376"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62</w:t>
            </w:r>
          </w:p>
        </w:tc>
        <w:tc>
          <w:tcPr>
            <w:tcW w:w="1020" w:type="dxa"/>
            <w:tcBorders>
              <w:top w:val="nil"/>
              <w:left w:val="nil"/>
              <w:bottom w:val="single" w:sz="4" w:space="0" w:color="auto"/>
              <w:right w:val="single" w:sz="4" w:space="0" w:color="auto"/>
            </w:tcBorders>
            <w:vAlign w:val="bottom"/>
          </w:tcPr>
          <w:p w14:paraId="703675DB" w14:textId="3630A530"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0</w:t>
            </w:r>
          </w:p>
        </w:tc>
        <w:tc>
          <w:tcPr>
            <w:tcW w:w="1020" w:type="dxa"/>
            <w:tcBorders>
              <w:top w:val="nil"/>
              <w:left w:val="single" w:sz="4" w:space="0" w:color="auto"/>
              <w:bottom w:val="single" w:sz="4" w:space="0" w:color="auto"/>
              <w:right w:val="single" w:sz="8" w:space="0" w:color="auto"/>
            </w:tcBorders>
            <w:vAlign w:val="bottom"/>
          </w:tcPr>
          <w:p w14:paraId="74544B6A" w14:textId="32AB04ED"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3</w:t>
            </w:r>
          </w:p>
        </w:tc>
      </w:tr>
      <w:tr w:rsidR="00B439D2" w:rsidRPr="00831966" w14:paraId="1FB22F5C" w14:textId="77777777" w:rsidTr="007247E6">
        <w:trPr>
          <w:trHeight w:val="458"/>
          <w:jc w:val="center"/>
        </w:trPr>
        <w:tc>
          <w:tcPr>
            <w:tcW w:w="6340"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44AED5A4" w14:textId="77777777" w:rsidR="00B439D2" w:rsidRPr="004D3EC4" w:rsidRDefault="00B439D2" w:rsidP="007247E6">
            <w:pPr>
              <w:spacing w:line="240" w:lineRule="auto"/>
              <w:rPr>
                <w:rFonts w:ascii="Calibri" w:eastAsia="Times New Roman" w:hAnsi="Calibri" w:cs="Times New Roman"/>
                <w:color w:val="000000"/>
                <w:sz w:val="22"/>
              </w:rPr>
            </w:pPr>
            <w:r w:rsidRPr="004D3EC4">
              <w:rPr>
                <w:rFonts w:ascii="Calibri" w:eastAsia="Times New Roman" w:hAnsi="Calibri" w:cs="Times New Roman"/>
                <w:color w:val="000000"/>
                <w:sz w:val="22"/>
              </w:rPr>
              <w:t>Did the QAR arrive at the review at the scheduled time?</w:t>
            </w:r>
          </w:p>
        </w:tc>
        <w:tc>
          <w:tcPr>
            <w:tcW w:w="1020" w:type="dxa"/>
            <w:tcBorders>
              <w:top w:val="single" w:sz="4" w:space="0" w:color="auto"/>
              <w:left w:val="nil"/>
              <w:bottom w:val="single" w:sz="4" w:space="0" w:color="auto"/>
              <w:right w:val="single" w:sz="8" w:space="0" w:color="auto"/>
            </w:tcBorders>
            <w:shd w:val="clear" w:color="auto" w:fill="BFBFBF" w:themeFill="background1" w:themeFillShade="BF"/>
            <w:vAlign w:val="bottom"/>
          </w:tcPr>
          <w:p w14:paraId="0246C74E" w14:textId="5FDD1E9F"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63</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70589CD4" w14:textId="033E025A"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1</w:t>
            </w:r>
          </w:p>
        </w:tc>
        <w:tc>
          <w:tcPr>
            <w:tcW w:w="1020"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bottom"/>
          </w:tcPr>
          <w:p w14:paraId="12855247" w14:textId="65E8C772"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1</w:t>
            </w:r>
          </w:p>
        </w:tc>
      </w:tr>
      <w:tr w:rsidR="00B439D2" w:rsidRPr="00831966" w14:paraId="52B2904B" w14:textId="77777777" w:rsidTr="007247E6">
        <w:trPr>
          <w:trHeight w:val="458"/>
          <w:jc w:val="center"/>
        </w:trPr>
        <w:tc>
          <w:tcPr>
            <w:tcW w:w="6340" w:type="dxa"/>
            <w:tcBorders>
              <w:top w:val="nil"/>
              <w:left w:val="single" w:sz="8" w:space="0" w:color="auto"/>
              <w:bottom w:val="single" w:sz="4" w:space="0" w:color="auto"/>
              <w:right w:val="single" w:sz="4" w:space="0" w:color="auto"/>
            </w:tcBorders>
            <w:shd w:val="clear" w:color="auto" w:fill="auto"/>
            <w:vAlign w:val="bottom"/>
            <w:hideMark/>
          </w:tcPr>
          <w:p w14:paraId="11CF8D6E" w14:textId="7657EFDC" w:rsidR="00B439D2" w:rsidRPr="004D3EC4" w:rsidRDefault="00B439D2" w:rsidP="001D6060">
            <w:pPr>
              <w:spacing w:line="240" w:lineRule="auto"/>
              <w:rPr>
                <w:rFonts w:ascii="Calibri" w:eastAsia="Times New Roman" w:hAnsi="Calibri" w:cs="Times New Roman"/>
                <w:color w:val="000000"/>
                <w:sz w:val="22"/>
              </w:rPr>
            </w:pPr>
            <w:r w:rsidRPr="004D3EC4">
              <w:rPr>
                <w:rFonts w:ascii="Calibri" w:eastAsia="Times New Roman" w:hAnsi="Calibri" w:cs="Times New Roman"/>
                <w:color w:val="000000"/>
                <w:sz w:val="22"/>
              </w:rPr>
              <w:t xml:space="preserve">If no, did the QAR call to notify you he/she might be a little late? </w:t>
            </w:r>
            <w:r w:rsidRPr="004D3EC4">
              <w:rPr>
                <w:rFonts w:ascii="Calibri" w:eastAsia="Times New Roman" w:hAnsi="Calibri" w:cs="Times New Roman"/>
                <w:b/>
                <w:color w:val="000000"/>
                <w:sz w:val="22"/>
              </w:rPr>
              <w:t>(N=</w:t>
            </w:r>
            <w:r w:rsidR="001D6060">
              <w:rPr>
                <w:rFonts w:ascii="Calibri" w:eastAsia="Times New Roman" w:hAnsi="Calibri" w:cs="Times New Roman"/>
                <w:b/>
                <w:color w:val="000000"/>
                <w:sz w:val="22"/>
              </w:rPr>
              <w:t>2</w:t>
            </w:r>
            <w:r w:rsidRPr="004D3EC4">
              <w:rPr>
                <w:rFonts w:ascii="Calibri" w:eastAsia="Times New Roman" w:hAnsi="Calibri" w:cs="Times New Roman"/>
                <w:b/>
                <w:color w:val="000000"/>
                <w:sz w:val="22"/>
              </w:rPr>
              <w:t>)</w:t>
            </w:r>
          </w:p>
        </w:tc>
        <w:tc>
          <w:tcPr>
            <w:tcW w:w="1020" w:type="dxa"/>
            <w:tcBorders>
              <w:top w:val="nil"/>
              <w:left w:val="nil"/>
              <w:bottom w:val="single" w:sz="4" w:space="0" w:color="auto"/>
              <w:right w:val="single" w:sz="8" w:space="0" w:color="auto"/>
            </w:tcBorders>
            <w:shd w:val="clear" w:color="auto" w:fill="auto"/>
            <w:vAlign w:val="bottom"/>
          </w:tcPr>
          <w:p w14:paraId="6271607E" w14:textId="40ECA1EA"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2</w:t>
            </w:r>
          </w:p>
        </w:tc>
        <w:tc>
          <w:tcPr>
            <w:tcW w:w="1020" w:type="dxa"/>
            <w:tcBorders>
              <w:top w:val="nil"/>
              <w:left w:val="nil"/>
              <w:bottom w:val="single" w:sz="4" w:space="0" w:color="auto"/>
              <w:right w:val="single" w:sz="4" w:space="0" w:color="auto"/>
            </w:tcBorders>
            <w:vAlign w:val="bottom"/>
          </w:tcPr>
          <w:p w14:paraId="328FB012" w14:textId="7CECD6FC"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0</w:t>
            </w:r>
          </w:p>
        </w:tc>
        <w:tc>
          <w:tcPr>
            <w:tcW w:w="1020" w:type="dxa"/>
            <w:tcBorders>
              <w:top w:val="nil"/>
              <w:left w:val="single" w:sz="4" w:space="0" w:color="auto"/>
              <w:bottom w:val="single" w:sz="4" w:space="0" w:color="auto"/>
              <w:right w:val="single" w:sz="8" w:space="0" w:color="auto"/>
            </w:tcBorders>
            <w:vAlign w:val="bottom"/>
          </w:tcPr>
          <w:p w14:paraId="4D626467" w14:textId="2E3847F7"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63</w:t>
            </w:r>
          </w:p>
        </w:tc>
      </w:tr>
      <w:tr w:rsidR="00B439D2" w:rsidRPr="00831966" w14:paraId="4FF4CC4B" w14:textId="77777777" w:rsidTr="007247E6">
        <w:trPr>
          <w:trHeight w:val="530"/>
          <w:jc w:val="center"/>
        </w:trPr>
        <w:tc>
          <w:tcPr>
            <w:tcW w:w="6340"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27567506" w14:textId="77777777" w:rsidR="00B439D2" w:rsidRPr="004D3EC4" w:rsidRDefault="00B439D2" w:rsidP="007247E6">
            <w:pPr>
              <w:spacing w:line="240" w:lineRule="auto"/>
              <w:rPr>
                <w:rFonts w:ascii="Calibri" w:eastAsia="Times New Roman" w:hAnsi="Calibri" w:cs="Times New Roman"/>
                <w:color w:val="000000"/>
                <w:sz w:val="22"/>
              </w:rPr>
            </w:pPr>
            <w:r w:rsidRPr="004D3EC4">
              <w:rPr>
                <w:rFonts w:ascii="Calibri" w:eastAsia="Times New Roman" w:hAnsi="Calibri" w:cs="Times New Roman"/>
                <w:color w:val="000000"/>
                <w:sz w:val="22"/>
              </w:rPr>
              <w:t>Did the QAR provide you with the preliminary findings of your Provider Discovery Review (PDR) before leaving?</w:t>
            </w:r>
          </w:p>
        </w:tc>
        <w:tc>
          <w:tcPr>
            <w:tcW w:w="1020" w:type="dxa"/>
            <w:tcBorders>
              <w:top w:val="single" w:sz="4" w:space="0" w:color="auto"/>
              <w:left w:val="nil"/>
              <w:bottom w:val="single" w:sz="4" w:space="0" w:color="auto"/>
              <w:right w:val="single" w:sz="8" w:space="0" w:color="auto"/>
            </w:tcBorders>
            <w:shd w:val="clear" w:color="auto" w:fill="BFBFBF" w:themeFill="background1" w:themeFillShade="BF"/>
            <w:vAlign w:val="bottom"/>
          </w:tcPr>
          <w:p w14:paraId="3AD4309C" w14:textId="510C53EA"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63</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7959AACF" w14:textId="25008CC5"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0</w:t>
            </w:r>
          </w:p>
        </w:tc>
        <w:tc>
          <w:tcPr>
            <w:tcW w:w="1020"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bottom"/>
          </w:tcPr>
          <w:p w14:paraId="7FFAB4BE" w14:textId="402DA99E"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0</w:t>
            </w:r>
          </w:p>
        </w:tc>
      </w:tr>
      <w:tr w:rsidR="00B439D2" w:rsidRPr="00831966" w14:paraId="35B262E9" w14:textId="77777777" w:rsidTr="007247E6">
        <w:trPr>
          <w:trHeight w:val="530"/>
          <w:jc w:val="center"/>
        </w:trPr>
        <w:tc>
          <w:tcPr>
            <w:tcW w:w="6340" w:type="dxa"/>
            <w:tcBorders>
              <w:top w:val="nil"/>
              <w:left w:val="single" w:sz="8" w:space="0" w:color="auto"/>
              <w:bottom w:val="single" w:sz="4" w:space="0" w:color="auto"/>
              <w:right w:val="single" w:sz="4" w:space="0" w:color="auto"/>
            </w:tcBorders>
            <w:shd w:val="clear" w:color="auto" w:fill="auto"/>
            <w:vAlign w:val="bottom"/>
            <w:hideMark/>
          </w:tcPr>
          <w:p w14:paraId="7D4E290B" w14:textId="77777777" w:rsidR="00B439D2" w:rsidRPr="004D3EC4" w:rsidRDefault="00B439D2" w:rsidP="007247E6">
            <w:pPr>
              <w:spacing w:line="240" w:lineRule="auto"/>
              <w:rPr>
                <w:rFonts w:ascii="Calibri" w:eastAsia="Times New Roman" w:hAnsi="Calibri" w:cs="Times New Roman"/>
                <w:color w:val="000000"/>
                <w:sz w:val="22"/>
              </w:rPr>
            </w:pPr>
            <w:r w:rsidRPr="004D3EC4">
              <w:rPr>
                <w:rFonts w:ascii="Calibri" w:eastAsia="Times New Roman" w:hAnsi="Calibri" w:cs="Times New Roman"/>
                <w:color w:val="000000"/>
                <w:sz w:val="22"/>
              </w:rPr>
              <w:t xml:space="preserve">If you scored Not Met on any of the standards, did the QAR explain why? </w:t>
            </w:r>
          </w:p>
        </w:tc>
        <w:tc>
          <w:tcPr>
            <w:tcW w:w="1020" w:type="dxa"/>
            <w:tcBorders>
              <w:top w:val="nil"/>
              <w:left w:val="nil"/>
              <w:bottom w:val="single" w:sz="4" w:space="0" w:color="auto"/>
              <w:right w:val="single" w:sz="8" w:space="0" w:color="auto"/>
            </w:tcBorders>
            <w:shd w:val="clear" w:color="auto" w:fill="auto"/>
            <w:vAlign w:val="bottom"/>
          </w:tcPr>
          <w:p w14:paraId="468079CC" w14:textId="60FC23E7"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54</w:t>
            </w:r>
          </w:p>
        </w:tc>
        <w:tc>
          <w:tcPr>
            <w:tcW w:w="1020" w:type="dxa"/>
            <w:tcBorders>
              <w:top w:val="nil"/>
              <w:left w:val="nil"/>
              <w:bottom w:val="single" w:sz="4" w:space="0" w:color="auto"/>
              <w:right w:val="single" w:sz="4" w:space="0" w:color="auto"/>
            </w:tcBorders>
            <w:vAlign w:val="bottom"/>
          </w:tcPr>
          <w:p w14:paraId="49CD6FDC" w14:textId="21251857"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0</w:t>
            </w:r>
          </w:p>
        </w:tc>
        <w:tc>
          <w:tcPr>
            <w:tcW w:w="1020" w:type="dxa"/>
            <w:tcBorders>
              <w:top w:val="nil"/>
              <w:left w:val="single" w:sz="4" w:space="0" w:color="auto"/>
              <w:bottom w:val="single" w:sz="4" w:space="0" w:color="auto"/>
              <w:right w:val="single" w:sz="8" w:space="0" w:color="auto"/>
            </w:tcBorders>
            <w:vAlign w:val="bottom"/>
          </w:tcPr>
          <w:p w14:paraId="69492236" w14:textId="32D0F8E7"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11</w:t>
            </w:r>
          </w:p>
        </w:tc>
      </w:tr>
      <w:tr w:rsidR="00B439D2" w:rsidRPr="00831966" w14:paraId="06638A0A" w14:textId="77777777" w:rsidTr="001D6060">
        <w:trPr>
          <w:trHeight w:val="323"/>
          <w:jc w:val="center"/>
        </w:trPr>
        <w:tc>
          <w:tcPr>
            <w:tcW w:w="6340" w:type="dxa"/>
            <w:tcBorders>
              <w:top w:val="nil"/>
              <w:left w:val="single" w:sz="8" w:space="0" w:color="auto"/>
              <w:bottom w:val="single" w:sz="4" w:space="0" w:color="auto"/>
              <w:right w:val="single" w:sz="4" w:space="0" w:color="auto"/>
            </w:tcBorders>
            <w:shd w:val="clear" w:color="auto" w:fill="BFBFBF" w:themeFill="background1" w:themeFillShade="BF"/>
            <w:vAlign w:val="bottom"/>
            <w:hideMark/>
          </w:tcPr>
          <w:p w14:paraId="178950B3" w14:textId="77777777" w:rsidR="00B439D2" w:rsidRPr="004D3EC4" w:rsidRDefault="00B439D2" w:rsidP="007247E6">
            <w:pPr>
              <w:spacing w:line="240" w:lineRule="auto"/>
              <w:rPr>
                <w:rFonts w:ascii="Calibri" w:eastAsia="Times New Roman" w:hAnsi="Calibri" w:cs="Times New Roman"/>
                <w:color w:val="000000"/>
                <w:sz w:val="22"/>
              </w:rPr>
            </w:pPr>
            <w:r w:rsidRPr="004D3EC4">
              <w:rPr>
                <w:rFonts w:ascii="Calibri" w:eastAsia="Times New Roman" w:hAnsi="Calibri" w:cs="Times New Roman"/>
                <w:color w:val="000000"/>
                <w:sz w:val="22"/>
              </w:rPr>
              <w:t>Total Responses</w:t>
            </w:r>
          </w:p>
        </w:tc>
        <w:tc>
          <w:tcPr>
            <w:tcW w:w="1020" w:type="dxa"/>
            <w:tcBorders>
              <w:top w:val="single" w:sz="4" w:space="0" w:color="auto"/>
              <w:left w:val="nil"/>
              <w:bottom w:val="single" w:sz="4" w:space="0" w:color="auto"/>
              <w:right w:val="single" w:sz="8" w:space="0" w:color="auto"/>
            </w:tcBorders>
            <w:shd w:val="clear" w:color="auto" w:fill="BFBFBF" w:themeFill="background1" w:themeFillShade="BF"/>
            <w:noWrap/>
            <w:vAlign w:val="bottom"/>
          </w:tcPr>
          <w:p w14:paraId="09E9A485" w14:textId="1ACA64B4"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504</w:t>
            </w:r>
          </w:p>
        </w:tc>
        <w:tc>
          <w:tcPr>
            <w:tcW w:w="1020" w:type="dxa"/>
            <w:tcBorders>
              <w:top w:val="single" w:sz="4" w:space="0" w:color="auto"/>
              <w:left w:val="nil"/>
              <w:bottom w:val="single" w:sz="4" w:space="0" w:color="auto"/>
              <w:right w:val="single" w:sz="4" w:space="0" w:color="auto"/>
            </w:tcBorders>
            <w:shd w:val="clear" w:color="auto" w:fill="BFBFBF" w:themeFill="background1" w:themeFillShade="BF"/>
            <w:vAlign w:val="bottom"/>
          </w:tcPr>
          <w:p w14:paraId="63592C59" w14:textId="272392FB" w:rsidR="00B439D2" w:rsidRPr="001D6060" w:rsidRDefault="001D6060" w:rsidP="007247E6">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2</w:t>
            </w:r>
          </w:p>
        </w:tc>
        <w:tc>
          <w:tcPr>
            <w:tcW w:w="1020" w:type="dxa"/>
            <w:tcBorders>
              <w:top w:val="single" w:sz="4" w:space="0" w:color="auto"/>
              <w:left w:val="single" w:sz="4" w:space="0" w:color="auto"/>
              <w:bottom w:val="single" w:sz="4" w:space="0" w:color="auto"/>
              <w:right w:val="single" w:sz="8" w:space="0" w:color="auto"/>
            </w:tcBorders>
            <w:shd w:val="clear" w:color="auto" w:fill="BFBFBF" w:themeFill="background1" w:themeFillShade="BF"/>
            <w:vAlign w:val="bottom"/>
          </w:tcPr>
          <w:p w14:paraId="6F074EB6" w14:textId="7A8F844D" w:rsidR="00B439D2" w:rsidRPr="001D6060" w:rsidRDefault="001D6060" w:rsidP="001D6060">
            <w:pPr>
              <w:spacing w:line="240" w:lineRule="auto"/>
              <w:jc w:val="center"/>
              <w:rPr>
                <w:rFonts w:ascii="Calibri" w:eastAsia="Times New Roman" w:hAnsi="Calibri" w:cs="Times New Roman"/>
                <w:color w:val="000000"/>
                <w:sz w:val="22"/>
              </w:rPr>
            </w:pPr>
            <w:r>
              <w:rPr>
                <w:rFonts w:ascii="Calibri" w:eastAsia="Times New Roman" w:hAnsi="Calibri" w:cs="Times New Roman"/>
                <w:color w:val="000000"/>
                <w:sz w:val="22"/>
              </w:rPr>
              <w:t>79</w:t>
            </w:r>
          </w:p>
        </w:tc>
      </w:tr>
    </w:tbl>
    <w:p w14:paraId="5E5E1686" w14:textId="77777777" w:rsidR="006C7673" w:rsidRPr="005A2E3C" w:rsidRDefault="006C7673" w:rsidP="00675370"/>
    <w:p w14:paraId="526F7C85" w14:textId="77777777" w:rsidR="00675370" w:rsidRPr="0029202E" w:rsidRDefault="00675370" w:rsidP="00675370">
      <w:pPr>
        <w:rPr>
          <w:highlight w:val="yellow"/>
        </w:rPr>
      </w:pPr>
    </w:p>
    <w:p w14:paraId="1A08E671" w14:textId="77777777" w:rsidR="00675370" w:rsidRPr="00663F6D" w:rsidRDefault="00675370" w:rsidP="00675370">
      <w:pPr>
        <w:pStyle w:val="Heading2"/>
      </w:pPr>
      <w:bookmarkStart w:id="32" w:name="_Toc369864669"/>
      <w:bookmarkStart w:id="33" w:name="_Toc459080632"/>
      <w:r w:rsidRPr="00663F6D">
        <w:lastRenderedPageBreak/>
        <w:t>Summary of Customer Service Calls</w:t>
      </w:r>
      <w:bookmarkEnd w:id="32"/>
      <w:bookmarkEnd w:id="33"/>
    </w:p>
    <w:p w14:paraId="627D34A5" w14:textId="4DC39154" w:rsidR="00675370" w:rsidRPr="00663F6D" w:rsidRDefault="00675370" w:rsidP="00675370">
      <w:r w:rsidRPr="001F7008">
        <w:t xml:space="preserve">During the </w:t>
      </w:r>
      <w:r w:rsidR="00D63FB6" w:rsidRPr="001F7008">
        <w:t xml:space="preserve">second </w:t>
      </w:r>
      <w:r w:rsidRPr="001F7008">
        <w:t xml:space="preserve">quarter of the </w:t>
      </w:r>
      <w:r w:rsidR="009D260B" w:rsidRPr="001F7008">
        <w:t>s</w:t>
      </w:r>
      <w:r w:rsidR="00337938" w:rsidRPr="001F7008">
        <w:t>eventh</w:t>
      </w:r>
      <w:r w:rsidRPr="001F7008">
        <w:t xml:space="preserve"> contract year, </w:t>
      </w:r>
      <w:r w:rsidR="00D63FB6" w:rsidRPr="001F7008">
        <w:t>April - June</w:t>
      </w:r>
      <w:r w:rsidR="009D260B" w:rsidRPr="001F7008">
        <w:t xml:space="preserve"> 201</w:t>
      </w:r>
      <w:r w:rsidR="00337938" w:rsidRPr="001F7008">
        <w:t>6</w:t>
      </w:r>
      <w:r w:rsidRPr="001F7008">
        <w:t xml:space="preserve">, </w:t>
      </w:r>
      <w:r w:rsidR="001F7008" w:rsidRPr="001F7008">
        <w:t>321</w:t>
      </w:r>
      <w:r w:rsidRPr="001F7008">
        <w:t xml:space="preserve">calls were </w:t>
      </w:r>
      <w:r w:rsidR="009D260B" w:rsidRPr="001F7008">
        <w:t>r</w:t>
      </w:r>
      <w:r w:rsidRPr="001F7008">
        <w:t>ecorded in the Customer Service Log, with an</w:t>
      </w:r>
      <w:r w:rsidRPr="00337938">
        <w:t xml:space="preserve"> average response time of one day for each call.</w:t>
      </w:r>
      <w:r w:rsidRPr="00337938">
        <w:rPr>
          <w:rStyle w:val="FootnoteReference"/>
        </w:rPr>
        <w:footnoteReference w:id="3"/>
      </w:r>
      <w:r w:rsidRPr="00663F6D">
        <w:t xml:space="preserve">  </w:t>
      </w:r>
    </w:p>
    <w:p w14:paraId="2E9F842F" w14:textId="77777777" w:rsidR="00675370" w:rsidRPr="00A754AF" w:rsidRDefault="00675370" w:rsidP="00675370">
      <w:pPr>
        <w:pStyle w:val="Heading2"/>
      </w:pPr>
      <w:bookmarkStart w:id="34" w:name="_Toc369864672"/>
      <w:bookmarkStart w:id="35" w:name="_Toc459080633"/>
      <w:r w:rsidRPr="00A754AF">
        <w:t>Data Availability</w:t>
      </w:r>
      <w:bookmarkEnd w:id="34"/>
      <w:bookmarkEnd w:id="35"/>
    </w:p>
    <w:p w14:paraId="389ED16C" w14:textId="77777777" w:rsidR="00675370" w:rsidRPr="00A754AF" w:rsidRDefault="00675370" w:rsidP="00646181">
      <w:pPr>
        <w:numPr>
          <w:ilvl w:val="0"/>
          <w:numId w:val="3"/>
        </w:numPr>
      </w:pPr>
      <w:r w:rsidRPr="00A754AF">
        <w:t>The Remediation Data Extract continues to be completed and made available to APD on approximately the 7</w:t>
      </w:r>
      <w:r w:rsidRPr="00A754AF">
        <w:rPr>
          <w:vertAlign w:val="superscript"/>
        </w:rPr>
        <w:t>th</w:t>
      </w:r>
      <w:r w:rsidRPr="00A754AF">
        <w:t xml:space="preserve"> of each month.  </w:t>
      </w:r>
    </w:p>
    <w:p w14:paraId="3FD4E79D" w14:textId="77777777" w:rsidR="00675370" w:rsidRPr="00A754AF" w:rsidRDefault="00675370" w:rsidP="00646181">
      <w:pPr>
        <w:numPr>
          <w:ilvl w:val="0"/>
          <w:numId w:val="3"/>
        </w:numPr>
      </w:pPr>
      <w:r w:rsidRPr="00A754AF">
        <w:t xml:space="preserve">Production reports are available for download at any time, available on the private section (required member login) of the FSQAP website. </w:t>
      </w:r>
    </w:p>
    <w:p w14:paraId="65C64188" w14:textId="3C4332D9" w:rsidR="00675370" w:rsidRPr="00A754AF" w:rsidRDefault="00675370" w:rsidP="00646181">
      <w:pPr>
        <w:numPr>
          <w:ilvl w:val="0"/>
          <w:numId w:val="3"/>
        </w:numPr>
      </w:pPr>
      <w:r w:rsidRPr="00A754AF">
        <w:t xml:space="preserve">The Results by Service Real Time Data Report </w:t>
      </w:r>
      <w:r w:rsidR="00FD5F54" w:rsidRPr="00A754AF">
        <w:t>are</w:t>
      </w:r>
      <w:r w:rsidRPr="00A754AF">
        <w:t xml:space="preserve"> available on the private section (required member login) of the site.</w:t>
      </w:r>
      <w:r w:rsidR="009D260B" w:rsidRPr="00A754AF">
        <w:t xml:space="preserve">  </w:t>
      </w:r>
      <w:r w:rsidR="0029202E" w:rsidRPr="00A754AF">
        <w:t xml:space="preserve">  </w:t>
      </w:r>
    </w:p>
    <w:p w14:paraId="27734085" w14:textId="77777777" w:rsidR="00D168DB" w:rsidRDefault="00F83F41" w:rsidP="006F7EAE">
      <w:pPr>
        <w:pStyle w:val="Heading2"/>
      </w:pPr>
      <w:bookmarkStart w:id="36" w:name="_Toc459080634"/>
      <w:r w:rsidRPr="00A754AF">
        <w:t>Staff Changes</w:t>
      </w:r>
      <w:bookmarkEnd w:id="36"/>
      <w:r w:rsidR="006F7EAE">
        <w:t xml:space="preserve"> </w:t>
      </w:r>
    </w:p>
    <w:p w14:paraId="6BE40990" w14:textId="454D7F44" w:rsidR="009E3B4E" w:rsidRPr="002A00FE" w:rsidRDefault="009E3B4E" w:rsidP="009E3B4E">
      <w:r>
        <w:t>All new hires complete all activities on the Quality Assurance Reviewer Orientation and Training Checklist before conducting field reviews.  This quarter we hired one new reviewer in the Northwest Region.</w:t>
      </w:r>
    </w:p>
    <w:p w14:paraId="346749DB" w14:textId="6771757F" w:rsidR="00D63FB6" w:rsidRDefault="009F74B9" w:rsidP="009E3B4E">
      <w:r>
        <w:t xml:space="preserve"> </w:t>
      </w:r>
    </w:p>
    <w:p w14:paraId="06B56574" w14:textId="77777777" w:rsidR="00D63FB6" w:rsidRDefault="00D63FB6">
      <w:pPr>
        <w:spacing w:line="240" w:lineRule="auto"/>
      </w:pPr>
      <w:r>
        <w:br w:type="page"/>
      </w:r>
    </w:p>
    <w:p w14:paraId="3E94A457" w14:textId="77777777" w:rsidR="00675370" w:rsidRDefault="00675370" w:rsidP="00675370"/>
    <w:p w14:paraId="4356FC85" w14:textId="77777777" w:rsidR="007C1358" w:rsidRPr="00F83F41" w:rsidRDefault="007C1358" w:rsidP="00F83F41">
      <w:pPr>
        <w:pStyle w:val="Heading1"/>
      </w:pPr>
      <w:bookmarkStart w:id="37" w:name="_Toc369864673"/>
      <w:bookmarkStart w:id="38" w:name="_Toc459080635"/>
      <w:r w:rsidRPr="00F83F41">
        <w:t>Section II:  Data from Review Activities</w:t>
      </w:r>
      <w:bookmarkEnd w:id="37"/>
      <w:bookmarkEnd w:id="38"/>
    </w:p>
    <w:p w14:paraId="7B2245CE" w14:textId="77777777" w:rsidR="007C1358" w:rsidRPr="00F83F41" w:rsidRDefault="007C1358" w:rsidP="00F83F41">
      <w:pPr>
        <w:pStyle w:val="Heading2"/>
      </w:pPr>
      <w:bookmarkStart w:id="39" w:name="_Toc369864674"/>
      <w:bookmarkStart w:id="40" w:name="_Toc459080636"/>
      <w:r w:rsidRPr="00F83F41">
        <w:t>Person Centered Reviews (PCR)</w:t>
      </w:r>
      <w:r w:rsidRPr="00F83F41">
        <w:rPr>
          <w:rStyle w:val="FootnoteReference"/>
        </w:rPr>
        <w:footnoteReference w:id="4"/>
      </w:r>
      <w:bookmarkEnd w:id="39"/>
      <w:bookmarkEnd w:id="40"/>
    </w:p>
    <w:p w14:paraId="23B2AA8D" w14:textId="2A82A776" w:rsidR="00230AE1" w:rsidRDefault="00230AE1" w:rsidP="007C1358">
      <w:r w:rsidRPr="0012171B">
        <w:t>The PCR includes an interview with the person, an interview</w:t>
      </w:r>
      <w:r>
        <w:t xml:space="preserve"> with the support coordinator and a review of the person’s record maintained by the support coordinator. Four key areas are measured within each PCR process:  Person Centered Supports (PCS), Community Involvement (CI), Health and Safety. </w:t>
      </w:r>
      <w:r w:rsidR="00FD5F54" w:rsidRPr="0012171B">
        <w:t xml:space="preserve">The </w:t>
      </w:r>
      <w:r w:rsidR="007504AD" w:rsidRPr="0012171B">
        <w:t xml:space="preserve">new </w:t>
      </w:r>
      <w:r w:rsidR="00FD5F54" w:rsidRPr="0012171B">
        <w:t xml:space="preserve">tools and processes </w:t>
      </w:r>
      <w:r w:rsidR="0012171B">
        <w:t xml:space="preserve">implemented in </w:t>
      </w:r>
      <w:r w:rsidR="00CA72D3">
        <w:t xml:space="preserve">January </w:t>
      </w:r>
      <w:r w:rsidR="0012171B">
        <w:t xml:space="preserve">2015 </w:t>
      </w:r>
      <w:r w:rsidR="00FD5F54" w:rsidRPr="0012171B">
        <w:t xml:space="preserve">for the PCR were </w:t>
      </w:r>
      <w:r w:rsidR="007504AD" w:rsidRPr="0012171B">
        <w:t>initially designed to have</w:t>
      </w:r>
      <w:r w:rsidR="00FD5F54" w:rsidRPr="0012171B">
        <w:t xml:space="preserve"> a focus on how well the support coordinator uses person centered practices to support the person to achieve outcomes</w:t>
      </w:r>
      <w:r w:rsidR="0026297D" w:rsidRPr="0012171B">
        <w:t>,</w:t>
      </w:r>
      <w:r w:rsidR="00FD5F54" w:rsidRPr="0012171B">
        <w:t xml:space="preserve"> as desired.  </w:t>
      </w:r>
      <w:r w:rsidR="007504AD" w:rsidRPr="0012171B">
        <w:t>However, during the third quarter</w:t>
      </w:r>
      <w:r w:rsidR="00903012">
        <w:t xml:space="preserve"> of 2015</w:t>
      </w:r>
      <w:r w:rsidR="007504AD" w:rsidRPr="0012171B">
        <w:t xml:space="preserve">, the focus of the individual interview was changed to include the person’s perspective on how well </w:t>
      </w:r>
      <w:r w:rsidR="007504AD" w:rsidRPr="0012171B">
        <w:rPr>
          <w:b/>
        </w:rPr>
        <w:t>all</w:t>
      </w:r>
      <w:r w:rsidR="007504AD" w:rsidRPr="0012171B">
        <w:t xml:space="preserve"> services are provided and the total quality of life for the person.  </w:t>
      </w:r>
    </w:p>
    <w:p w14:paraId="33F311CD" w14:textId="77777777" w:rsidR="00016AD0" w:rsidRDefault="00016AD0" w:rsidP="007C1358"/>
    <w:p w14:paraId="6CDCDD01" w14:textId="4E3F262E" w:rsidR="007C1358" w:rsidRDefault="007C1358" w:rsidP="007C1358">
      <w:pPr>
        <w:rPr>
          <w:b/>
        </w:rPr>
      </w:pPr>
      <w:r w:rsidRPr="00D86A25">
        <w:t xml:space="preserve">Information in Table 2 provides the number of PCRs completed by APD Region </w:t>
      </w:r>
      <w:r w:rsidR="00F14C4E">
        <w:t xml:space="preserve">between January and </w:t>
      </w:r>
      <w:r w:rsidR="00386767">
        <w:t>June</w:t>
      </w:r>
      <w:r w:rsidR="00F14C4E">
        <w:t xml:space="preserve"> 2016</w:t>
      </w:r>
      <w:r w:rsidRPr="00D86A25">
        <w:t xml:space="preserve">, including the number of CDC+ </w:t>
      </w:r>
      <w:r w:rsidR="0026297D" w:rsidRPr="00F14C4E">
        <w:t>participants</w:t>
      </w:r>
      <w:r w:rsidRPr="00F14C4E">
        <w:t xml:space="preserve"> (</w:t>
      </w:r>
      <w:r w:rsidR="00386767">
        <w:t>151</w:t>
      </w:r>
      <w:r w:rsidRPr="00F14C4E">
        <w:t>), the</w:t>
      </w:r>
      <w:r w:rsidRPr="00D86A25">
        <w:t xml:space="preserve"> number of waiver participants (</w:t>
      </w:r>
      <w:r w:rsidR="00386767">
        <w:t>632</w:t>
      </w:r>
      <w:r w:rsidRPr="00D86A25">
        <w:t>),</w:t>
      </w:r>
      <w:r w:rsidRPr="00ED5DCF">
        <w:t xml:space="preserve"> and the total number of individuals who declined.  The time period for decli</w:t>
      </w:r>
      <w:r w:rsidR="00D86A25">
        <w:t xml:space="preserve">nes is based upon the projected time </w:t>
      </w:r>
      <w:r w:rsidRPr="00ED5DCF">
        <w:t xml:space="preserve">period </w:t>
      </w:r>
      <w:r w:rsidR="00F14C4E">
        <w:t>for the</w:t>
      </w:r>
      <w:r w:rsidRPr="00ED5DCF">
        <w:t xml:space="preserve"> review</w:t>
      </w:r>
      <w:r w:rsidRPr="00EB28B2">
        <w:t>.</w:t>
      </w:r>
      <w:r>
        <w:t xml:space="preserve">  The decline rate </w:t>
      </w:r>
      <w:r w:rsidR="00386767">
        <w:t>was</w:t>
      </w:r>
      <w:r>
        <w:t xml:space="preserve"> </w:t>
      </w:r>
      <w:r w:rsidR="00386767">
        <w:t xml:space="preserve">approximately </w:t>
      </w:r>
      <w:r w:rsidR="00F14C4E">
        <w:t>19</w:t>
      </w:r>
      <w:r>
        <w:t xml:space="preserve"> percent for waiver participants and </w:t>
      </w:r>
      <w:r w:rsidR="00F14C4E">
        <w:t>1</w:t>
      </w:r>
      <w:r w:rsidR="00386767">
        <w:t>2</w:t>
      </w:r>
      <w:r>
        <w:t xml:space="preserve"> percent for CDC+.  </w:t>
      </w:r>
      <w:r w:rsidR="00D86A25">
        <w:rPr>
          <w:b/>
        </w:rPr>
        <w:t xml:space="preserve"> </w:t>
      </w:r>
    </w:p>
    <w:p w14:paraId="541B86BD" w14:textId="77777777" w:rsidR="00C74927" w:rsidRDefault="00C74927" w:rsidP="007C1358">
      <w:pPr>
        <w:rPr>
          <w:b/>
        </w:rPr>
      </w:pPr>
    </w:p>
    <w:p w14:paraId="7017623A" w14:textId="77777777" w:rsidR="007C1358" w:rsidRDefault="007C1358" w:rsidP="007C1358"/>
    <w:tbl>
      <w:tblPr>
        <w:tblW w:w="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3"/>
        <w:gridCol w:w="960"/>
        <w:gridCol w:w="1184"/>
        <w:gridCol w:w="912"/>
        <w:gridCol w:w="1187"/>
      </w:tblGrid>
      <w:tr w:rsidR="007C1358" w:rsidRPr="00D11987" w14:paraId="0AD57222" w14:textId="77777777" w:rsidTr="00F6367D">
        <w:trPr>
          <w:trHeight w:val="315"/>
          <w:jc w:val="center"/>
        </w:trPr>
        <w:tc>
          <w:tcPr>
            <w:tcW w:w="5353" w:type="dxa"/>
            <w:gridSpan w:val="5"/>
            <w:tcBorders>
              <w:left w:val="double" w:sz="4" w:space="0" w:color="auto"/>
              <w:bottom w:val="single" w:sz="4" w:space="0" w:color="auto"/>
              <w:right w:val="double" w:sz="4" w:space="0" w:color="auto"/>
            </w:tcBorders>
            <w:shd w:val="clear" w:color="000000" w:fill="5F497A" w:themeFill="accent4" w:themeFillShade="BF"/>
            <w:noWrap/>
            <w:vAlign w:val="bottom"/>
            <w:hideMark/>
          </w:tcPr>
          <w:p w14:paraId="4C203671" w14:textId="77777777" w:rsidR="007C1358" w:rsidRPr="00D11987" w:rsidRDefault="007C1358" w:rsidP="00057426">
            <w:pPr>
              <w:spacing w:line="240" w:lineRule="auto"/>
              <w:jc w:val="center"/>
              <w:rPr>
                <w:rFonts w:ascii="Franklin Gothic Medium" w:eastAsia="Times New Roman" w:hAnsi="Franklin Gothic Medium" w:cs="Times New Roman"/>
                <w:color w:val="FFFFFF"/>
              </w:rPr>
            </w:pPr>
            <w:r w:rsidRPr="00D11987">
              <w:rPr>
                <w:rFonts w:ascii="Franklin Gothic Medium" w:eastAsia="Times New Roman" w:hAnsi="Franklin Gothic Medium" w:cs="Times New Roman"/>
                <w:color w:val="FFFFFF"/>
              </w:rPr>
              <w:t>Table 2:  Person Centered Review Activity</w:t>
            </w:r>
          </w:p>
        </w:tc>
      </w:tr>
      <w:tr w:rsidR="007C1358" w:rsidRPr="00D11987" w14:paraId="39B6B57D" w14:textId="77777777" w:rsidTr="00F6367D">
        <w:trPr>
          <w:trHeight w:val="315"/>
          <w:jc w:val="center"/>
        </w:trPr>
        <w:tc>
          <w:tcPr>
            <w:tcW w:w="5353" w:type="dxa"/>
            <w:gridSpan w:val="5"/>
            <w:tcBorders>
              <w:left w:val="double" w:sz="4" w:space="0" w:color="auto"/>
              <w:bottom w:val="single" w:sz="4" w:space="0" w:color="auto"/>
              <w:right w:val="double" w:sz="4" w:space="0" w:color="auto"/>
            </w:tcBorders>
            <w:shd w:val="clear" w:color="000000" w:fill="5F497A" w:themeFill="accent4" w:themeFillShade="BF"/>
            <w:noWrap/>
            <w:vAlign w:val="bottom"/>
            <w:hideMark/>
          </w:tcPr>
          <w:p w14:paraId="3988371A" w14:textId="6E1726C0" w:rsidR="007C1358" w:rsidRPr="00D11987" w:rsidRDefault="007C1358" w:rsidP="00782F78">
            <w:pPr>
              <w:spacing w:line="240" w:lineRule="auto"/>
              <w:jc w:val="center"/>
              <w:rPr>
                <w:rFonts w:ascii="Franklin Gothic Medium" w:eastAsia="Times New Roman" w:hAnsi="Franklin Gothic Medium" w:cs="Times New Roman"/>
                <w:color w:val="FFFFFF"/>
              </w:rPr>
            </w:pPr>
            <w:r w:rsidRPr="00D11987">
              <w:rPr>
                <w:rFonts w:ascii="Franklin Gothic Medium" w:eastAsia="Times New Roman" w:hAnsi="Franklin Gothic Medium" w:cs="Times New Roman"/>
                <w:color w:val="FFFFFF"/>
              </w:rPr>
              <w:t xml:space="preserve">January </w:t>
            </w:r>
            <w:r w:rsidR="001C58B4">
              <w:rPr>
                <w:rFonts w:ascii="Franklin Gothic Medium" w:eastAsia="Times New Roman" w:hAnsi="Franklin Gothic Medium" w:cs="Times New Roman"/>
                <w:color w:val="FFFFFF"/>
              </w:rPr>
              <w:t>–</w:t>
            </w:r>
            <w:r w:rsidRPr="00D11987">
              <w:rPr>
                <w:rFonts w:ascii="Franklin Gothic Medium" w:eastAsia="Times New Roman" w:hAnsi="Franklin Gothic Medium" w:cs="Times New Roman"/>
                <w:color w:val="FFFFFF"/>
              </w:rPr>
              <w:t xml:space="preserve"> </w:t>
            </w:r>
            <w:r w:rsidR="00782F78">
              <w:rPr>
                <w:rFonts w:ascii="Franklin Gothic Medium" w:eastAsia="Times New Roman" w:hAnsi="Franklin Gothic Medium" w:cs="Times New Roman"/>
                <w:color w:val="FFFFFF"/>
              </w:rPr>
              <w:t>June</w:t>
            </w:r>
            <w:r w:rsidR="00F14C4E">
              <w:rPr>
                <w:rFonts w:ascii="Franklin Gothic Medium" w:eastAsia="Times New Roman" w:hAnsi="Franklin Gothic Medium" w:cs="Times New Roman"/>
                <w:color w:val="FFFFFF"/>
              </w:rPr>
              <w:t xml:space="preserve"> 2016</w:t>
            </w:r>
          </w:p>
        </w:tc>
      </w:tr>
      <w:tr w:rsidR="007C1358" w:rsidRPr="00D11987" w14:paraId="60DFEBAE" w14:textId="77777777" w:rsidTr="00F6367D">
        <w:trPr>
          <w:trHeight w:val="315"/>
          <w:jc w:val="center"/>
        </w:trPr>
        <w:tc>
          <w:tcPr>
            <w:tcW w:w="1253" w:type="dxa"/>
            <w:tcBorders>
              <w:left w:val="double" w:sz="4" w:space="0" w:color="auto"/>
              <w:bottom w:val="single" w:sz="4" w:space="0" w:color="auto"/>
              <w:right w:val="nil"/>
            </w:tcBorders>
            <w:shd w:val="clear" w:color="000000" w:fill="5F497A" w:themeFill="accent4" w:themeFillShade="BF"/>
            <w:noWrap/>
            <w:vAlign w:val="bottom"/>
            <w:hideMark/>
          </w:tcPr>
          <w:p w14:paraId="315D5C78" w14:textId="77777777" w:rsidR="007C1358" w:rsidRPr="00337834" w:rsidRDefault="007C1358" w:rsidP="00057426">
            <w:pPr>
              <w:spacing w:line="240" w:lineRule="auto"/>
              <w:jc w:val="center"/>
              <w:rPr>
                <w:rFonts w:ascii="Franklin Gothic Medium" w:eastAsia="Times New Roman" w:hAnsi="Franklin Gothic Medium" w:cs="Times New Roman"/>
                <w:color w:val="FFFFFF"/>
              </w:rPr>
            </w:pPr>
            <w:r w:rsidRPr="00337834">
              <w:rPr>
                <w:rFonts w:ascii="Franklin Gothic Medium" w:eastAsia="Times New Roman" w:hAnsi="Franklin Gothic Medium" w:cs="Times New Roman"/>
                <w:color w:val="FFFFFF"/>
              </w:rPr>
              <w:t> </w:t>
            </w:r>
          </w:p>
        </w:tc>
        <w:tc>
          <w:tcPr>
            <w:tcW w:w="2144" w:type="dxa"/>
            <w:gridSpan w:val="2"/>
            <w:tcBorders>
              <w:left w:val="nil"/>
              <w:bottom w:val="single" w:sz="4" w:space="0" w:color="auto"/>
              <w:right w:val="nil"/>
            </w:tcBorders>
            <w:shd w:val="clear" w:color="000000" w:fill="5F497A" w:themeFill="accent4" w:themeFillShade="BF"/>
            <w:noWrap/>
            <w:vAlign w:val="bottom"/>
            <w:hideMark/>
          </w:tcPr>
          <w:p w14:paraId="07AB1C5E" w14:textId="77777777" w:rsidR="00054527" w:rsidRPr="00337834" w:rsidRDefault="007C1358" w:rsidP="00057426">
            <w:pPr>
              <w:spacing w:line="240" w:lineRule="auto"/>
              <w:jc w:val="center"/>
              <w:rPr>
                <w:rFonts w:ascii="Franklin Gothic Medium" w:eastAsia="Times New Roman" w:hAnsi="Franklin Gothic Medium" w:cs="Times New Roman"/>
                <w:color w:val="FFFFFF" w:themeColor="background1"/>
              </w:rPr>
            </w:pPr>
            <w:r w:rsidRPr="00337834">
              <w:rPr>
                <w:rFonts w:ascii="Franklin Gothic Medium" w:eastAsia="Times New Roman" w:hAnsi="Franklin Gothic Medium" w:cs="Times New Roman"/>
                <w:color w:val="FFFFFF" w:themeColor="background1"/>
              </w:rPr>
              <w:t xml:space="preserve">Number of </w:t>
            </w:r>
          </w:p>
          <w:p w14:paraId="65B13C30" w14:textId="4A6BF3E7" w:rsidR="007C1358" w:rsidRPr="00337834" w:rsidRDefault="007C1358" w:rsidP="00057426">
            <w:pPr>
              <w:spacing w:line="240" w:lineRule="auto"/>
              <w:jc w:val="center"/>
              <w:rPr>
                <w:rFonts w:ascii="Franklin Gothic Medium" w:eastAsia="Times New Roman" w:hAnsi="Franklin Gothic Medium" w:cs="Times New Roman"/>
                <w:color w:val="FFFFFF" w:themeColor="background1"/>
              </w:rPr>
            </w:pPr>
            <w:r w:rsidRPr="00337834">
              <w:rPr>
                <w:rFonts w:ascii="Franklin Gothic Medium" w:eastAsia="Times New Roman" w:hAnsi="Franklin Gothic Medium" w:cs="Times New Roman"/>
                <w:color w:val="FFFFFF" w:themeColor="background1"/>
              </w:rPr>
              <w:t>PCRs</w:t>
            </w:r>
          </w:p>
        </w:tc>
        <w:tc>
          <w:tcPr>
            <w:tcW w:w="1956" w:type="dxa"/>
            <w:gridSpan w:val="2"/>
            <w:tcBorders>
              <w:left w:val="nil"/>
              <w:bottom w:val="single" w:sz="4" w:space="0" w:color="auto"/>
              <w:right w:val="double" w:sz="4" w:space="0" w:color="auto"/>
            </w:tcBorders>
            <w:shd w:val="clear" w:color="000000" w:fill="5F497A" w:themeFill="accent4" w:themeFillShade="BF"/>
            <w:noWrap/>
            <w:vAlign w:val="bottom"/>
            <w:hideMark/>
          </w:tcPr>
          <w:p w14:paraId="5B5EDA0C" w14:textId="77777777" w:rsidR="007C1358" w:rsidRPr="00337834" w:rsidRDefault="007C1358" w:rsidP="00057426">
            <w:pPr>
              <w:spacing w:line="240" w:lineRule="auto"/>
              <w:jc w:val="center"/>
              <w:rPr>
                <w:rFonts w:ascii="Franklin Gothic Medium" w:eastAsia="Times New Roman" w:hAnsi="Franklin Gothic Medium" w:cs="Times New Roman"/>
                <w:color w:val="FFFFFF" w:themeColor="background1"/>
              </w:rPr>
            </w:pPr>
            <w:r w:rsidRPr="00337834">
              <w:rPr>
                <w:rFonts w:ascii="Franklin Gothic Medium" w:eastAsia="Times New Roman" w:hAnsi="Franklin Gothic Medium" w:cs="Times New Roman"/>
                <w:color w:val="FFFFFF" w:themeColor="background1"/>
              </w:rPr>
              <w:t>Number of Declines</w:t>
            </w:r>
          </w:p>
        </w:tc>
      </w:tr>
      <w:tr w:rsidR="007C1358" w:rsidRPr="00D11987" w14:paraId="78EABD62" w14:textId="77777777" w:rsidTr="00F6367D">
        <w:trPr>
          <w:trHeight w:val="315"/>
          <w:jc w:val="center"/>
        </w:trPr>
        <w:tc>
          <w:tcPr>
            <w:tcW w:w="1253" w:type="dxa"/>
            <w:tcBorders>
              <w:left w:val="double" w:sz="4" w:space="0" w:color="auto"/>
              <w:bottom w:val="double" w:sz="4" w:space="0" w:color="auto"/>
              <w:right w:val="nil"/>
            </w:tcBorders>
            <w:shd w:val="clear" w:color="000000" w:fill="F2DBDB" w:themeFill="accent2" w:themeFillTint="33"/>
            <w:vAlign w:val="bottom"/>
            <w:hideMark/>
          </w:tcPr>
          <w:p w14:paraId="09614C94" w14:textId="4168AD99" w:rsidR="007C1358" w:rsidRPr="00D11987" w:rsidRDefault="007C1358" w:rsidP="00057426">
            <w:pPr>
              <w:spacing w:line="240" w:lineRule="auto"/>
              <w:jc w:val="center"/>
              <w:rPr>
                <w:rFonts w:ascii="Calibri" w:eastAsia="Times New Roman" w:hAnsi="Calibri" w:cs="Times New Roman"/>
                <w:color w:val="000000"/>
              </w:rPr>
            </w:pPr>
            <w:r w:rsidRPr="00D11987">
              <w:rPr>
                <w:rFonts w:ascii="Calibri" w:eastAsia="Times New Roman" w:hAnsi="Calibri" w:cs="Times New Roman"/>
                <w:color w:val="000000"/>
              </w:rPr>
              <w:t>Region</w:t>
            </w:r>
          </w:p>
        </w:tc>
        <w:tc>
          <w:tcPr>
            <w:tcW w:w="960" w:type="dxa"/>
            <w:tcBorders>
              <w:left w:val="nil"/>
              <w:bottom w:val="double" w:sz="4" w:space="0" w:color="auto"/>
              <w:right w:val="nil"/>
            </w:tcBorders>
            <w:shd w:val="clear" w:color="000000" w:fill="F2DBDB" w:themeFill="accent2" w:themeFillTint="33"/>
            <w:vAlign w:val="bottom"/>
            <w:hideMark/>
          </w:tcPr>
          <w:p w14:paraId="74C37F7C" w14:textId="77777777" w:rsidR="007C1358" w:rsidRPr="00D11987" w:rsidRDefault="007C1358" w:rsidP="00057426">
            <w:pPr>
              <w:spacing w:line="240" w:lineRule="auto"/>
              <w:jc w:val="center"/>
              <w:rPr>
                <w:rFonts w:ascii="Calibri" w:eastAsia="Times New Roman" w:hAnsi="Calibri" w:cs="Times New Roman"/>
                <w:color w:val="000000"/>
              </w:rPr>
            </w:pPr>
            <w:r w:rsidRPr="00D11987">
              <w:rPr>
                <w:rFonts w:ascii="Calibri" w:eastAsia="Times New Roman" w:hAnsi="Calibri" w:cs="Times New Roman"/>
                <w:color w:val="000000"/>
              </w:rPr>
              <w:t>Waiver</w:t>
            </w:r>
          </w:p>
        </w:tc>
        <w:tc>
          <w:tcPr>
            <w:tcW w:w="1184" w:type="dxa"/>
            <w:tcBorders>
              <w:left w:val="nil"/>
              <w:bottom w:val="double" w:sz="4" w:space="0" w:color="auto"/>
              <w:right w:val="nil"/>
            </w:tcBorders>
            <w:shd w:val="clear" w:color="000000" w:fill="F2DBDB" w:themeFill="accent2" w:themeFillTint="33"/>
            <w:vAlign w:val="bottom"/>
            <w:hideMark/>
          </w:tcPr>
          <w:p w14:paraId="0AFEC152" w14:textId="77777777" w:rsidR="007C1358" w:rsidRPr="00D11987" w:rsidRDefault="007C1358" w:rsidP="00057426">
            <w:pPr>
              <w:spacing w:line="240" w:lineRule="auto"/>
              <w:jc w:val="center"/>
              <w:rPr>
                <w:rFonts w:ascii="Calibri" w:eastAsia="Times New Roman" w:hAnsi="Calibri" w:cs="Times New Roman"/>
                <w:color w:val="000000"/>
              </w:rPr>
            </w:pPr>
            <w:r w:rsidRPr="00D11987">
              <w:rPr>
                <w:rFonts w:ascii="Calibri" w:eastAsia="Times New Roman" w:hAnsi="Calibri" w:cs="Times New Roman"/>
                <w:color w:val="000000"/>
              </w:rPr>
              <w:t>CDC+</w:t>
            </w:r>
          </w:p>
        </w:tc>
        <w:tc>
          <w:tcPr>
            <w:tcW w:w="769" w:type="dxa"/>
            <w:tcBorders>
              <w:left w:val="nil"/>
              <w:bottom w:val="double" w:sz="4" w:space="0" w:color="auto"/>
              <w:right w:val="nil"/>
            </w:tcBorders>
            <w:shd w:val="clear" w:color="000000" w:fill="F2DBDB" w:themeFill="accent2" w:themeFillTint="33"/>
            <w:vAlign w:val="bottom"/>
            <w:hideMark/>
          </w:tcPr>
          <w:p w14:paraId="6A4B1145" w14:textId="3EFD6D0B" w:rsidR="007C1358" w:rsidRPr="00D11987" w:rsidRDefault="007C1358" w:rsidP="009722C9">
            <w:pPr>
              <w:spacing w:line="240" w:lineRule="auto"/>
              <w:jc w:val="center"/>
              <w:rPr>
                <w:rFonts w:ascii="Calibri" w:eastAsia="Times New Roman" w:hAnsi="Calibri" w:cs="Times New Roman"/>
                <w:color w:val="000000"/>
              </w:rPr>
            </w:pPr>
            <w:r w:rsidRPr="00D11987">
              <w:rPr>
                <w:rFonts w:ascii="Calibri" w:eastAsia="Times New Roman" w:hAnsi="Calibri" w:cs="Times New Roman"/>
                <w:color w:val="000000"/>
              </w:rPr>
              <w:t>Waiver</w:t>
            </w:r>
          </w:p>
        </w:tc>
        <w:tc>
          <w:tcPr>
            <w:tcW w:w="1187" w:type="dxa"/>
            <w:tcBorders>
              <w:left w:val="nil"/>
              <w:bottom w:val="double" w:sz="4" w:space="0" w:color="auto"/>
              <w:right w:val="double" w:sz="4" w:space="0" w:color="auto"/>
            </w:tcBorders>
            <w:shd w:val="clear" w:color="000000" w:fill="F2DBDB" w:themeFill="accent2" w:themeFillTint="33"/>
            <w:vAlign w:val="bottom"/>
            <w:hideMark/>
          </w:tcPr>
          <w:p w14:paraId="5CE283E5" w14:textId="77777777" w:rsidR="007C1358" w:rsidRPr="00D11987" w:rsidRDefault="007C1358" w:rsidP="00057426">
            <w:pPr>
              <w:spacing w:line="240" w:lineRule="auto"/>
              <w:jc w:val="center"/>
              <w:rPr>
                <w:rFonts w:ascii="Calibri" w:eastAsia="Times New Roman" w:hAnsi="Calibri" w:cs="Times New Roman"/>
                <w:color w:val="000000"/>
              </w:rPr>
            </w:pPr>
            <w:r w:rsidRPr="00D11987">
              <w:rPr>
                <w:rFonts w:ascii="Calibri" w:eastAsia="Times New Roman" w:hAnsi="Calibri" w:cs="Times New Roman"/>
                <w:color w:val="000000"/>
              </w:rPr>
              <w:t>CDC+</w:t>
            </w:r>
          </w:p>
        </w:tc>
      </w:tr>
      <w:tr w:rsidR="00386767" w:rsidRPr="00D11987" w14:paraId="1787F174" w14:textId="77777777" w:rsidTr="00F6367D">
        <w:trPr>
          <w:trHeight w:val="315"/>
          <w:jc w:val="center"/>
        </w:trPr>
        <w:tc>
          <w:tcPr>
            <w:tcW w:w="1253" w:type="dxa"/>
            <w:tcBorders>
              <w:top w:val="double" w:sz="4" w:space="0" w:color="auto"/>
              <w:left w:val="double" w:sz="4" w:space="0" w:color="auto"/>
              <w:bottom w:val="single" w:sz="4" w:space="0" w:color="auto"/>
              <w:right w:val="nil"/>
            </w:tcBorders>
            <w:shd w:val="clear" w:color="auto" w:fill="auto"/>
            <w:noWrap/>
            <w:vAlign w:val="bottom"/>
            <w:hideMark/>
          </w:tcPr>
          <w:p w14:paraId="60704698" w14:textId="77777777" w:rsidR="00386767" w:rsidRPr="00386767" w:rsidRDefault="00386767" w:rsidP="00057426">
            <w:pPr>
              <w:spacing w:line="240" w:lineRule="auto"/>
              <w:jc w:val="center"/>
              <w:rPr>
                <w:rFonts w:asciiTheme="minorHAnsi" w:eastAsia="Times New Roman" w:hAnsiTheme="minorHAnsi" w:cs="Times New Roman"/>
                <w:color w:val="000000"/>
                <w:sz w:val="20"/>
                <w:szCs w:val="20"/>
              </w:rPr>
            </w:pPr>
            <w:r w:rsidRPr="00386767">
              <w:rPr>
                <w:rFonts w:asciiTheme="minorHAnsi" w:eastAsia="Times New Roman" w:hAnsiTheme="minorHAnsi" w:cs="Times New Roman"/>
                <w:color w:val="000000"/>
                <w:sz w:val="20"/>
                <w:szCs w:val="20"/>
              </w:rPr>
              <w:t>Northwest</w:t>
            </w:r>
          </w:p>
        </w:tc>
        <w:tc>
          <w:tcPr>
            <w:tcW w:w="960" w:type="dxa"/>
            <w:tcBorders>
              <w:top w:val="double" w:sz="4" w:space="0" w:color="auto"/>
              <w:left w:val="nil"/>
              <w:bottom w:val="single" w:sz="4" w:space="0" w:color="auto"/>
              <w:right w:val="nil"/>
            </w:tcBorders>
            <w:shd w:val="clear" w:color="auto" w:fill="auto"/>
            <w:noWrap/>
            <w:vAlign w:val="bottom"/>
          </w:tcPr>
          <w:p w14:paraId="4E5127EF" w14:textId="58040E4A"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56</w:t>
            </w:r>
          </w:p>
        </w:tc>
        <w:tc>
          <w:tcPr>
            <w:tcW w:w="1184" w:type="dxa"/>
            <w:tcBorders>
              <w:top w:val="double" w:sz="4" w:space="0" w:color="auto"/>
              <w:left w:val="nil"/>
              <w:bottom w:val="single" w:sz="4" w:space="0" w:color="auto"/>
              <w:right w:val="nil"/>
            </w:tcBorders>
            <w:shd w:val="clear" w:color="auto" w:fill="auto"/>
            <w:noWrap/>
            <w:vAlign w:val="bottom"/>
          </w:tcPr>
          <w:p w14:paraId="1A75D930" w14:textId="2EA510EA"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21</w:t>
            </w:r>
          </w:p>
        </w:tc>
        <w:tc>
          <w:tcPr>
            <w:tcW w:w="769" w:type="dxa"/>
            <w:tcBorders>
              <w:top w:val="double" w:sz="4" w:space="0" w:color="auto"/>
              <w:left w:val="nil"/>
              <w:bottom w:val="single" w:sz="4" w:space="0" w:color="auto"/>
              <w:right w:val="nil"/>
            </w:tcBorders>
            <w:shd w:val="clear" w:color="auto" w:fill="auto"/>
            <w:noWrap/>
            <w:vAlign w:val="bottom"/>
          </w:tcPr>
          <w:p w14:paraId="3619C65A" w14:textId="0D86A74B"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10</w:t>
            </w:r>
          </w:p>
        </w:tc>
        <w:tc>
          <w:tcPr>
            <w:tcW w:w="1187" w:type="dxa"/>
            <w:tcBorders>
              <w:top w:val="double" w:sz="4" w:space="0" w:color="auto"/>
              <w:left w:val="nil"/>
              <w:bottom w:val="single" w:sz="4" w:space="0" w:color="auto"/>
              <w:right w:val="double" w:sz="4" w:space="0" w:color="auto"/>
            </w:tcBorders>
            <w:shd w:val="clear" w:color="auto" w:fill="auto"/>
            <w:noWrap/>
            <w:vAlign w:val="bottom"/>
          </w:tcPr>
          <w:p w14:paraId="15DB4237" w14:textId="01CCAA43"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3</w:t>
            </w:r>
          </w:p>
        </w:tc>
      </w:tr>
      <w:tr w:rsidR="00386767" w:rsidRPr="00D11987" w14:paraId="6DAD2307" w14:textId="77777777" w:rsidTr="00F6367D">
        <w:trPr>
          <w:trHeight w:val="300"/>
          <w:jc w:val="center"/>
        </w:trPr>
        <w:tc>
          <w:tcPr>
            <w:tcW w:w="1253" w:type="dxa"/>
            <w:tcBorders>
              <w:left w:val="double" w:sz="4" w:space="0" w:color="auto"/>
              <w:right w:val="nil"/>
            </w:tcBorders>
            <w:shd w:val="clear" w:color="auto" w:fill="F2DBDB" w:themeFill="accent2" w:themeFillTint="33"/>
            <w:noWrap/>
            <w:vAlign w:val="bottom"/>
            <w:hideMark/>
          </w:tcPr>
          <w:p w14:paraId="5546AED4" w14:textId="77777777" w:rsidR="00386767" w:rsidRPr="00386767" w:rsidRDefault="00386767" w:rsidP="00057426">
            <w:pPr>
              <w:spacing w:line="240" w:lineRule="auto"/>
              <w:jc w:val="center"/>
              <w:rPr>
                <w:rFonts w:asciiTheme="minorHAnsi" w:eastAsia="Times New Roman" w:hAnsiTheme="minorHAnsi" w:cs="Times New Roman"/>
                <w:color w:val="000000"/>
                <w:sz w:val="20"/>
                <w:szCs w:val="20"/>
              </w:rPr>
            </w:pPr>
            <w:r w:rsidRPr="00386767">
              <w:rPr>
                <w:rFonts w:asciiTheme="minorHAnsi" w:eastAsia="Times New Roman" w:hAnsiTheme="minorHAnsi" w:cs="Times New Roman"/>
                <w:color w:val="000000"/>
                <w:sz w:val="20"/>
                <w:szCs w:val="20"/>
              </w:rPr>
              <w:t>Northeast</w:t>
            </w:r>
          </w:p>
        </w:tc>
        <w:tc>
          <w:tcPr>
            <w:tcW w:w="960" w:type="dxa"/>
            <w:tcBorders>
              <w:left w:val="nil"/>
              <w:right w:val="nil"/>
            </w:tcBorders>
            <w:shd w:val="clear" w:color="auto" w:fill="F2DBDB" w:themeFill="accent2" w:themeFillTint="33"/>
            <w:noWrap/>
            <w:vAlign w:val="bottom"/>
          </w:tcPr>
          <w:p w14:paraId="13ADE3FE" w14:textId="23AC80CB"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113</w:t>
            </w:r>
          </w:p>
        </w:tc>
        <w:tc>
          <w:tcPr>
            <w:tcW w:w="1184" w:type="dxa"/>
            <w:tcBorders>
              <w:left w:val="nil"/>
              <w:right w:val="nil"/>
            </w:tcBorders>
            <w:shd w:val="clear" w:color="auto" w:fill="F2DBDB" w:themeFill="accent2" w:themeFillTint="33"/>
            <w:noWrap/>
            <w:vAlign w:val="bottom"/>
          </w:tcPr>
          <w:p w14:paraId="11104D1C" w14:textId="2BD5A4EC"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18</w:t>
            </w:r>
          </w:p>
        </w:tc>
        <w:tc>
          <w:tcPr>
            <w:tcW w:w="769" w:type="dxa"/>
            <w:tcBorders>
              <w:left w:val="nil"/>
              <w:right w:val="nil"/>
            </w:tcBorders>
            <w:shd w:val="clear" w:color="auto" w:fill="F2DBDB" w:themeFill="accent2" w:themeFillTint="33"/>
            <w:noWrap/>
            <w:vAlign w:val="bottom"/>
          </w:tcPr>
          <w:p w14:paraId="396AE9BD" w14:textId="3E24AC8E"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26</w:t>
            </w:r>
          </w:p>
        </w:tc>
        <w:tc>
          <w:tcPr>
            <w:tcW w:w="1187" w:type="dxa"/>
            <w:tcBorders>
              <w:left w:val="nil"/>
              <w:right w:val="double" w:sz="4" w:space="0" w:color="auto"/>
            </w:tcBorders>
            <w:shd w:val="clear" w:color="auto" w:fill="F2DBDB" w:themeFill="accent2" w:themeFillTint="33"/>
            <w:noWrap/>
            <w:vAlign w:val="bottom"/>
          </w:tcPr>
          <w:p w14:paraId="5595C4D6" w14:textId="1FFC8D9E"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3</w:t>
            </w:r>
          </w:p>
        </w:tc>
      </w:tr>
      <w:tr w:rsidR="00386767" w:rsidRPr="00D11987" w14:paraId="4D87B4E7" w14:textId="77777777" w:rsidTr="00F6367D">
        <w:trPr>
          <w:trHeight w:val="300"/>
          <w:jc w:val="center"/>
        </w:trPr>
        <w:tc>
          <w:tcPr>
            <w:tcW w:w="1253" w:type="dxa"/>
            <w:tcBorders>
              <w:left w:val="double" w:sz="4" w:space="0" w:color="auto"/>
              <w:bottom w:val="single" w:sz="4" w:space="0" w:color="auto"/>
              <w:right w:val="nil"/>
            </w:tcBorders>
            <w:shd w:val="clear" w:color="auto" w:fill="auto"/>
            <w:noWrap/>
            <w:vAlign w:val="bottom"/>
            <w:hideMark/>
          </w:tcPr>
          <w:p w14:paraId="2625A2DB" w14:textId="77777777" w:rsidR="00386767" w:rsidRPr="00386767" w:rsidRDefault="00386767" w:rsidP="00057426">
            <w:pPr>
              <w:spacing w:line="240" w:lineRule="auto"/>
              <w:jc w:val="center"/>
              <w:rPr>
                <w:rFonts w:asciiTheme="minorHAnsi" w:eastAsia="Times New Roman" w:hAnsiTheme="minorHAnsi" w:cs="Times New Roman"/>
                <w:color w:val="000000"/>
                <w:sz w:val="20"/>
                <w:szCs w:val="20"/>
              </w:rPr>
            </w:pPr>
            <w:r w:rsidRPr="00386767">
              <w:rPr>
                <w:rFonts w:asciiTheme="minorHAnsi" w:eastAsia="Times New Roman" w:hAnsiTheme="minorHAnsi" w:cs="Times New Roman"/>
                <w:color w:val="000000"/>
                <w:sz w:val="20"/>
                <w:szCs w:val="20"/>
              </w:rPr>
              <w:t>Central</w:t>
            </w:r>
          </w:p>
        </w:tc>
        <w:tc>
          <w:tcPr>
            <w:tcW w:w="960" w:type="dxa"/>
            <w:tcBorders>
              <w:left w:val="nil"/>
              <w:bottom w:val="single" w:sz="4" w:space="0" w:color="auto"/>
              <w:right w:val="nil"/>
            </w:tcBorders>
            <w:shd w:val="clear" w:color="auto" w:fill="auto"/>
            <w:noWrap/>
            <w:vAlign w:val="bottom"/>
          </w:tcPr>
          <w:p w14:paraId="0CE560D6" w14:textId="36D1AB8F"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134</w:t>
            </w:r>
          </w:p>
        </w:tc>
        <w:tc>
          <w:tcPr>
            <w:tcW w:w="1184" w:type="dxa"/>
            <w:tcBorders>
              <w:left w:val="nil"/>
              <w:bottom w:val="single" w:sz="4" w:space="0" w:color="auto"/>
              <w:right w:val="nil"/>
            </w:tcBorders>
            <w:shd w:val="clear" w:color="auto" w:fill="auto"/>
            <w:noWrap/>
            <w:vAlign w:val="bottom"/>
          </w:tcPr>
          <w:p w14:paraId="56C0AAD6" w14:textId="24AF5987"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38</w:t>
            </w:r>
          </w:p>
        </w:tc>
        <w:tc>
          <w:tcPr>
            <w:tcW w:w="769" w:type="dxa"/>
            <w:tcBorders>
              <w:left w:val="nil"/>
              <w:bottom w:val="single" w:sz="4" w:space="0" w:color="auto"/>
              <w:right w:val="nil"/>
            </w:tcBorders>
            <w:shd w:val="clear" w:color="auto" w:fill="auto"/>
            <w:noWrap/>
            <w:vAlign w:val="bottom"/>
          </w:tcPr>
          <w:p w14:paraId="3866BD51" w14:textId="760A5BF1"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30</w:t>
            </w:r>
          </w:p>
        </w:tc>
        <w:tc>
          <w:tcPr>
            <w:tcW w:w="1187" w:type="dxa"/>
            <w:tcBorders>
              <w:left w:val="nil"/>
              <w:bottom w:val="single" w:sz="4" w:space="0" w:color="auto"/>
              <w:right w:val="double" w:sz="4" w:space="0" w:color="auto"/>
            </w:tcBorders>
            <w:shd w:val="clear" w:color="auto" w:fill="auto"/>
            <w:noWrap/>
            <w:vAlign w:val="bottom"/>
          </w:tcPr>
          <w:p w14:paraId="5879A3A4" w14:textId="06762CD5"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7</w:t>
            </w:r>
          </w:p>
        </w:tc>
      </w:tr>
      <w:tr w:rsidR="00386767" w:rsidRPr="00D11987" w14:paraId="691528AC" w14:textId="77777777" w:rsidTr="00F6367D">
        <w:trPr>
          <w:trHeight w:val="300"/>
          <w:jc w:val="center"/>
        </w:trPr>
        <w:tc>
          <w:tcPr>
            <w:tcW w:w="1253" w:type="dxa"/>
            <w:tcBorders>
              <w:left w:val="double" w:sz="4" w:space="0" w:color="auto"/>
              <w:right w:val="nil"/>
            </w:tcBorders>
            <w:shd w:val="clear" w:color="auto" w:fill="F2DBDB" w:themeFill="accent2" w:themeFillTint="33"/>
            <w:noWrap/>
            <w:vAlign w:val="bottom"/>
            <w:hideMark/>
          </w:tcPr>
          <w:p w14:paraId="6A33D217" w14:textId="77777777" w:rsidR="00386767" w:rsidRPr="00386767" w:rsidRDefault="00386767" w:rsidP="00057426">
            <w:pPr>
              <w:spacing w:line="240" w:lineRule="auto"/>
              <w:jc w:val="center"/>
              <w:rPr>
                <w:rFonts w:asciiTheme="minorHAnsi" w:eastAsia="Times New Roman" w:hAnsiTheme="minorHAnsi" w:cs="Times New Roman"/>
                <w:color w:val="000000"/>
                <w:sz w:val="20"/>
                <w:szCs w:val="20"/>
              </w:rPr>
            </w:pPr>
            <w:r w:rsidRPr="00386767">
              <w:rPr>
                <w:rFonts w:asciiTheme="minorHAnsi" w:eastAsia="Times New Roman" w:hAnsiTheme="minorHAnsi" w:cs="Times New Roman"/>
                <w:color w:val="000000"/>
                <w:sz w:val="20"/>
                <w:szCs w:val="20"/>
              </w:rPr>
              <w:t>Suncoast</w:t>
            </w:r>
          </w:p>
        </w:tc>
        <w:tc>
          <w:tcPr>
            <w:tcW w:w="960" w:type="dxa"/>
            <w:tcBorders>
              <w:left w:val="nil"/>
              <w:right w:val="nil"/>
            </w:tcBorders>
            <w:shd w:val="clear" w:color="auto" w:fill="F2DBDB" w:themeFill="accent2" w:themeFillTint="33"/>
            <w:noWrap/>
            <w:vAlign w:val="bottom"/>
          </w:tcPr>
          <w:p w14:paraId="610FA3D4" w14:textId="7EA299A7"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127</w:t>
            </w:r>
          </w:p>
        </w:tc>
        <w:tc>
          <w:tcPr>
            <w:tcW w:w="1184" w:type="dxa"/>
            <w:tcBorders>
              <w:left w:val="nil"/>
              <w:right w:val="nil"/>
            </w:tcBorders>
            <w:shd w:val="clear" w:color="auto" w:fill="F2DBDB" w:themeFill="accent2" w:themeFillTint="33"/>
            <w:noWrap/>
            <w:vAlign w:val="bottom"/>
          </w:tcPr>
          <w:p w14:paraId="300CF64D" w14:textId="3EED974D"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27</w:t>
            </w:r>
          </w:p>
        </w:tc>
        <w:tc>
          <w:tcPr>
            <w:tcW w:w="769" w:type="dxa"/>
            <w:tcBorders>
              <w:left w:val="nil"/>
              <w:right w:val="nil"/>
            </w:tcBorders>
            <w:shd w:val="clear" w:color="auto" w:fill="F2DBDB" w:themeFill="accent2" w:themeFillTint="33"/>
            <w:noWrap/>
            <w:vAlign w:val="bottom"/>
          </w:tcPr>
          <w:p w14:paraId="7C51AC3B" w14:textId="3BD23393"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35</w:t>
            </w:r>
          </w:p>
        </w:tc>
        <w:tc>
          <w:tcPr>
            <w:tcW w:w="1187" w:type="dxa"/>
            <w:tcBorders>
              <w:left w:val="nil"/>
              <w:right w:val="double" w:sz="4" w:space="0" w:color="auto"/>
            </w:tcBorders>
            <w:shd w:val="clear" w:color="auto" w:fill="F2DBDB" w:themeFill="accent2" w:themeFillTint="33"/>
            <w:noWrap/>
            <w:vAlign w:val="bottom"/>
          </w:tcPr>
          <w:p w14:paraId="64493F7A" w14:textId="0A1156A3"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5</w:t>
            </w:r>
          </w:p>
        </w:tc>
      </w:tr>
      <w:tr w:rsidR="00386767" w:rsidRPr="00D11987" w14:paraId="4516F2AA" w14:textId="77777777" w:rsidTr="00F6367D">
        <w:trPr>
          <w:trHeight w:val="300"/>
          <w:jc w:val="center"/>
        </w:trPr>
        <w:tc>
          <w:tcPr>
            <w:tcW w:w="1253" w:type="dxa"/>
            <w:tcBorders>
              <w:left w:val="double" w:sz="4" w:space="0" w:color="auto"/>
              <w:bottom w:val="single" w:sz="4" w:space="0" w:color="auto"/>
              <w:right w:val="nil"/>
            </w:tcBorders>
            <w:shd w:val="clear" w:color="auto" w:fill="auto"/>
            <w:noWrap/>
            <w:vAlign w:val="bottom"/>
            <w:hideMark/>
          </w:tcPr>
          <w:p w14:paraId="6BC64A43" w14:textId="77777777" w:rsidR="00386767" w:rsidRPr="00386767" w:rsidRDefault="00386767" w:rsidP="00057426">
            <w:pPr>
              <w:spacing w:line="240" w:lineRule="auto"/>
              <w:jc w:val="center"/>
              <w:rPr>
                <w:rFonts w:asciiTheme="minorHAnsi" w:eastAsia="Times New Roman" w:hAnsiTheme="minorHAnsi" w:cs="Times New Roman"/>
                <w:color w:val="000000"/>
                <w:sz w:val="20"/>
                <w:szCs w:val="20"/>
              </w:rPr>
            </w:pPr>
            <w:r w:rsidRPr="00386767">
              <w:rPr>
                <w:rFonts w:asciiTheme="minorHAnsi" w:eastAsia="Times New Roman" w:hAnsiTheme="minorHAnsi" w:cs="Times New Roman"/>
                <w:color w:val="000000"/>
                <w:sz w:val="20"/>
                <w:szCs w:val="20"/>
              </w:rPr>
              <w:t>Southeast</w:t>
            </w:r>
          </w:p>
        </w:tc>
        <w:tc>
          <w:tcPr>
            <w:tcW w:w="960" w:type="dxa"/>
            <w:tcBorders>
              <w:left w:val="nil"/>
              <w:bottom w:val="single" w:sz="4" w:space="0" w:color="auto"/>
              <w:right w:val="nil"/>
            </w:tcBorders>
            <w:shd w:val="clear" w:color="auto" w:fill="auto"/>
            <w:noWrap/>
            <w:vAlign w:val="bottom"/>
          </w:tcPr>
          <w:p w14:paraId="311BEF3E" w14:textId="56356296"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110</w:t>
            </w:r>
          </w:p>
        </w:tc>
        <w:tc>
          <w:tcPr>
            <w:tcW w:w="1184" w:type="dxa"/>
            <w:tcBorders>
              <w:left w:val="nil"/>
              <w:bottom w:val="single" w:sz="4" w:space="0" w:color="auto"/>
              <w:right w:val="nil"/>
            </w:tcBorders>
            <w:shd w:val="clear" w:color="auto" w:fill="auto"/>
            <w:noWrap/>
            <w:vAlign w:val="bottom"/>
          </w:tcPr>
          <w:p w14:paraId="17B5DD97" w14:textId="5913F73F"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20</w:t>
            </w:r>
          </w:p>
        </w:tc>
        <w:tc>
          <w:tcPr>
            <w:tcW w:w="769" w:type="dxa"/>
            <w:tcBorders>
              <w:left w:val="nil"/>
              <w:bottom w:val="single" w:sz="4" w:space="0" w:color="auto"/>
              <w:right w:val="nil"/>
            </w:tcBorders>
            <w:shd w:val="clear" w:color="auto" w:fill="auto"/>
            <w:noWrap/>
            <w:vAlign w:val="bottom"/>
          </w:tcPr>
          <w:p w14:paraId="3702A8F2" w14:textId="6E011529"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28</w:t>
            </w:r>
          </w:p>
        </w:tc>
        <w:tc>
          <w:tcPr>
            <w:tcW w:w="1187" w:type="dxa"/>
            <w:tcBorders>
              <w:left w:val="nil"/>
              <w:bottom w:val="single" w:sz="4" w:space="0" w:color="auto"/>
              <w:right w:val="double" w:sz="4" w:space="0" w:color="auto"/>
            </w:tcBorders>
            <w:shd w:val="clear" w:color="auto" w:fill="auto"/>
            <w:noWrap/>
            <w:vAlign w:val="bottom"/>
          </w:tcPr>
          <w:p w14:paraId="7C182380" w14:textId="3A95A79A"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1</w:t>
            </w:r>
          </w:p>
        </w:tc>
      </w:tr>
      <w:tr w:rsidR="00386767" w:rsidRPr="00D11987" w14:paraId="793B918B" w14:textId="77777777" w:rsidTr="00F6367D">
        <w:trPr>
          <w:trHeight w:val="300"/>
          <w:jc w:val="center"/>
        </w:trPr>
        <w:tc>
          <w:tcPr>
            <w:tcW w:w="1253" w:type="dxa"/>
            <w:tcBorders>
              <w:left w:val="double" w:sz="4" w:space="0" w:color="auto"/>
              <w:bottom w:val="double" w:sz="4" w:space="0" w:color="auto"/>
              <w:right w:val="nil"/>
            </w:tcBorders>
            <w:shd w:val="clear" w:color="auto" w:fill="F2DBDB" w:themeFill="accent2" w:themeFillTint="33"/>
            <w:noWrap/>
            <w:vAlign w:val="bottom"/>
            <w:hideMark/>
          </w:tcPr>
          <w:p w14:paraId="1C6845B1" w14:textId="77777777" w:rsidR="00386767" w:rsidRPr="00386767" w:rsidRDefault="00386767" w:rsidP="00057426">
            <w:pPr>
              <w:spacing w:line="240" w:lineRule="auto"/>
              <w:jc w:val="center"/>
              <w:rPr>
                <w:rFonts w:asciiTheme="minorHAnsi" w:eastAsia="Times New Roman" w:hAnsiTheme="minorHAnsi" w:cs="Times New Roman"/>
                <w:color w:val="000000"/>
                <w:sz w:val="20"/>
                <w:szCs w:val="20"/>
              </w:rPr>
            </w:pPr>
            <w:r w:rsidRPr="00386767">
              <w:rPr>
                <w:rFonts w:asciiTheme="minorHAnsi" w:eastAsia="Times New Roman" w:hAnsiTheme="minorHAnsi" w:cs="Times New Roman"/>
                <w:color w:val="000000"/>
                <w:sz w:val="20"/>
                <w:szCs w:val="20"/>
              </w:rPr>
              <w:t>Southern</w:t>
            </w:r>
          </w:p>
        </w:tc>
        <w:tc>
          <w:tcPr>
            <w:tcW w:w="960" w:type="dxa"/>
            <w:tcBorders>
              <w:left w:val="nil"/>
              <w:bottom w:val="double" w:sz="4" w:space="0" w:color="auto"/>
              <w:right w:val="nil"/>
            </w:tcBorders>
            <w:shd w:val="clear" w:color="auto" w:fill="F2DBDB" w:themeFill="accent2" w:themeFillTint="33"/>
            <w:noWrap/>
            <w:vAlign w:val="bottom"/>
          </w:tcPr>
          <w:p w14:paraId="67465A49" w14:textId="1A4B9364"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92</w:t>
            </w:r>
          </w:p>
        </w:tc>
        <w:tc>
          <w:tcPr>
            <w:tcW w:w="1184" w:type="dxa"/>
            <w:tcBorders>
              <w:left w:val="nil"/>
              <w:bottom w:val="double" w:sz="4" w:space="0" w:color="auto"/>
              <w:right w:val="nil"/>
            </w:tcBorders>
            <w:shd w:val="clear" w:color="auto" w:fill="F2DBDB" w:themeFill="accent2" w:themeFillTint="33"/>
            <w:noWrap/>
            <w:vAlign w:val="bottom"/>
          </w:tcPr>
          <w:p w14:paraId="11028B33" w14:textId="60623200"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27</w:t>
            </w:r>
          </w:p>
        </w:tc>
        <w:tc>
          <w:tcPr>
            <w:tcW w:w="769" w:type="dxa"/>
            <w:tcBorders>
              <w:left w:val="nil"/>
              <w:bottom w:val="double" w:sz="4" w:space="0" w:color="auto"/>
              <w:right w:val="nil"/>
            </w:tcBorders>
            <w:shd w:val="clear" w:color="auto" w:fill="F2DBDB" w:themeFill="accent2" w:themeFillTint="33"/>
            <w:noWrap/>
            <w:vAlign w:val="bottom"/>
          </w:tcPr>
          <w:p w14:paraId="29A2CD7D" w14:textId="32251F90"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18</w:t>
            </w:r>
          </w:p>
        </w:tc>
        <w:tc>
          <w:tcPr>
            <w:tcW w:w="1187" w:type="dxa"/>
            <w:tcBorders>
              <w:left w:val="nil"/>
              <w:bottom w:val="double" w:sz="4" w:space="0" w:color="auto"/>
              <w:right w:val="double" w:sz="4" w:space="0" w:color="auto"/>
            </w:tcBorders>
            <w:shd w:val="clear" w:color="auto" w:fill="F2DBDB" w:themeFill="accent2" w:themeFillTint="33"/>
            <w:noWrap/>
            <w:vAlign w:val="bottom"/>
          </w:tcPr>
          <w:p w14:paraId="65B20375" w14:textId="5538B0ED" w:rsidR="00386767" w:rsidRPr="00386767" w:rsidRDefault="00386767" w:rsidP="00F14C4E">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1</w:t>
            </w:r>
          </w:p>
        </w:tc>
      </w:tr>
      <w:tr w:rsidR="00386767" w:rsidRPr="00D11987" w14:paraId="550CFB4D" w14:textId="77777777" w:rsidTr="00F6367D">
        <w:trPr>
          <w:trHeight w:val="300"/>
          <w:jc w:val="center"/>
        </w:trPr>
        <w:tc>
          <w:tcPr>
            <w:tcW w:w="1253" w:type="dxa"/>
            <w:tcBorders>
              <w:top w:val="double" w:sz="4" w:space="0" w:color="auto"/>
              <w:left w:val="double" w:sz="4" w:space="0" w:color="auto"/>
              <w:right w:val="nil"/>
            </w:tcBorders>
            <w:shd w:val="clear" w:color="auto" w:fill="auto"/>
            <w:noWrap/>
            <w:vAlign w:val="bottom"/>
            <w:hideMark/>
          </w:tcPr>
          <w:p w14:paraId="7D4B6CDD" w14:textId="77777777" w:rsidR="00386767" w:rsidRPr="00386767" w:rsidRDefault="00386767" w:rsidP="00057426">
            <w:pPr>
              <w:spacing w:line="240" w:lineRule="auto"/>
              <w:jc w:val="center"/>
              <w:rPr>
                <w:rFonts w:asciiTheme="minorHAnsi" w:eastAsia="Times New Roman" w:hAnsiTheme="minorHAnsi" w:cs="Times New Roman"/>
                <w:b/>
                <w:color w:val="000000"/>
                <w:sz w:val="20"/>
                <w:szCs w:val="20"/>
              </w:rPr>
            </w:pPr>
            <w:r w:rsidRPr="00386767">
              <w:rPr>
                <w:rFonts w:asciiTheme="minorHAnsi" w:eastAsia="Times New Roman" w:hAnsiTheme="minorHAnsi" w:cs="Times New Roman"/>
                <w:b/>
                <w:color w:val="000000"/>
                <w:sz w:val="20"/>
                <w:szCs w:val="20"/>
              </w:rPr>
              <w:t>Total</w:t>
            </w:r>
          </w:p>
        </w:tc>
        <w:tc>
          <w:tcPr>
            <w:tcW w:w="960" w:type="dxa"/>
            <w:tcBorders>
              <w:top w:val="double" w:sz="4" w:space="0" w:color="auto"/>
              <w:left w:val="nil"/>
              <w:right w:val="nil"/>
            </w:tcBorders>
            <w:shd w:val="clear" w:color="auto" w:fill="auto"/>
            <w:noWrap/>
            <w:vAlign w:val="bottom"/>
          </w:tcPr>
          <w:p w14:paraId="519C65BA" w14:textId="7AE85739" w:rsidR="00386767" w:rsidRPr="00386767" w:rsidRDefault="00386767" w:rsidP="00F14C4E">
            <w:pPr>
              <w:spacing w:line="240" w:lineRule="auto"/>
              <w:jc w:val="center"/>
              <w:rPr>
                <w:rFonts w:asciiTheme="minorHAnsi" w:eastAsia="Times New Roman" w:hAnsiTheme="minorHAnsi" w:cs="Times New Roman"/>
                <w:b/>
                <w:color w:val="000000"/>
                <w:sz w:val="20"/>
                <w:szCs w:val="20"/>
              </w:rPr>
            </w:pPr>
            <w:r w:rsidRPr="00386767">
              <w:rPr>
                <w:rFonts w:ascii="Calibri" w:hAnsi="Calibri"/>
                <w:b/>
                <w:color w:val="000000"/>
                <w:sz w:val="20"/>
                <w:szCs w:val="20"/>
              </w:rPr>
              <w:t>632</w:t>
            </w:r>
          </w:p>
        </w:tc>
        <w:tc>
          <w:tcPr>
            <w:tcW w:w="1184" w:type="dxa"/>
            <w:tcBorders>
              <w:top w:val="double" w:sz="4" w:space="0" w:color="auto"/>
              <w:left w:val="nil"/>
              <w:right w:val="nil"/>
            </w:tcBorders>
            <w:shd w:val="clear" w:color="auto" w:fill="auto"/>
            <w:noWrap/>
            <w:vAlign w:val="bottom"/>
          </w:tcPr>
          <w:p w14:paraId="77F76BC1" w14:textId="3E6731D3" w:rsidR="00386767" w:rsidRPr="00386767" w:rsidRDefault="00386767" w:rsidP="00F14C4E">
            <w:pPr>
              <w:spacing w:line="240" w:lineRule="auto"/>
              <w:jc w:val="center"/>
              <w:rPr>
                <w:rFonts w:asciiTheme="minorHAnsi" w:eastAsia="Times New Roman" w:hAnsiTheme="minorHAnsi" w:cs="Times New Roman"/>
                <w:b/>
                <w:color w:val="000000"/>
                <w:sz w:val="20"/>
                <w:szCs w:val="20"/>
              </w:rPr>
            </w:pPr>
            <w:r w:rsidRPr="00386767">
              <w:rPr>
                <w:rFonts w:ascii="Calibri" w:hAnsi="Calibri"/>
                <w:b/>
                <w:color w:val="000000"/>
                <w:sz w:val="20"/>
                <w:szCs w:val="20"/>
              </w:rPr>
              <w:t>151</w:t>
            </w:r>
          </w:p>
        </w:tc>
        <w:tc>
          <w:tcPr>
            <w:tcW w:w="769" w:type="dxa"/>
            <w:tcBorders>
              <w:top w:val="double" w:sz="4" w:space="0" w:color="auto"/>
              <w:left w:val="nil"/>
              <w:right w:val="nil"/>
            </w:tcBorders>
            <w:shd w:val="clear" w:color="auto" w:fill="auto"/>
            <w:noWrap/>
            <w:vAlign w:val="bottom"/>
          </w:tcPr>
          <w:p w14:paraId="69EDCD7C" w14:textId="17EF38C2" w:rsidR="00386767" w:rsidRPr="00386767" w:rsidRDefault="00386767" w:rsidP="00F14C4E">
            <w:pPr>
              <w:spacing w:line="240" w:lineRule="auto"/>
              <w:jc w:val="center"/>
              <w:rPr>
                <w:rFonts w:asciiTheme="minorHAnsi" w:eastAsia="Times New Roman" w:hAnsiTheme="minorHAnsi" w:cs="Times New Roman"/>
                <w:b/>
                <w:color w:val="000000"/>
                <w:sz w:val="20"/>
                <w:szCs w:val="20"/>
              </w:rPr>
            </w:pPr>
            <w:r w:rsidRPr="00386767">
              <w:rPr>
                <w:rFonts w:ascii="Calibri" w:hAnsi="Calibri"/>
                <w:b/>
                <w:sz w:val="20"/>
                <w:szCs w:val="20"/>
              </w:rPr>
              <w:t>147</w:t>
            </w:r>
          </w:p>
        </w:tc>
        <w:tc>
          <w:tcPr>
            <w:tcW w:w="1187" w:type="dxa"/>
            <w:tcBorders>
              <w:top w:val="double" w:sz="4" w:space="0" w:color="auto"/>
              <w:left w:val="nil"/>
              <w:right w:val="double" w:sz="4" w:space="0" w:color="auto"/>
            </w:tcBorders>
            <w:shd w:val="clear" w:color="auto" w:fill="auto"/>
            <w:noWrap/>
            <w:vAlign w:val="bottom"/>
          </w:tcPr>
          <w:p w14:paraId="62F11058" w14:textId="4F611A6E" w:rsidR="00386767" w:rsidRPr="00386767" w:rsidRDefault="00386767" w:rsidP="00F14C4E">
            <w:pPr>
              <w:spacing w:line="240" w:lineRule="auto"/>
              <w:jc w:val="center"/>
              <w:rPr>
                <w:rFonts w:asciiTheme="minorHAnsi" w:eastAsia="Times New Roman" w:hAnsiTheme="minorHAnsi" w:cs="Times New Roman"/>
                <w:b/>
                <w:color w:val="000000"/>
                <w:sz w:val="20"/>
                <w:szCs w:val="20"/>
              </w:rPr>
            </w:pPr>
            <w:r w:rsidRPr="00386767">
              <w:rPr>
                <w:rFonts w:ascii="Calibri" w:hAnsi="Calibri"/>
                <w:b/>
                <w:color w:val="000000"/>
                <w:sz w:val="20"/>
                <w:szCs w:val="20"/>
              </w:rPr>
              <w:t>20</w:t>
            </w:r>
          </w:p>
        </w:tc>
      </w:tr>
    </w:tbl>
    <w:p w14:paraId="331D4887" w14:textId="4382DFD1" w:rsidR="007C1358" w:rsidRDefault="00AB4BE4" w:rsidP="007C1358">
      <w:r>
        <w:t xml:space="preserve"> </w:t>
      </w:r>
    </w:p>
    <w:p w14:paraId="4A11A568" w14:textId="73BE9864" w:rsidR="00BE2C9A" w:rsidRDefault="007C1358" w:rsidP="007C1358">
      <w:r w:rsidRPr="00815FA1">
        <w:lastRenderedPageBreak/>
        <w:t>Individuals are free to decline to be interviewed at any time during the process</w:t>
      </w:r>
      <w:r w:rsidR="00AB4BE4">
        <w:t xml:space="preserve">. </w:t>
      </w:r>
      <w:r w:rsidR="00AB4BE4" w:rsidRPr="00815FA1">
        <w:t>An individual who declines</w:t>
      </w:r>
      <w:r w:rsidR="00AB4BE4">
        <w:t>,</w:t>
      </w:r>
      <w:r w:rsidR="00AB4BE4" w:rsidRPr="00815FA1">
        <w:t xml:space="preserve"> </w:t>
      </w:r>
      <w:r w:rsidR="00AB4BE4">
        <w:t>or may be otherwise unable to participate,</w:t>
      </w:r>
      <w:r w:rsidR="00AB4BE4" w:rsidRPr="00815FA1">
        <w:t xml:space="preserve"> is replaced by another individual</w:t>
      </w:r>
      <w:r w:rsidR="00AB4BE4" w:rsidRPr="00F60228">
        <w:t xml:space="preserve"> from the oversample to ensure an adequate and representative sample is used for analysis</w:t>
      </w:r>
      <w:r w:rsidRPr="00815FA1">
        <w:t>.  Reasons given for the declines are shown in Table 3.  When an individual declines, the reviewer calls the person to verify the decision.  This affords the person an opportunity to ask questions or seek clarification about the PCR process and the person’s potential role in it.  It also gives individuals an opportunity to change the</w:t>
      </w:r>
      <w:r w:rsidR="00415F19">
        <w:t>ir minds about participating.</w:t>
      </w:r>
      <w:r>
        <w:t xml:space="preserve">  </w:t>
      </w:r>
    </w:p>
    <w:p w14:paraId="78AC8DC4" w14:textId="77777777" w:rsidR="00BE2C9A" w:rsidRDefault="00BE2C9A" w:rsidP="007C1358"/>
    <w:p w14:paraId="316E821B" w14:textId="396296E1" w:rsidR="00C74927" w:rsidRDefault="00273CB6" w:rsidP="007C1358">
      <w:r w:rsidRPr="00386767">
        <w:t xml:space="preserve">The largest percent </w:t>
      </w:r>
      <w:r w:rsidR="00BE2C9A" w:rsidRPr="00386767">
        <w:t xml:space="preserve">of declines </w:t>
      </w:r>
      <w:r w:rsidRPr="00386767">
        <w:t>w</w:t>
      </w:r>
      <w:r w:rsidR="00AB4BE4" w:rsidRPr="00386767">
        <w:t>as</w:t>
      </w:r>
      <w:r w:rsidRPr="00386767">
        <w:t xml:space="preserve"> for people who refused to participate, </w:t>
      </w:r>
      <w:r w:rsidR="00386767" w:rsidRPr="00386767">
        <w:t>about 53 percent</w:t>
      </w:r>
      <w:r w:rsidRPr="00386767">
        <w:t xml:space="preserve">.  </w:t>
      </w:r>
      <w:r w:rsidR="00CA168B" w:rsidRPr="00386767">
        <w:t xml:space="preserve">Approximately </w:t>
      </w:r>
      <w:r w:rsidR="00386767" w:rsidRPr="00386767">
        <w:t>22</w:t>
      </w:r>
      <w:r w:rsidR="00C74927" w:rsidRPr="00386767">
        <w:t xml:space="preserve"> percent of declines were because the person </w:t>
      </w:r>
      <w:r w:rsidR="00E50C0F" w:rsidRPr="00386767">
        <w:t xml:space="preserve">no </w:t>
      </w:r>
      <w:r w:rsidR="00C74927" w:rsidRPr="00386767">
        <w:t>longer received services (N=</w:t>
      </w:r>
      <w:r w:rsidR="00386767" w:rsidRPr="00386767">
        <w:t>24</w:t>
      </w:r>
      <w:r w:rsidR="00C74927" w:rsidRPr="00386767">
        <w:t>), had passed away (N=</w:t>
      </w:r>
      <w:r w:rsidR="00386767" w:rsidRPr="00386767">
        <w:t>8</w:t>
      </w:r>
      <w:r w:rsidR="00C74927" w:rsidRPr="00386767">
        <w:t>), or had moved out of the state (N=</w:t>
      </w:r>
      <w:r w:rsidR="00386767" w:rsidRPr="00386767">
        <w:t>4</w:t>
      </w:r>
      <w:r w:rsidR="00C74927" w:rsidRPr="00386767">
        <w:t xml:space="preserve">).  </w:t>
      </w:r>
      <w:r w:rsidRPr="00386767">
        <w:t xml:space="preserve">An additional </w:t>
      </w:r>
      <w:r w:rsidR="00386767" w:rsidRPr="00386767">
        <w:t>42</w:t>
      </w:r>
      <w:r w:rsidRPr="00386767">
        <w:t xml:space="preserve"> individuals indicated they would like to participate next year.</w:t>
      </w:r>
      <w:r>
        <w:t xml:space="preserve"> </w:t>
      </w:r>
    </w:p>
    <w:p w14:paraId="57AC77A2" w14:textId="77777777" w:rsidR="007C1358" w:rsidRDefault="007C1358" w:rsidP="007C1358"/>
    <w:p w14:paraId="6BCDEAAB" w14:textId="301C37E8" w:rsidR="007C1358" w:rsidRDefault="007C1358" w:rsidP="007C1358">
      <w:r>
        <w:t xml:space="preserve"> </w:t>
      </w:r>
    </w:p>
    <w:tbl>
      <w:tblPr>
        <w:tblW w:w="5586" w:type="dxa"/>
        <w:jc w:val="center"/>
        <w:tblLook w:val="04A0" w:firstRow="1" w:lastRow="0" w:firstColumn="1" w:lastColumn="0" w:noHBand="0" w:noVBand="1"/>
      </w:tblPr>
      <w:tblGrid>
        <w:gridCol w:w="3099"/>
        <w:gridCol w:w="932"/>
        <w:gridCol w:w="830"/>
        <w:gridCol w:w="725"/>
      </w:tblGrid>
      <w:tr w:rsidR="007C1358" w:rsidRPr="003B3A5C" w14:paraId="6A13DD03" w14:textId="77777777" w:rsidTr="00623E07">
        <w:trPr>
          <w:trHeight w:val="300"/>
          <w:jc w:val="center"/>
        </w:trPr>
        <w:tc>
          <w:tcPr>
            <w:tcW w:w="5586" w:type="dxa"/>
            <w:gridSpan w:val="4"/>
            <w:tcBorders>
              <w:top w:val="single" w:sz="8" w:space="0" w:color="auto"/>
              <w:left w:val="single" w:sz="8" w:space="0" w:color="auto"/>
              <w:bottom w:val="single" w:sz="4" w:space="0" w:color="auto"/>
              <w:right w:val="single" w:sz="8" w:space="0" w:color="000000"/>
            </w:tcBorders>
            <w:shd w:val="clear" w:color="000000" w:fill="5F497A" w:themeFill="accent4" w:themeFillShade="BF"/>
            <w:noWrap/>
            <w:vAlign w:val="bottom"/>
            <w:hideMark/>
          </w:tcPr>
          <w:p w14:paraId="70D30280" w14:textId="77777777" w:rsidR="007C1358" w:rsidRPr="004F7E0C" w:rsidRDefault="007C1358" w:rsidP="00057426">
            <w:pPr>
              <w:spacing w:line="240" w:lineRule="auto"/>
              <w:jc w:val="center"/>
              <w:rPr>
                <w:rFonts w:ascii="Franklin Gothic Medium" w:eastAsia="Times New Roman" w:hAnsi="Franklin Gothic Medium" w:cs="Times New Roman"/>
                <w:b/>
                <w:bCs/>
                <w:color w:val="FFFFFF"/>
              </w:rPr>
            </w:pPr>
            <w:r w:rsidRPr="004F7E0C">
              <w:rPr>
                <w:rFonts w:ascii="Franklin Gothic Medium" w:eastAsia="Times New Roman" w:hAnsi="Franklin Gothic Medium" w:cs="Times New Roman"/>
                <w:b/>
                <w:bCs/>
                <w:color w:val="FFFFFF"/>
              </w:rPr>
              <w:t>Table 3:  Person Centered Review Decline Reasons</w:t>
            </w:r>
          </w:p>
        </w:tc>
      </w:tr>
      <w:tr w:rsidR="007C1358" w:rsidRPr="003B3A5C" w14:paraId="41A97F21" w14:textId="77777777" w:rsidTr="00623E07">
        <w:trPr>
          <w:trHeight w:val="300"/>
          <w:jc w:val="center"/>
        </w:trPr>
        <w:tc>
          <w:tcPr>
            <w:tcW w:w="5586" w:type="dxa"/>
            <w:gridSpan w:val="4"/>
            <w:tcBorders>
              <w:top w:val="single" w:sz="4" w:space="0" w:color="auto"/>
              <w:left w:val="single" w:sz="8" w:space="0" w:color="auto"/>
              <w:bottom w:val="single" w:sz="4" w:space="0" w:color="auto"/>
              <w:right w:val="single" w:sz="8" w:space="0" w:color="000000"/>
            </w:tcBorders>
            <w:shd w:val="clear" w:color="000000" w:fill="5F497A" w:themeFill="accent4" w:themeFillShade="BF"/>
            <w:noWrap/>
            <w:vAlign w:val="bottom"/>
            <w:hideMark/>
          </w:tcPr>
          <w:p w14:paraId="1712A751" w14:textId="75CB0FA4" w:rsidR="007C1358" w:rsidRPr="004F7E0C" w:rsidRDefault="001C58B4" w:rsidP="00386767">
            <w:pPr>
              <w:spacing w:line="240" w:lineRule="auto"/>
              <w:jc w:val="center"/>
              <w:rPr>
                <w:rFonts w:ascii="Franklin Gothic Medium" w:eastAsia="Times New Roman" w:hAnsi="Franklin Gothic Medium" w:cs="Times New Roman"/>
                <w:b/>
                <w:bCs/>
                <w:color w:val="FFFFFF"/>
              </w:rPr>
            </w:pPr>
            <w:r>
              <w:rPr>
                <w:rFonts w:ascii="Franklin Gothic Medium" w:eastAsia="Times New Roman" w:hAnsi="Franklin Gothic Medium" w:cs="Times New Roman"/>
                <w:b/>
                <w:bCs/>
                <w:color w:val="FFFFFF"/>
              </w:rPr>
              <w:t xml:space="preserve">January – </w:t>
            </w:r>
            <w:r w:rsidR="00386767">
              <w:rPr>
                <w:rFonts w:ascii="Franklin Gothic Medium" w:eastAsia="Times New Roman" w:hAnsi="Franklin Gothic Medium" w:cs="Times New Roman"/>
                <w:b/>
                <w:bCs/>
                <w:color w:val="FFFFFF"/>
              </w:rPr>
              <w:t>June</w:t>
            </w:r>
            <w:r w:rsidR="00F14C4E">
              <w:rPr>
                <w:rFonts w:ascii="Franklin Gothic Medium" w:eastAsia="Times New Roman" w:hAnsi="Franklin Gothic Medium" w:cs="Times New Roman"/>
                <w:b/>
                <w:bCs/>
                <w:color w:val="FFFFFF"/>
              </w:rPr>
              <w:t xml:space="preserve"> 2016</w:t>
            </w:r>
          </w:p>
        </w:tc>
      </w:tr>
      <w:tr w:rsidR="007C1358" w:rsidRPr="003B3A5C" w14:paraId="4933FA5B" w14:textId="77777777" w:rsidTr="00623E07">
        <w:trPr>
          <w:trHeight w:val="255"/>
          <w:jc w:val="center"/>
        </w:trPr>
        <w:tc>
          <w:tcPr>
            <w:tcW w:w="3099" w:type="dxa"/>
            <w:tcBorders>
              <w:top w:val="single" w:sz="4" w:space="0" w:color="auto"/>
              <w:left w:val="single" w:sz="8" w:space="0" w:color="auto"/>
              <w:bottom w:val="double" w:sz="4" w:space="0" w:color="auto"/>
            </w:tcBorders>
            <w:shd w:val="clear" w:color="000000" w:fill="F2DCDB"/>
            <w:noWrap/>
            <w:vAlign w:val="bottom"/>
            <w:hideMark/>
          </w:tcPr>
          <w:p w14:paraId="15EFA218" w14:textId="77777777" w:rsidR="007C1358" w:rsidRPr="004F7E0C" w:rsidRDefault="007C1358" w:rsidP="00057426">
            <w:pPr>
              <w:spacing w:line="240" w:lineRule="auto"/>
              <w:rPr>
                <w:rFonts w:asciiTheme="minorHAnsi" w:eastAsia="Times New Roman" w:hAnsiTheme="minorHAnsi" w:cs="Times New Roman"/>
                <w:b/>
                <w:bCs/>
                <w:color w:val="000000"/>
                <w:szCs w:val="24"/>
              </w:rPr>
            </w:pPr>
            <w:r w:rsidRPr="004F7E0C">
              <w:rPr>
                <w:rFonts w:asciiTheme="minorHAnsi" w:eastAsia="Times New Roman" w:hAnsiTheme="minorHAnsi" w:cs="Times New Roman"/>
                <w:b/>
                <w:bCs/>
                <w:color w:val="000000"/>
                <w:szCs w:val="24"/>
              </w:rPr>
              <w:t>Decline Reason</w:t>
            </w:r>
          </w:p>
        </w:tc>
        <w:tc>
          <w:tcPr>
            <w:tcW w:w="932" w:type="dxa"/>
            <w:tcBorders>
              <w:top w:val="single" w:sz="4" w:space="0" w:color="auto"/>
              <w:bottom w:val="double" w:sz="4" w:space="0" w:color="auto"/>
            </w:tcBorders>
            <w:shd w:val="clear" w:color="000000" w:fill="F2DCDB"/>
            <w:noWrap/>
            <w:vAlign w:val="bottom"/>
            <w:hideMark/>
          </w:tcPr>
          <w:p w14:paraId="252A2034" w14:textId="77777777" w:rsidR="007C1358" w:rsidRPr="003668DC" w:rsidRDefault="007C1358" w:rsidP="00057426">
            <w:pPr>
              <w:spacing w:line="240" w:lineRule="auto"/>
              <w:jc w:val="center"/>
              <w:rPr>
                <w:rFonts w:asciiTheme="minorHAnsi" w:eastAsia="Times New Roman" w:hAnsiTheme="minorHAnsi" w:cs="Arial"/>
                <w:b/>
                <w:color w:val="000000"/>
                <w:szCs w:val="24"/>
              </w:rPr>
            </w:pPr>
            <w:r w:rsidRPr="003668DC">
              <w:rPr>
                <w:rFonts w:asciiTheme="minorHAnsi" w:eastAsia="Times New Roman" w:hAnsiTheme="minorHAnsi" w:cs="Arial"/>
                <w:b/>
                <w:color w:val="000000"/>
                <w:szCs w:val="24"/>
              </w:rPr>
              <w:t>Waiver</w:t>
            </w:r>
          </w:p>
        </w:tc>
        <w:tc>
          <w:tcPr>
            <w:tcW w:w="830" w:type="dxa"/>
            <w:tcBorders>
              <w:top w:val="single" w:sz="4" w:space="0" w:color="auto"/>
              <w:bottom w:val="double" w:sz="4" w:space="0" w:color="auto"/>
            </w:tcBorders>
            <w:shd w:val="clear" w:color="000000" w:fill="F2DCDB"/>
            <w:noWrap/>
            <w:vAlign w:val="bottom"/>
            <w:hideMark/>
          </w:tcPr>
          <w:p w14:paraId="5C22282E" w14:textId="77777777" w:rsidR="007C1358" w:rsidRPr="003668DC" w:rsidRDefault="007C1358" w:rsidP="00057426">
            <w:pPr>
              <w:spacing w:line="240" w:lineRule="auto"/>
              <w:jc w:val="center"/>
              <w:rPr>
                <w:rFonts w:asciiTheme="minorHAnsi" w:eastAsia="Times New Roman" w:hAnsiTheme="minorHAnsi" w:cs="Arial"/>
                <w:b/>
                <w:color w:val="000000"/>
                <w:szCs w:val="24"/>
              </w:rPr>
            </w:pPr>
            <w:r w:rsidRPr="003668DC">
              <w:rPr>
                <w:rFonts w:asciiTheme="minorHAnsi" w:eastAsia="Times New Roman" w:hAnsiTheme="minorHAnsi" w:cs="Arial"/>
                <w:b/>
                <w:color w:val="000000"/>
                <w:szCs w:val="24"/>
              </w:rPr>
              <w:t>CDC+</w:t>
            </w:r>
          </w:p>
        </w:tc>
        <w:tc>
          <w:tcPr>
            <w:tcW w:w="725" w:type="dxa"/>
            <w:tcBorders>
              <w:top w:val="single" w:sz="4" w:space="0" w:color="auto"/>
              <w:bottom w:val="double" w:sz="4" w:space="0" w:color="auto"/>
              <w:right w:val="single" w:sz="8" w:space="0" w:color="auto"/>
            </w:tcBorders>
            <w:shd w:val="clear" w:color="000000" w:fill="F2DCDB"/>
            <w:noWrap/>
            <w:vAlign w:val="bottom"/>
            <w:hideMark/>
          </w:tcPr>
          <w:p w14:paraId="256C5CE1" w14:textId="77777777" w:rsidR="007C1358" w:rsidRPr="003668DC" w:rsidRDefault="007C1358" w:rsidP="00057426">
            <w:pPr>
              <w:spacing w:line="240" w:lineRule="auto"/>
              <w:jc w:val="center"/>
              <w:rPr>
                <w:rFonts w:asciiTheme="minorHAnsi" w:eastAsia="Times New Roman" w:hAnsiTheme="minorHAnsi" w:cs="Arial"/>
                <w:b/>
                <w:color w:val="000000"/>
                <w:szCs w:val="24"/>
              </w:rPr>
            </w:pPr>
            <w:r w:rsidRPr="003668DC">
              <w:rPr>
                <w:rFonts w:asciiTheme="minorHAnsi" w:eastAsia="Times New Roman" w:hAnsiTheme="minorHAnsi" w:cs="Arial"/>
                <w:b/>
                <w:color w:val="000000"/>
                <w:szCs w:val="24"/>
              </w:rPr>
              <w:t>Total</w:t>
            </w:r>
          </w:p>
        </w:tc>
      </w:tr>
      <w:tr w:rsidR="00386767" w:rsidRPr="003B3A5C" w14:paraId="16212A0C" w14:textId="77777777" w:rsidTr="00386767">
        <w:trPr>
          <w:trHeight w:val="255"/>
          <w:jc w:val="center"/>
        </w:trPr>
        <w:tc>
          <w:tcPr>
            <w:tcW w:w="3099" w:type="dxa"/>
            <w:tcBorders>
              <w:top w:val="double" w:sz="4" w:space="0" w:color="auto"/>
              <w:left w:val="single" w:sz="8" w:space="0" w:color="auto"/>
              <w:bottom w:val="single" w:sz="4" w:space="0" w:color="auto"/>
            </w:tcBorders>
            <w:shd w:val="clear" w:color="auto" w:fill="auto"/>
            <w:noWrap/>
            <w:vAlign w:val="bottom"/>
            <w:hideMark/>
          </w:tcPr>
          <w:p w14:paraId="6A184DFF" w14:textId="74675984" w:rsidR="00386767" w:rsidRPr="00386767" w:rsidRDefault="00386767" w:rsidP="00D86A25">
            <w:pPr>
              <w:spacing w:line="240" w:lineRule="auto"/>
              <w:rPr>
                <w:rFonts w:asciiTheme="minorHAnsi" w:eastAsia="Times New Roman" w:hAnsiTheme="minorHAnsi" w:cs="Arial"/>
                <w:sz w:val="20"/>
                <w:szCs w:val="20"/>
              </w:rPr>
            </w:pPr>
            <w:r w:rsidRPr="00386767">
              <w:rPr>
                <w:rFonts w:ascii="Calibri" w:hAnsi="Calibri"/>
                <w:sz w:val="20"/>
                <w:szCs w:val="20"/>
              </w:rPr>
              <w:t>Refused</w:t>
            </w:r>
          </w:p>
        </w:tc>
        <w:tc>
          <w:tcPr>
            <w:tcW w:w="932" w:type="dxa"/>
            <w:tcBorders>
              <w:top w:val="double" w:sz="4" w:space="0" w:color="auto"/>
              <w:bottom w:val="single" w:sz="4" w:space="0" w:color="auto"/>
            </w:tcBorders>
            <w:shd w:val="clear" w:color="auto" w:fill="auto"/>
            <w:noWrap/>
            <w:vAlign w:val="bottom"/>
            <w:hideMark/>
          </w:tcPr>
          <w:p w14:paraId="417520C7" w14:textId="41ED1DF0" w:rsidR="00386767" w:rsidRPr="00386767" w:rsidRDefault="00386767" w:rsidP="00386767">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77</w:t>
            </w:r>
          </w:p>
        </w:tc>
        <w:tc>
          <w:tcPr>
            <w:tcW w:w="830" w:type="dxa"/>
            <w:tcBorders>
              <w:top w:val="double" w:sz="4" w:space="0" w:color="auto"/>
              <w:bottom w:val="single" w:sz="4" w:space="0" w:color="auto"/>
            </w:tcBorders>
            <w:shd w:val="clear" w:color="auto" w:fill="auto"/>
            <w:noWrap/>
            <w:vAlign w:val="bottom"/>
            <w:hideMark/>
          </w:tcPr>
          <w:p w14:paraId="457756C6" w14:textId="31643932" w:rsidR="00386767" w:rsidRPr="00386767" w:rsidRDefault="00386767" w:rsidP="00386767">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12</w:t>
            </w:r>
          </w:p>
        </w:tc>
        <w:tc>
          <w:tcPr>
            <w:tcW w:w="725" w:type="dxa"/>
            <w:tcBorders>
              <w:top w:val="double" w:sz="4" w:space="0" w:color="auto"/>
              <w:bottom w:val="single" w:sz="4" w:space="0" w:color="auto"/>
              <w:right w:val="single" w:sz="8" w:space="0" w:color="auto"/>
            </w:tcBorders>
            <w:shd w:val="clear" w:color="auto" w:fill="auto"/>
            <w:noWrap/>
            <w:vAlign w:val="bottom"/>
            <w:hideMark/>
          </w:tcPr>
          <w:p w14:paraId="0E48B3AA" w14:textId="428339D4" w:rsidR="00386767" w:rsidRPr="00386767" w:rsidRDefault="00386767" w:rsidP="00386767">
            <w:pPr>
              <w:spacing w:line="240" w:lineRule="auto"/>
              <w:jc w:val="center"/>
              <w:rPr>
                <w:rFonts w:asciiTheme="minorHAnsi" w:eastAsia="Times New Roman" w:hAnsiTheme="minorHAnsi" w:cs="Arial"/>
                <w:sz w:val="20"/>
                <w:szCs w:val="20"/>
              </w:rPr>
            </w:pPr>
            <w:r w:rsidRPr="00386767">
              <w:rPr>
                <w:rFonts w:ascii="Calibri" w:hAnsi="Calibri"/>
                <w:sz w:val="20"/>
                <w:szCs w:val="20"/>
              </w:rPr>
              <w:t>89</w:t>
            </w:r>
          </w:p>
        </w:tc>
      </w:tr>
      <w:tr w:rsidR="00386767" w:rsidRPr="003B3A5C" w14:paraId="02E9D548" w14:textId="77777777" w:rsidTr="00386767">
        <w:trPr>
          <w:trHeight w:val="255"/>
          <w:jc w:val="center"/>
        </w:trPr>
        <w:tc>
          <w:tcPr>
            <w:tcW w:w="3099" w:type="dxa"/>
            <w:tcBorders>
              <w:top w:val="single" w:sz="4" w:space="0" w:color="auto"/>
              <w:left w:val="single" w:sz="8" w:space="0" w:color="auto"/>
              <w:bottom w:val="single" w:sz="4" w:space="0" w:color="auto"/>
            </w:tcBorders>
            <w:shd w:val="clear" w:color="auto" w:fill="F2DBDB" w:themeFill="accent2" w:themeFillTint="33"/>
            <w:noWrap/>
            <w:vAlign w:val="bottom"/>
            <w:hideMark/>
          </w:tcPr>
          <w:p w14:paraId="1156C50F" w14:textId="2ABB1B72" w:rsidR="00386767" w:rsidRPr="00386767" w:rsidRDefault="00386767" w:rsidP="00273CB6">
            <w:pPr>
              <w:spacing w:line="240" w:lineRule="auto"/>
              <w:rPr>
                <w:rFonts w:asciiTheme="minorHAnsi" w:eastAsia="Times New Roman" w:hAnsiTheme="minorHAnsi" w:cs="Arial"/>
                <w:sz w:val="20"/>
                <w:szCs w:val="20"/>
              </w:rPr>
            </w:pPr>
            <w:r w:rsidRPr="00386767">
              <w:rPr>
                <w:rFonts w:ascii="Calibri" w:hAnsi="Calibri"/>
                <w:sz w:val="20"/>
                <w:szCs w:val="20"/>
              </w:rPr>
              <w:t>Review Next Year</w:t>
            </w:r>
          </w:p>
        </w:tc>
        <w:tc>
          <w:tcPr>
            <w:tcW w:w="932" w:type="dxa"/>
            <w:tcBorders>
              <w:top w:val="single" w:sz="4" w:space="0" w:color="auto"/>
              <w:bottom w:val="single" w:sz="4" w:space="0" w:color="auto"/>
            </w:tcBorders>
            <w:shd w:val="clear" w:color="auto" w:fill="F2DBDB" w:themeFill="accent2" w:themeFillTint="33"/>
            <w:noWrap/>
            <w:vAlign w:val="bottom"/>
            <w:hideMark/>
          </w:tcPr>
          <w:p w14:paraId="48D29ADA" w14:textId="3CA2F6D5" w:rsidR="00386767" w:rsidRPr="00386767" w:rsidRDefault="00386767" w:rsidP="00386767">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39</w:t>
            </w:r>
          </w:p>
        </w:tc>
        <w:tc>
          <w:tcPr>
            <w:tcW w:w="830" w:type="dxa"/>
            <w:tcBorders>
              <w:top w:val="single" w:sz="4" w:space="0" w:color="auto"/>
              <w:bottom w:val="single" w:sz="4" w:space="0" w:color="auto"/>
            </w:tcBorders>
            <w:shd w:val="clear" w:color="auto" w:fill="F2DBDB" w:themeFill="accent2" w:themeFillTint="33"/>
            <w:noWrap/>
            <w:vAlign w:val="bottom"/>
            <w:hideMark/>
          </w:tcPr>
          <w:p w14:paraId="528B8532" w14:textId="146FF54C" w:rsidR="00386767" w:rsidRPr="00386767" w:rsidRDefault="00386767" w:rsidP="00386767">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3</w:t>
            </w:r>
          </w:p>
        </w:tc>
        <w:tc>
          <w:tcPr>
            <w:tcW w:w="725" w:type="dxa"/>
            <w:tcBorders>
              <w:top w:val="single" w:sz="4" w:space="0" w:color="auto"/>
              <w:bottom w:val="single" w:sz="4" w:space="0" w:color="auto"/>
              <w:right w:val="single" w:sz="8" w:space="0" w:color="auto"/>
            </w:tcBorders>
            <w:shd w:val="clear" w:color="auto" w:fill="F2DBDB" w:themeFill="accent2" w:themeFillTint="33"/>
            <w:noWrap/>
            <w:vAlign w:val="bottom"/>
            <w:hideMark/>
          </w:tcPr>
          <w:p w14:paraId="4D81AD80" w14:textId="04399EB9" w:rsidR="00386767" w:rsidRPr="00386767" w:rsidRDefault="00386767" w:rsidP="00386767">
            <w:pPr>
              <w:spacing w:line="240" w:lineRule="auto"/>
              <w:jc w:val="center"/>
              <w:rPr>
                <w:rFonts w:asciiTheme="minorHAnsi" w:eastAsia="Times New Roman" w:hAnsiTheme="minorHAnsi" w:cs="Arial"/>
                <w:sz w:val="20"/>
                <w:szCs w:val="20"/>
              </w:rPr>
            </w:pPr>
            <w:r w:rsidRPr="00386767">
              <w:rPr>
                <w:rFonts w:ascii="Calibri" w:hAnsi="Calibri"/>
                <w:sz w:val="20"/>
                <w:szCs w:val="20"/>
              </w:rPr>
              <w:t>42</w:t>
            </w:r>
          </w:p>
        </w:tc>
      </w:tr>
      <w:tr w:rsidR="00386767" w:rsidRPr="003B3A5C" w14:paraId="47A05F0B" w14:textId="77777777" w:rsidTr="00386767">
        <w:trPr>
          <w:trHeight w:val="255"/>
          <w:jc w:val="center"/>
        </w:trPr>
        <w:tc>
          <w:tcPr>
            <w:tcW w:w="3099" w:type="dxa"/>
            <w:tcBorders>
              <w:top w:val="nil"/>
              <w:left w:val="single" w:sz="8" w:space="0" w:color="auto"/>
              <w:bottom w:val="single" w:sz="4" w:space="0" w:color="auto"/>
            </w:tcBorders>
            <w:shd w:val="clear" w:color="auto" w:fill="auto"/>
            <w:noWrap/>
            <w:vAlign w:val="bottom"/>
            <w:hideMark/>
          </w:tcPr>
          <w:p w14:paraId="5FA7CD19" w14:textId="0112DA4C" w:rsidR="00386767" w:rsidRPr="00386767" w:rsidRDefault="00386767" w:rsidP="00D86A25">
            <w:pPr>
              <w:spacing w:line="240" w:lineRule="auto"/>
              <w:rPr>
                <w:rFonts w:asciiTheme="minorHAnsi" w:eastAsia="Times New Roman" w:hAnsiTheme="minorHAnsi" w:cs="Arial"/>
                <w:sz w:val="20"/>
                <w:szCs w:val="20"/>
              </w:rPr>
            </w:pPr>
            <w:r w:rsidRPr="00386767">
              <w:rPr>
                <w:rFonts w:ascii="Calibri" w:hAnsi="Calibri"/>
                <w:sz w:val="20"/>
                <w:szCs w:val="20"/>
              </w:rPr>
              <w:t>No Longer Receiving Services</w:t>
            </w:r>
          </w:p>
        </w:tc>
        <w:tc>
          <w:tcPr>
            <w:tcW w:w="932" w:type="dxa"/>
            <w:tcBorders>
              <w:top w:val="nil"/>
              <w:bottom w:val="single" w:sz="4" w:space="0" w:color="auto"/>
            </w:tcBorders>
            <w:shd w:val="clear" w:color="auto" w:fill="auto"/>
            <w:noWrap/>
            <w:vAlign w:val="bottom"/>
            <w:hideMark/>
          </w:tcPr>
          <w:p w14:paraId="43741CCA" w14:textId="32ECF5D6" w:rsidR="00386767" w:rsidRPr="00386767" w:rsidRDefault="00386767" w:rsidP="00386767">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20</w:t>
            </w:r>
          </w:p>
        </w:tc>
        <w:tc>
          <w:tcPr>
            <w:tcW w:w="830" w:type="dxa"/>
            <w:tcBorders>
              <w:top w:val="nil"/>
              <w:bottom w:val="single" w:sz="4" w:space="0" w:color="auto"/>
            </w:tcBorders>
            <w:shd w:val="clear" w:color="auto" w:fill="auto"/>
            <w:noWrap/>
            <w:vAlign w:val="bottom"/>
            <w:hideMark/>
          </w:tcPr>
          <w:p w14:paraId="588140A8" w14:textId="5D9A1DEB" w:rsidR="00386767" w:rsidRPr="00386767" w:rsidRDefault="00386767" w:rsidP="00386767">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4</w:t>
            </w:r>
          </w:p>
        </w:tc>
        <w:tc>
          <w:tcPr>
            <w:tcW w:w="725" w:type="dxa"/>
            <w:tcBorders>
              <w:top w:val="nil"/>
              <w:bottom w:val="single" w:sz="4" w:space="0" w:color="auto"/>
              <w:right w:val="single" w:sz="8" w:space="0" w:color="auto"/>
            </w:tcBorders>
            <w:shd w:val="clear" w:color="auto" w:fill="auto"/>
            <w:noWrap/>
            <w:vAlign w:val="bottom"/>
            <w:hideMark/>
          </w:tcPr>
          <w:p w14:paraId="719A4D9C" w14:textId="0AE1A899" w:rsidR="00386767" w:rsidRPr="00386767" w:rsidRDefault="00386767" w:rsidP="00386767">
            <w:pPr>
              <w:spacing w:line="240" w:lineRule="auto"/>
              <w:jc w:val="center"/>
              <w:rPr>
                <w:rFonts w:asciiTheme="minorHAnsi" w:eastAsia="Times New Roman" w:hAnsiTheme="minorHAnsi" w:cs="Arial"/>
                <w:sz w:val="20"/>
                <w:szCs w:val="20"/>
              </w:rPr>
            </w:pPr>
            <w:r w:rsidRPr="00386767">
              <w:rPr>
                <w:rFonts w:ascii="Calibri" w:hAnsi="Calibri"/>
                <w:sz w:val="20"/>
                <w:szCs w:val="20"/>
              </w:rPr>
              <w:t>24</w:t>
            </w:r>
          </w:p>
        </w:tc>
      </w:tr>
      <w:tr w:rsidR="00386767" w:rsidRPr="003B3A5C" w14:paraId="689FB1EC" w14:textId="77777777" w:rsidTr="00386767">
        <w:trPr>
          <w:trHeight w:val="255"/>
          <w:jc w:val="center"/>
        </w:trPr>
        <w:tc>
          <w:tcPr>
            <w:tcW w:w="3099" w:type="dxa"/>
            <w:tcBorders>
              <w:top w:val="single" w:sz="4" w:space="0" w:color="auto"/>
              <w:left w:val="single" w:sz="8" w:space="0" w:color="auto"/>
              <w:bottom w:val="single" w:sz="4" w:space="0" w:color="auto"/>
            </w:tcBorders>
            <w:shd w:val="clear" w:color="auto" w:fill="F2DBDB" w:themeFill="accent2" w:themeFillTint="33"/>
            <w:noWrap/>
            <w:vAlign w:val="bottom"/>
            <w:hideMark/>
          </w:tcPr>
          <w:p w14:paraId="6E6B0F1F" w14:textId="179397F6" w:rsidR="00386767" w:rsidRPr="00386767" w:rsidRDefault="00386767" w:rsidP="00D86A25">
            <w:pPr>
              <w:spacing w:line="240" w:lineRule="auto"/>
              <w:rPr>
                <w:rFonts w:asciiTheme="minorHAnsi" w:eastAsia="Times New Roman" w:hAnsiTheme="minorHAnsi" w:cs="Arial"/>
                <w:sz w:val="20"/>
                <w:szCs w:val="20"/>
              </w:rPr>
            </w:pPr>
            <w:r w:rsidRPr="00386767">
              <w:rPr>
                <w:rFonts w:ascii="Calibri" w:hAnsi="Calibri"/>
                <w:sz w:val="20"/>
                <w:szCs w:val="20"/>
              </w:rPr>
              <w:t>Deceased</w:t>
            </w:r>
          </w:p>
        </w:tc>
        <w:tc>
          <w:tcPr>
            <w:tcW w:w="932" w:type="dxa"/>
            <w:tcBorders>
              <w:top w:val="single" w:sz="4" w:space="0" w:color="auto"/>
              <w:bottom w:val="single" w:sz="4" w:space="0" w:color="auto"/>
            </w:tcBorders>
            <w:shd w:val="clear" w:color="auto" w:fill="F2DBDB" w:themeFill="accent2" w:themeFillTint="33"/>
            <w:noWrap/>
            <w:vAlign w:val="bottom"/>
            <w:hideMark/>
          </w:tcPr>
          <w:p w14:paraId="1C300835" w14:textId="3C693E24" w:rsidR="00386767" w:rsidRPr="00386767" w:rsidRDefault="00386767" w:rsidP="00386767">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8</w:t>
            </w:r>
          </w:p>
        </w:tc>
        <w:tc>
          <w:tcPr>
            <w:tcW w:w="830" w:type="dxa"/>
            <w:tcBorders>
              <w:top w:val="single" w:sz="4" w:space="0" w:color="auto"/>
              <w:bottom w:val="single" w:sz="4" w:space="0" w:color="auto"/>
            </w:tcBorders>
            <w:shd w:val="clear" w:color="auto" w:fill="F2DBDB" w:themeFill="accent2" w:themeFillTint="33"/>
            <w:noWrap/>
            <w:vAlign w:val="bottom"/>
            <w:hideMark/>
          </w:tcPr>
          <w:p w14:paraId="79B79AF6" w14:textId="0766D453" w:rsidR="00386767" w:rsidRPr="00386767" w:rsidRDefault="00386767" w:rsidP="00386767">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0</w:t>
            </w:r>
          </w:p>
        </w:tc>
        <w:tc>
          <w:tcPr>
            <w:tcW w:w="725" w:type="dxa"/>
            <w:tcBorders>
              <w:top w:val="single" w:sz="4" w:space="0" w:color="auto"/>
              <w:bottom w:val="single" w:sz="4" w:space="0" w:color="auto"/>
              <w:right w:val="single" w:sz="8" w:space="0" w:color="auto"/>
            </w:tcBorders>
            <w:shd w:val="clear" w:color="auto" w:fill="F2DBDB" w:themeFill="accent2" w:themeFillTint="33"/>
            <w:noWrap/>
            <w:vAlign w:val="bottom"/>
            <w:hideMark/>
          </w:tcPr>
          <w:p w14:paraId="13C0DB09" w14:textId="169647B2" w:rsidR="00386767" w:rsidRPr="00386767" w:rsidRDefault="00386767" w:rsidP="00386767">
            <w:pPr>
              <w:spacing w:line="240" w:lineRule="auto"/>
              <w:jc w:val="center"/>
              <w:rPr>
                <w:rFonts w:asciiTheme="minorHAnsi" w:eastAsia="Times New Roman" w:hAnsiTheme="minorHAnsi" w:cs="Arial"/>
                <w:sz w:val="20"/>
                <w:szCs w:val="20"/>
              </w:rPr>
            </w:pPr>
            <w:r w:rsidRPr="00386767">
              <w:rPr>
                <w:rFonts w:ascii="Calibri" w:hAnsi="Calibri"/>
                <w:sz w:val="20"/>
                <w:szCs w:val="20"/>
              </w:rPr>
              <w:t>8</w:t>
            </w:r>
          </w:p>
        </w:tc>
      </w:tr>
      <w:tr w:rsidR="00386767" w:rsidRPr="003B3A5C" w14:paraId="008EC524" w14:textId="77777777" w:rsidTr="00386767">
        <w:trPr>
          <w:trHeight w:val="270"/>
          <w:jc w:val="center"/>
        </w:trPr>
        <w:tc>
          <w:tcPr>
            <w:tcW w:w="3099" w:type="dxa"/>
            <w:tcBorders>
              <w:top w:val="single" w:sz="4" w:space="0" w:color="auto"/>
              <w:left w:val="single" w:sz="8" w:space="0" w:color="auto"/>
              <w:bottom w:val="double" w:sz="4" w:space="0" w:color="auto"/>
            </w:tcBorders>
            <w:shd w:val="clear" w:color="auto" w:fill="auto"/>
            <w:noWrap/>
            <w:vAlign w:val="bottom"/>
            <w:hideMark/>
          </w:tcPr>
          <w:p w14:paraId="517999C7" w14:textId="0E214932" w:rsidR="00386767" w:rsidRPr="00386767" w:rsidRDefault="00386767" w:rsidP="00D86A25">
            <w:pPr>
              <w:spacing w:line="240" w:lineRule="auto"/>
              <w:rPr>
                <w:rFonts w:asciiTheme="minorHAnsi" w:eastAsia="Times New Roman" w:hAnsiTheme="minorHAnsi" w:cs="Arial"/>
                <w:sz w:val="20"/>
                <w:szCs w:val="20"/>
              </w:rPr>
            </w:pPr>
            <w:r w:rsidRPr="00386767">
              <w:rPr>
                <w:rFonts w:ascii="Calibri" w:hAnsi="Calibri"/>
                <w:sz w:val="20"/>
                <w:szCs w:val="20"/>
              </w:rPr>
              <w:t>Moved Out of State</w:t>
            </w:r>
          </w:p>
        </w:tc>
        <w:tc>
          <w:tcPr>
            <w:tcW w:w="932" w:type="dxa"/>
            <w:tcBorders>
              <w:top w:val="single" w:sz="4" w:space="0" w:color="auto"/>
              <w:bottom w:val="double" w:sz="4" w:space="0" w:color="auto"/>
            </w:tcBorders>
            <w:shd w:val="clear" w:color="auto" w:fill="auto"/>
            <w:noWrap/>
            <w:vAlign w:val="bottom"/>
            <w:hideMark/>
          </w:tcPr>
          <w:p w14:paraId="410D487A" w14:textId="78EECB67" w:rsidR="00386767" w:rsidRPr="00386767" w:rsidRDefault="00386767" w:rsidP="00386767">
            <w:pPr>
              <w:spacing w:line="240" w:lineRule="auto"/>
              <w:jc w:val="center"/>
              <w:rPr>
                <w:rFonts w:asciiTheme="minorHAnsi" w:eastAsia="Times New Roman" w:hAnsiTheme="minorHAnsi" w:cs="Times New Roman"/>
                <w:sz w:val="20"/>
                <w:szCs w:val="20"/>
              </w:rPr>
            </w:pPr>
            <w:r w:rsidRPr="00386767">
              <w:rPr>
                <w:rFonts w:ascii="Calibri" w:hAnsi="Calibri"/>
                <w:sz w:val="20"/>
                <w:szCs w:val="20"/>
              </w:rPr>
              <w:t>3</w:t>
            </w:r>
          </w:p>
        </w:tc>
        <w:tc>
          <w:tcPr>
            <w:tcW w:w="830" w:type="dxa"/>
            <w:tcBorders>
              <w:top w:val="single" w:sz="4" w:space="0" w:color="auto"/>
              <w:bottom w:val="double" w:sz="4" w:space="0" w:color="auto"/>
            </w:tcBorders>
            <w:shd w:val="clear" w:color="auto" w:fill="auto"/>
            <w:noWrap/>
            <w:vAlign w:val="bottom"/>
            <w:hideMark/>
          </w:tcPr>
          <w:p w14:paraId="35A23A5A" w14:textId="5DD44399" w:rsidR="00386767" w:rsidRPr="00386767" w:rsidRDefault="00386767" w:rsidP="00386767">
            <w:pPr>
              <w:spacing w:line="240" w:lineRule="auto"/>
              <w:jc w:val="center"/>
              <w:rPr>
                <w:rFonts w:asciiTheme="minorHAnsi" w:eastAsia="Times New Roman" w:hAnsiTheme="minorHAnsi" w:cs="Arial"/>
                <w:color w:val="000000"/>
                <w:sz w:val="20"/>
                <w:szCs w:val="20"/>
              </w:rPr>
            </w:pPr>
            <w:r w:rsidRPr="00386767">
              <w:rPr>
                <w:rFonts w:ascii="Calibri" w:hAnsi="Calibri"/>
                <w:color w:val="000000"/>
                <w:sz w:val="20"/>
                <w:szCs w:val="20"/>
              </w:rPr>
              <w:t>1</w:t>
            </w:r>
          </w:p>
        </w:tc>
        <w:tc>
          <w:tcPr>
            <w:tcW w:w="725" w:type="dxa"/>
            <w:tcBorders>
              <w:top w:val="single" w:sz="4" w:space="0" w:color="auto"/>
              <w:bottom w:val="double" w:sz="4" w:space="0" w:color="auto"/>
              <w:right w:val="single" w:sz="8" w:space="0" w:color="auto"/>
            </w:tcBorders>
            <w:shd w:val="clear" w:color="auto" w:fill="auto"/>
            <w:noWrap/>
            <w:vAlign w:val="bottom"/>
            <w:hideMark/>
          </w:tcPr>
          <w:p w14:paraId="2BA553DB" w14:textId="277D879C" w:rsidR="00386767" w:rsidRPr="00386767" w:rsidRDefault="00386767" w:rsidP="00386767">
            <w:pPr>
              <w:spacing w:line="240" w:lineRule="auto"/>
              <w:jc w:val="center"/>
              <w:rPr>
                <w:rFonts w:asciiTheme="minorHAnsi" w:eastAsia="Times New Roman" w:hAnsiTheme="minorHAnsi" w:cs="Arial"/>
                <w:sz w:val="20"/>
                <w:szCs w:val="20"/>
              </w:rPr>
            </w:pPr>
            <w:r w:rsidRPr="00386767">
              <w:rPr>
                <w:rFonts w:ascii="Calibri" w:hAnsi="Calibri"/>
                <w:sz w:val="20"/>
                <w:szCs w:val="20"/>
              </w:rPr>
              <w:t>4</w:t>
            </w:r>
          </w:p>
        </w:tc>
      </w:tr>
      <w:tr w:rsidR="00386767" w:rsidRPr="003B3A5C" w14:paraId="38EC13F0" w14:textId="77777777" w:rsidTr="00386767">
        <w:trPr>
          <w:trHeight w:val="285"/>
          <w:jc w:val="center"/>
        </w:trPr>
        <w:tc>
          <w:tcPr>
            <w:tcW w:w="3099" w:type="dxa"/>
            <w:tcBorders>
              <w:top w:val="double" w:sz="4" w:space="0" w:color="auto"/>
              <w:left w:val="single" w:sz="8" w:space="0" w:color="auto"/>
              <w:bottom w:val="single" w:sz="4" w:space="0" w:color="auto"/>
            </w:tcBorders>
            <w:shd w:val="clear" w:color="auto" w:fill="F2DBDB" w:themeFill="accent2" w:themeFillTint="33"/>
            <w:noWrap/>
            <w:vAlign w:val="bottom"/>
            <w:hideMark/>
          </w:tcPr>
          <w:p w14:paraId="002D9B9F" w14:textId="44838431" w:rsidR="00386767" w:rsidRPr="00386767" w:rsidRDefault="00386767" w:rsidP="00D86A25">
            <w:pPr>
              <w:spacing w:line="240" w:lineRule="auto"/>
              <w:rPr>
                <w:rFonts w:asciiTheme="minorHAnsi" w:eastAsia="Times New Roman" w:hAnsiTheme="minorHAnsi" w:cs="Arial"/>
                <w:b/>
                <w:sz w:val="20"/>
                <w:szCs w:val="20"/>
              </w:rPr>
            </w:pPr>
            <w:r w:rsidRPr="00386767">
              <w:rPr>
                <w:rFonts w:ascii="Calibri" w:hAnsi="Calibri"/>
                <w:b/>
                <w:color w:val="000000"/>
                <w:sz w:val="20"/>
                <w:szCs w:val="20"/>
              </w:rPr>
              <w:t>Total</w:t>
            </w:r>
          </w:p>
        </w:tc>
        <w:tc>
          <w:tcPr>
            <w:tcW w:w="932" w:type="dxa"/>
            <w:tcBorders>
              <w:top w:val="double" w:sz="4" w:space="0" w:color="auto"/>
              <w:bottom w:val="single" w:sz="4" w:space="0" w:color="auto"/>
            </w:tcBorders>
            <w:shd w:val="clear" w:color="auto" w:fill="F2DBDB" w:themeFill="accent2" w:themeFillTint="33"/>
            <w:noWrap/>
            <w:vAlign w:val="bottom"/>
            <w:hideMark/>
          </w:tcPr>
          <w:p w14:paraId="70B7D650" w14:textId="3F1404C8" w:rsidR="00386767" w:rsidRPr="00386767" w:rsidRDefault="00386767" w:rsidP="00386767">
            <w:pPr>
              <w:spacing w:line="240" w:lineRule="auto"/>
              <w:jc w:val="center"/>
              <w:rPr>
                <w:rFonts w:asciiTheme="minorHAnsi" w:eastAsia="Times New Roman" w:hAnsiTheme="minorHAnsi" w:cs="Arial"/>
                <w:b/>
                <w:color w:val="000000"/>
                <w:sz w:val="20"/>
                <w:szCs w:val="20"/>
              </w:rPr>
            </w:pPr>
            <w:r w:rsidRPr="00386767">
              <w:rPr>
                <w:rFonts w:ascii="Calibri" w:hAnsi="Calibri"/>
                <w:b/>
                <w:color w:val="000000"/>
                <w:sz w:val="20"/>
                <w:szCs w:val="20"/>
              </w:rPr>
              <w:t>147</w:t>
            </w:r>
          </w:p>
        </w:tc>
        <w:tc>
          <w:tcPr>
            <w:tcW w:w="830" w:type="dxa"/>
            <w:tcBorders>
              <w:top w:val="double" w:sz="4" w:space="0" w:color="auto"/>
              <w:bottom w:val="single" w:sz="4" w:space="0" w:color="auto"/>
            </w:tcBorders>
            <w:shd w:val="clear" w:color="auto" w:fill="F2DBDB" w:themeFill="accent2" w:themeFillTint="33"/>
            <w:noWrap/>
            <w:vAlign w:val="bottom"/>
            <w:hideMark/>
          </w:tcPr>
          <w:p w14:paraId="57A59F33" w14:textId="1B2CAE5A" w:rsidR="00386767" w:rsidRPr="00386767" w:rsidRDefault="00386767" w:rsidP="00386767">
            <w:pPr>
              <w:spacing w:line="240" w:lineRule="auto"/>
              <w:jc w:val="center"/>
              <w:rPr>
                <w:rFonts w:asciiTheme="minorHAnsi" w:eastAsia="Times New Roman" w:hAnsiTheme="minorHAnsi" w:cs="Arial"/>
                <w:b/>
                <w:color w:val="000000"/>
                <w:sz w:val="20"/>
                <w:szCs w:val="20"/>
              </w:rPr>
            </w:pPr>
            <w:r w:rsidRPr="00386767">
              <w:rPr>
                <w:rFonts w:ascii="Calibri" w:hAnsi="Calibri"/>
                <w:b/>
                <w:color w:val="000000"/>
                <w:sz w:val="20"/>
                <w:szCs w:val="20"/>
              </w:rPr>
              <w:t>20</w:t>
            </w:r>
          </w:p>
        </w:tc>
        <w:tc>
          <w:tcPr>
            <w:tcW w:w="725" w:type="dxa"/>
            <w:tcBorders>
              <w:top w:val="double" w:sz="4" w:space="0" w:color="auto"/>
              <w:bottom w:val="single" w:sz="4" w:space="0" w:color="auto"/>
              <w:right w:val="single" w:sz="8" w:space="0" w:color="auto"/>
            </w:tcBorders>
            <w:shd w:val="clear" w:color="auto" w:fill="F2DBDB" w:themeFill="accent2" w:themeFillTint="33"/>
            <w:noWrap/>
            <w:vAlign w:val="bottom"/>
            <w:hideMark/>
          </w:tcPr>
          <w:p w14:paraId="07D95DB1" w14:textId="7B4177A7" w:rsidR="00386767" w:rsidRPr="00386767" w:rsidRDefault="00386767" w:rsidP="00386767">
            <w:pPr>
              <w:spacing w:line="240" w:lineRule="auto"/>
              <w:jc w:val="center"/>
              <w:rPr>
                <w:rFonts w:asciiTheme="minorHAnsi" w:eastAsia="Times New Roman" w:hAnsiTheme="minorHAnsi" w:cs="Arial"/>
                <w:b/>
                <w:color w:val="000000"/>
                <w:sz w:val="20"/>
                <w:szCs w:val="20"/>
              </w:rPr>
            </w:pPr>
            <w:r w:rsidRPr="00386767">
              <w:rPr>
                <w:rFonts w:ascii="Calibri" w:hAnsi="Calibri"/>
                <w:b/>
                <w:color w:val="000000"/>
                <w:sz w:val="20"/>
                <w:szCs w:val="20"/>
              </w:rPr>
              <w:t>167</w:t>
            </w:r>
          </w:p>
        </w:tc>
      </w:tr>
    </w:tbl>
    <w:p w14:paraId="53C5A059" w14:textId="77777777" w:rsidR="007C1358" w:rsidRDefault="007C1358" w:rsidP="007C1358"/>
    <w:p w14:paraId="15B01B28" w14:textId="77777777" w:rsidR="00265633" w:rsidRDefault="00265633" w:rsidP="007C1358"/>
    <w:p w14:paraId="293505E0" w14:textId="15E44129" w:rsidR="009D363A" w:rsidRDefault="009D363A" w:rsidP="009D363A">
      <w:pPr>
        <w:pStyle w:val="Heading3"/>
      </w:pPr>
      <w:bookmarkStart w:id="41" w:name="_Toc459080637"/>
      <w:r>
        <w:t>Demographics</w:t>
      </w:r>
      <w:bookmarkEnd w:id="41"/>
    </w:p>
    <w:p w14:paraId="660DF363" w14:textId="77777777" w:rsidR="00265633" w:rsidRDefault="00A37105" w:rsidP="007C1358">
      <w:r>
        <w:t>The following series of figures shows the distribution of the PCR sample across Residential Setting, Age Groups and Primary Disability.</w:t>
      </w:r>
      <w:r w:rsidRPr="009D363A">
        <w:rPr>
          <w:rStyle w:val="FootnoteReference"/>
        </w:rPr>
        <w:footnoteReference w:id="5"/>
      </w:r>
      <w:r>
        <w:t xml:space="preserve">  </w:t>
      </w:r>
    </w:p>
    <w:p w14:paraId="4AB826AA" w14:textId="77777777" w:rsidR="00265633" w:rsidRDefault="00265633" w:rsidP="007C1358"/>
    <w:p w14:paraId="50D51F2D" w14:textId="403F06FD" w:rsidR="00A37105" w:rsidRDefault="00A37105" w:rsidP="00265633">
      <w:pPr>
        <w:pStyle w:val="ListParagraph"/>
        <w:numPr>
          <w:ilvl w:val="0"/>
          <w:numId w:val="40"/>
        </w:numPr>
      </w:pPr>
      <w:r>
        <w:t xml:space="preserve">Almost all CDC+ participants live in the family home (92.7%), compared to just under half of DD Waiver participants (48.4%).  </w:t>
      </w:r>
    </w:p>
    <w:p w14:paraId="4DD485C0" w14:textId="5A5F28A7" w:rsidR="00A37105" w:rsidRDefault="00265633" w:rsidP="00265633">
      <w:pPr>
        <w:pStyle w:val="ListParagraph"/>
        <w:numPr>
          <w:ilvl w:val="0"/>
          <w:numId w:val="40"/>
        </w:numPr>
      </w:pPr>
      <w:r>
        <w:t>CDC+ participants are more likely to be younger than DD Waiver participants.</w:t>
      </w:r>
    </w:p>
    <w:p w14:paraId="4CFBF293" w14:textId="4435ADF3" w:rsidR="00265633" w:rsidRDefault="00265633" w:rsidP="00265633">
      <w:pPr>
        <w:pStyle w:val="ListParagraph"/>
        <w:numPr>
          <w:ilvl w:val="0"/>
          <w:numId w:val="40"/>
        </w:numPr>
      </w:pPr>
      <w:r>
        <w:lastRenderedPageBreak/>
        <w:t>DD Waiver participants are considerably more likely to have an intellectual disability as their primary disability than CDC+ participants, 76.6 percent and 53.6 percent respectively.</w:t>
      </w:r>
    </w:p>
    <w:p w14:paraId="0199C697" w14:textId="1D7BCB0B" w:rsidR="00265502" w:rsidRDefault="00265502" w:rsidP="00265633">
      <w:pPr>
        <w:pStyle w:val="ListParagraph"/>
        <w:numPr>
          <w:ilvl w:val="0"/>
          <w:numId w:val="40"/>
        </w:numPr>
      </w:pPr>
      <w:r>
        <w:t xml:space="preserve">Close to 44 percent of individuals on the DD Waiver </w:t>
      </w:r>
      <w:r w:rsidR="00FA3CFC">
        <w:t>have Cerebral Palsy or Au</w:t>
      </w:r>
      <w:r w:rsidR="00A33CA8">
        <w:t>tism as a primary disability</w:t>
      </w:r>
      <w:r w:rsidR="00FA3CFC">
        <w:t>.</w:t>
      </w:r>
    </w:p>
    <w:p w14:paraId="722F267B" w14:textId="6CD2F57D" w:rsidR="009D363A" w:rsidRDefault="00A37105" w:rsidP="00A37105">
      <w:pPr>
        <w:spacing w:line="240" w:lineRule="auto"/>
        <w:jc w:val="center"/>
      </w:pPr>
      <w:r>
        <w:rPr>
          <w:noProof/>
        </w:rPr>
        <w:drawing>
          <wp:inline distT="0" distB="0" distL="0" distR="0" wp14:anchorId="6316DA7A" wp14:editId="4AA91E3C">
            <wp:extent cx="4293704" cy="2512612"/>
            <wp:effectExtent l="0" t="0" r="12065" b="215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A95BF45" w14:textId="77777777" w:rsidR="00641E55" w:rsidRDefault="00641E55" w:rsidP="00A37105">
      <w:pPr>
        <w:spacing w:line="240" w:lineRule="auto"/>
        <w:jc w:val="center"/>
      </w:pPr>
    </w:p>
    <w:p w14:paraId="7F092811" w14:textId="4DE10B46" w:rsidR="00000F31" w:rsidRDefault="00641E55" w:rsidP="00A37105">
      <w:pPr>
        <w:spacing w:line="240" w:lineRule="auto"/>
        <w:jc w:val="center"/>
      </w:pPr>
      <w:r>
        <w:rPr>
          <w:noProof/>
        </w:rPr>
        <w:drawing>
          <wp:inline distT="0" distB="0" distL="0" distR="0" wp14:anchorId="4D7A6C4C" wp14:editId="2D6D7710">
            <wp:extent cx="4238045" cy="2592126"/>
            <wp:effectExtent l="0" t="0" r="10160" b="1778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D5309DA" w14:textId="77777777" w:rsidR="00000F31" w:rsidRDefault="00000F31" w:rsidP="00A37105">
      <w:pPr>
        <w:spacing w:line="240" w:lineRule="auto"/>
        <w:jc w:val="center"/>
      </w:pPr>
    </w:p>
    <w:p w14:paraId="15ADC10C" w14:textId="1127BD9E" w:rsidR="00000F31" w:rsidRDefault="00265633" w:rsidP="00A37105">
      <w:pPr>
        <w:spacing w:line="240" w:lineRule="auto"/>
        <w:jc w:val="center"/>
      </w:pPr>
      <w:r>
        <w:rPr>
          <w:noProof/>
        </w:rPr>
        <w:lastRenderedPageBreak/>
        <w:drawing>
          <wp:inline distT="0" distB="0" distL="0" distR="0" wp14:anchorId="3CA20B39" wp14:editId="6124F863">
            <wp:extent cx="4182386" cy="2480807"/>
            <wp:effectExtent l="0" t="0" r="27940"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5F29193" w14:textId="77777777" w:rsidR="000839FC" w:rsidRDefault="000839FC" w:rsidP="00A37105">
      <w:pPr>
        <w:spacing w:line="240" w:lineRule="auto"/>
        <w:jc w:val="center"/>
      </w:pPr>
    </w:p>
    <w:p w14:paraId="05C79297" w14:textId="77777777" w:rsidR="000839FC" w:rsidRDefault="000839FC" w:rsidP="00A37105">
      <w:pPr>
        <w:spacing w:line="240" w:lineRule="auto"/>
        <w:jc w:val="center"/>
      </w:pPr>
    </w:p>
    <w:p w14:paraId="5FA55F15" w14:textId="201E58C7" w:rsidR="007C1358" w:rsidRDefault="00DC5A64" w:rsidP="001B6245">
      <w:pPr>
        <w:pStyle w:val="Heading3"/>
      </w:pPr>
      <w:bookmarkStart w:id="42" w:name="_Toc369864675"/>
      <w:bookmarkStart w:id="43" w:name="_Toc459080638"/>
      <w:r>
        <w:t xml:space="preserve">PCR </w:t>
      </w:r>
      <w:r w:rsidR="007C1358">
        <w:t xml:space="preserve">Individual Interview </w:t>
      </w:r>
      <w:bookmarkEnd w:id="42"/>
      <w:r>
        <w:t>(II)</w:t>
      </w:r>
      <w:bookmarkEnd w:id="43"/>
    </w:p>
    <w:p w14:paraId="2A59BD6E" w14:textId="0F6A9C3B" w:rsidR="00946AFA" w:rsidRDefault="007C1358" w:rsidP="007C1358">
      <w:r w:rsidRPr="002B3FBD">
        <w:t xml:space="preserve">Each individual who participates in a PCR receives a face-to-face interview that includes the National Core Indicator (NCI) Adult Consumer Survey and the </w:t>
      </w:r>
      <w:r w:rsidR="00FB7C80" w:rsidRPr="002B3FBD">
        <w:t xml:space="preserve">PCR </w:t>
      </w:r>
      <w:r w:rsidRPr="002B3FBD">
        <w:t>II.</w:t>
      </w:r>
      <w:r w:rsidRPr="002B3FBD">
        <w:rPr>
          <w:rStyle w:val="FootnoteReference"/>
        </w:rPr>
        <w:footnoteReference w:id="6"/>
      </w:r>
      <w:r w:rsidRPr="002B3FBD">
        <w:t xml:space="preserve">  The </w:t>
      </w:r>
      <w:r w:rsidR="00623E07" w:rsidRPr="002B3FBD">
        <w:t xml:space="preserve">PCR </w:t>
      </w:r>
      <w:r w:rsidRPr="002B3FBD">
        <w:t xml:space="preserve">II consists of </w:t>
      </w:r>
      <w:r w:rsidR="00946AFA" w:rsidRPr="002B3FBD">
        <w:t>seven</w:t>
      </w:r>
      <w:r w:rsidRPr="002B3FBD">
        <w:t xml:space="preserve"> standards</w:t>
      </w:r>
      <w:r w:rsidR="00946AFA" w:rsidRPr="002B3FBD">
        <w:t xml:space="preserve"> (four related to Community), each composed of a various number of indicators/questions.  </w:t>
      </w:r>
      <w:r w:rsidR="00292B10" w:rsidRPr="002B3FBD">
        <w:t xml:space="preserve">Up to </w:t>
      </w:r>
      <w:r w:rsidR="00B207B8" w:rsidRPr="00CE74E1">
        <w:t>68</w:t>
      </w:r>
      <w:r w:rsidR="00292B10" w:rsidRPr="00CE74E1">
        <w:t xml:space="preserve"> indictors</w:t>
      </w:r>
      <w:r w:rsidR="00292B10" w:rsidRPr="002B3FBD">
        <w:t xml:space="preserve"> are scored.  </w:t>
      </w:r>
      <w:r w:rsidR="00CE74E1">
        <w:t>Indicators addressing k</w:t>
      </w:r>
      <w:r w:rsidR="00CE74E1" w:rsidRPr="002B3FBD">
        <w:t xml:space="preserve">ey </w:t>
      </w:r>
      <w:r w:rsidR="00CE74E1">
        <w:t xml:space="preserve">areas such as </w:t>
      </w:r>
      <w:r w:rsidR="00292B10" w:rsidRPr="002B3FBD">
        <w:t>rights and choice are</w:t>
      </w:r>
      <w:r w:rsidR="00292B10">
        <w:t xml:space="preserve"> embedded in and specific to each standard.  </w:t>
      </w:r>
      <w:r w:rsidR="00946AFA">
        <w:t xml:space="preserve">The standards and number of indicators used to measure </w:t>
      </w:r>
      <w:r w:rsidR="00BE2C9A">
        <w:t>them</w:t>
      </w:r>
      <w:r w:rsidR="00D86A25">
        <w:t xml:space="preserve"> (in parentheses)</w:t>
      </w:r>
      <w:r w:rsidR="00946AFA">
        <w:t xml:space="preserve"> are as follows:</w:t>
      </w:r>
    </w:p>
    <w:p w14:paraId="4E510B1E" w14:textId="08280DC8" w:rsidR="00946AFA" w:rsidRDefault="00946AFA" w:rsidP="00646181">
      <w:pPr>
        <w:pStyle w:val="ListParagraph"/>
        <w:numPr>
          <w:ilvl w:val="0"/>
          <w:numId w:val="4"/>
        </w:numPr>
      </w:pPr>
      <w:r>
        <w:t>Person Centered Supports (</w:t>
      </w:r>
      <w:r w:rsidR="002B3FBD">
        <w:t>27</w:t>
      </w:r>
      <w:r>
        <w:t>):  Individual’s needs are identified and met through person centered practices</w:t>
      </w:r>
    </w:p>
    <w:p w14:paraId="09C8998F" w14:textId="45C52F0D" w:rsidR="00547C2F" w:rsidRDefault="00547C2F" w:rsidP="00547C2F">
      <w:pPr>
        <w:pStyle w:val="ListParagraph"/>
        <w:numPr>
          <w:ilvl w:val="0"/>
          <w:numId w:val="4"/>
        </w:numPr>
      </w:pPr>
      <w:r>
        <w:t>Community: Individuals have opportunities for integration in all aspects of their lives including  where they live (majority of findings apply to individuals in Supported Living and licensed settings) (9)</w:t>
      </w:r>
      <w:r w:rsidR="00B207B8">
        <w:t xml:space="preserve"> (Residence)</w:t>
      </w:r>
    </w:p>
    <w:p w14:paraId="3937974B" w14:textId="00B38C3A" w:rsidR="00547C2F" w:rsidRDefault="00946AFA" w:rsidP="00646181">
      <w:pPr>
        <w:pStyle w:val="ListParagraph"/>
        <w:numPr>
          <w:ilvl w:val="0"/>
          <w:numId w:val="4"/>
        </w:numPr>
      </w:pPr>
      <w:r>
        <w:t>Community</w:t>
      </w:r>
      <w:r w:rsidR="00547C2F">
        <w:t>:</w:t>
      </w:r>
      <w:r>
        <w:t xml:space="preserve"> Individuals have opportunities for integration in all aspects of their lives including </w:t>
      </w:r>
      <w:r w:rsidR="00547C2F">
        <w:t xml:space="preserve"> where they work (majority of findings apply to individuals receiving LSD 1, 2 or 3, or Personal Supports if used as a meaningful day activity) (4)</w:t>
      </w:r>
      <w:r w:rsidR="00B207B8">
        <w:t xml:space="preserve"> (Work)</w:t>
      </w:r>
    </w:p>
    <w:p w14:paraId="6FB7C9E7" w14:textId="2D4235FA" w:rsidR="00547C2F" w:rsidRDefault="00547C2F" w:rsidP="00547C2F">
      <w:pPr>
        <w:pStyle w:val="ListParagraph"/>
        <w:numPr>
          <w:ilvl w:val="0"/>
          <w:numId w:val="4"/>
        </w:numPr>
      </w:pPr>
      <w:r>
        <w:lastRenderedPageBreak/>
        <w:t>Community: Individuals have opportunities for integration in all aspects of their lives including  access to community services and activities (5)</w:t>
      </w:r>
      <w:r w:rsidR="00B207B8">
        <w:t xml:space="preserve"> (Access)</w:t>
      </w:r>
    </w:p>
    <w:p w14:paraId="03173B15" w14:textId="468F0B68" w:rsidR="00B207B8" w:rsidRDefault="00B207B8" w:rsidP="00547C2F">
      <w:pPr>
        <w:pStyle w:val="ListParagraph"/>
        <w:numPr>
          <w:ilvl w:val="0"/>
          <w:numId w:val="4"/>
        </w:numPr>
      </w:pPr>
      <w:r>
        <w:t>Community: Individuals have opportunities for integration in all aspects of their lives including  opportunities for new relationships (4)</w:t>
      </w:r>
      <w:r w:rsidR="00A8702A">
        <w:t xml:space="preserve"> (Relationships)</w:t>
      </w:r>
    </w:p>
    <w:p w14:paraId="3BE253C5" w14:textId="14791E05" w:rsidR="00292B10" w:rsidRDefault="00B207B8" w:rsidP="00646181">
      <w:pPr>
        <w:pStyle w:val="ListParagraph"/>
        <w:numPr>
          <w:ilvl w:val="0"/>
          <w:numId w:val="4"/>
        </w:numPr>
      </w:pPr>
      <w:r>
        <w:t>Individuals are safe</w:t>
      </w:r>
      <w:r w:rsidR="00292B10">
        <w:t xml:space="preserve"> (1</w:t>
      </w:r>
      <w:r>
        <w:t>2</w:t>
      </w:r>
      <w:r w:rsidR="00292B10">
        <w:t>)</w:t>
      </w:r>
    </w:p>
    <w:p w14:paraId="6734CFA4" w14:textId="6973E84E" w:rsidR="00946AFA" w:rsidRDefault="00B207B8" w:rsidP="00646181">
      <w:pPr>
        <w:pStyle w:val="ListParagraph"/>
        <w:numPr>
          <w:ilvl w:val="0"/>
          <w:numId w:val="4"/>
        </w:numPr>
      </w:pPr>
      <w:r>
        <w:t>Individuals are in best possible h</w:t>
      </w:r>
      <w:r w:rsidR="00292B10">
        <w:t>ealth (</w:t>
      </w:r>
      <w:r>
        <w:t>7</w:t>
      </w:r>
      <w:r w:rsidR="00292B10">
        <w:t>)</w:t>
      </w:r>
      <w:r w:rsidR="00946AFA">
        <w:t xml:space="preserve">  </w:t>
      </w:r>
    </w:p>
    <w:p w14:paraId="76745956" w14:textId="77777777" w:rsidR="00946AFA" w:rsidRDefault="00946AFA" w:rsidP="007C1358"/>
    <w:p w14:paraId="0FA084D0" w14:textId="737B213E" w:rsidR="007C1358" w:rsidRDefault="007C1358" w:rsidP="007C1358">
      <w:r>
        <w:t>The CDC+ program provides individuals with flexibility and opportunities not offered to individuals on the Developmental Disabilities (DD) waiver, such as the ability to hire/fire providers</w:t>
      </w:r>
      <w:r w:rsidR="00CD2C07">
        <w:t>,</w:t>
      </w:r>
      <w:r w:rsidR="00C74927">
        <w:t xml:space="preserve"> use non-waiver providers</w:t>
      </w:r>
      <w:r w:rsidR="009A643C">
        <w:t xml:space="preserve"> who are</w:t>
      </w:r>
      <w:r w:rsidR="00C74927">
        <w:t xml:space="preserve"> often family members</w:t>
      </w:r>
      <w:r w:rsidR="00CD2C07">
        <w:t xml:space="preserve">, </w:t>
      </w:r>
      <w:r w:rsidR="00E86DCF">
        <w:t xml:space="preserve">and </w:t>
      </w:r>
      <w:r w:rsidR="00CD2C07">
        <w:t xml:space="preserve">negotiate </w:t>
      </w:r>
      <w:r>
        <w:t xml:space="preserve">provider rates.  A non-paid representative helps with the financial/business aspect of the program and a CDC+ Consultant acts as a service coordinator.  CDC+ Consultants must also be certified as Waiver Support Coordinators.  Because of these basic differences, results for CDC+ participants are analyzed separately.  </w:t>
      </w:r>
    </w:p>
    <w:p w14:paraId="1C13E10D" w14:textId="77777777" w:rsidR="007C1358" w:rsidRDefault="007C1358" w:rsidP="007C1358"/>
    <w:p w14:paraId="755C0B35" w14:textId="5CFF7510" w:rsidR="00E73521" w:rsidRPr="00F40784" w:rsidRDefault="00E73521" w:rsidP="000805B2">
      <w:pPr>
        <w:pStyle w:val="Heading4"/>
      </w:pPr>
      <w:r w:rsidRPr="00F40784">
        <w:rPr>
          <w:rStyle w:val="Heading4Char"/>
          <w:b/>
        </w:rPr>
        <w:t>PCR II by Standard</w:t>
      </w:r>
    </w:p>
    <w:p w14:paraId="6683C62C" w14:textId="7AC03EDA" w:rsidR="005A705F" w:rsidRDefault="00FB7C80" w:rsidP="007C1358">
      <w:r w:rsidRPr="00695321">
        <w:t xml:space="preserve">The average PCR II score for each standard is presented in Figure </w:t>
      </w:r>
      <w:r w:rsidR="000839FC">
        <w:t>4</w:t>
      </w:r>
      <w:r w:rsidRPr="00695321">
        <w:t>, for DD Waiver and CDC+ Participants.</w:t>
      </w:r>
      <w:r w:rsidR="00504918" w:rsidRPr="00695321">
        <w:rPr>
          <w:rStyle w:val="FootnoteReference"/>
        </w:rPr>
        <w:footnoteReference w:id="7"/>
      </w:r>
      <w:r w:rsidRPr="00695321">
        <w:t xml:space="preserve">  </w:t>
      </w:r>
      <w:r w:rsidR="002B773B" w:rsidRPr="00695321">
        <w:t>Scores on average are very high</w:t>
      </w:r>
      <w:r w:rsidR="005A705F" w:rsidRPr="00695321">
        <w:t>, with CDC+ participants somewhat higher consistently for</w:t>
      </w:r>
      <w:r w:rsidR="005A705F" w:rsidRPr="00504918">
        <w:t xml:space="preserve"> all standards</w:t>
      </w:r>
      <w:r w:rsidR="00DA08B0">
        <w:t>,</w:t>
      </w:r>
      <w:r w:rsidR="00695321">
        <w:t xml:space="preserve"> particularly for </w:t>
      </w:r>
      <w:r w:rsidR="003261B5" w:rsidRPr="00504918">
        <w:t xml:space="preserve">Community </w:t>
      </w:r>
      <w:r w:rsidR="005A705F" w:rsidRPr="00504918">
        <w:t>P</w:t>
      </w:r>
      <w:r w:rsidR="00DA08B0">
        <w:t>articipation</w:t>
      </w:r>
      <w:r w:rsidR="00695321">
        <w:t xml:space="preserve">.  </w:t>
      </w:r>
    </w:p>
    <w:p w14:paraId="38F0E895" w14:textId="11F4803C" w:rsidR="00FB7C80" w:rsidRDefault="00695321" w:rsidP="00415CBD">
      <w:pPr>
        <w:pStyle w:val="Caption"/>
        <w:jc w:val="center"/>
      </w:pPr>
      <w:r>
        <w:rPr>
          <w:noProof/>
        </w:rPr>
        <w:lastRenderedPageBreak/>
        <w:drawing>
          <wp:inline distT="0" distB="0" distL="0" distR="0" wp14:anchorId="6BE847C0" wp14:editId="3354C828">
            <wp:extent cx="5812404" cy="4007457"/>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09F0CF" w14:textId="77777777" w:rsidR="00843531" w:rsidRDefault="00843531" w:rsidP="007C1358"/>
    <w:p w14:paraId="6B024110" w14:textId="7B02DD4C" w:rsidR="001253F0" w:rsidRDefault="001253F0" w:rsidP="007C1358">
      <w:r>
        <w:t xml:space="preserve">Of the </w:t>
      </w:r>
      <w:r w:rsidR="003754C0">
        <w:t xml:space="preserve">68 </w:t>
      </w:r>
      <w:r>
        <w:t xml:space="preserve">different indicators used to measure standards for the PCR II, </w:t>
      </w:r>
      <w:r w:rsidR="00FB298D">
        <w:t xml:space="preserve">for the DD Waiver, </w:t>
      </w:r>
      <w:r w:rsidR="007B63A1">
        <w:t>three</w:t>
      </w:r>
      <w:r>
        <w:t xml:space="preserve"> showed </w:t>
      </w:r>
      <w:r w:rsidR="003754C0">
        <w:t xml:space="preserve">a score of less than 90 percent, </w:t>
      </w:r>
      <w:r w:rsidR="00FB298D">
        <w:t xml:space="preserve">related to social role development and friendships. </w:t>
      </w:r>
    </w:p>
    <w:p w14:paraId="1EBDA60E" w14:textId="77777777" w:rsidR="00E62A8E" w:rsidRDefault="00E62A8E" w:rsidP="007C1358"/>
    <w:p w14:paraId="16065FE0" w14:textId="22AD6C7A" w:rsidR="00FB298D" w:rsidRPr="00FB298D" w:rsidRDefault="00FB298D" w:rsidP="007C1358">
      <w:pPr>
        <w:rPr>
          <w:b/>
        </w:rPr>
      </w:pPr>
      <w:r w:rsidRPr="00FB298D">
        <w:rPr>
          <w:b/>
        </w:rPr>
        <w:t xml:space="preserve">Low Scoring DD Waiver </w:t>
      </w:r>
      <w:r w:rsidR="00403742">
        <w:rPr>
          <w:b/>
        </w:rPr>
        <w:t>Indicators</w:t>
      </w:r>
      <w:r w:rsidRPr="00FB298D">
        <w:rPr>
          <w:b/>
        </w:rPr>
        <w:t>:  PCR II</w:t>
      </w:r>
    </w:p>
    <w:p w14:paraId="5086F3BB" w14:textId="3066B709" w:rsidR="001253F0" w:rsidRDefault="001253F0" w:rsidP="001253F0">
      <w:pPr>
        <w:spacing w:line="240" w:lineRule="auto"/>
      </w:pPr>
      <w:r>
        <w:rPr>
          <w:noProof/>
        </w:rPr>
        <w:drawing>
          <wp:inline distT="0" distB="0" distL="0" distR="0" wp14:anchorId="6F889C93" wp14:editId="7180D30F">
            <wp:extent cx="5493715" cy="1477670"/>
            <wp:effectExtent l="38100" t="38100" r="12065" b="2730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7F0A7DE" w14:textId="77777777" w:rsidR="00FB298D" w:rsidRDefault="00FB298D" w:rsidP="007C1358"/>
    <w:p w14:paraId="2664C1D9" w14:textId="2EAD2E80" w:rsidR="00FB298D" w:rsidRDefault="00FB298D" w:rsidP="007C1358">
      <w:r>
        <w:t xml:space="preserve">Two standards for CDC+ participants showed a score of less than 90 percent, one related to the opportunities provided to develop friendships and the other to adaptive equipment. </w:t>
      </w:r>
    </w:p>
    <w:p w14:paraId="44F9653A" w14:textId="544F6AB2" w:rsidR="000839FC" w:rsidRDefault="000839FC">
      <w:pPr>
        <w:spacing w:line="240" w:lineRule="auto"/>
      </w:pPr>
      <w:r>
        <w:br w:type="page"/>
      </w:r>
    </w:p>
    <w:p w14:paraId="05BCFF37" w14:textId="77777777" w:rsidR="00FB298D" w:rsidRDefault="00FB298D" w:rsidP="007C1358"/>
    <w:p w14:paraId="05AE9164" w14:textId="760D27CB" w:rsidR="00FB298D" w:rsidRPr="00D852D1" w:rsidRDefault="00FB298D" w:rsidP="007C1358">
      <w:pPr>
        <w:rPr>
          <w:b/>
        </w:rPr>
      </w:pPr>
      <w:r w:rsidRPr="00D852D1">
        <w:rPr>
          <w:b/>
        </w:rPr>
        <w:t xml:space="preserve">Low Scoring CDC+ </w:t>
      </w:r>
      <w:r w:rsidR="00403742">
        <w:rPr>
          <w:b/>
        </w:rPr>
        <w:t>Indicator</w:t>
      </w:r>
      <w:r w:rsidRPr="00D852D1">
        <w:rPr>
          <w:b/>
        </w:rPr>
        <w:t>s:  PCR II</w:t>
      </w:r>
    </w:p>
    <w:p w14:paraId="55507B1B" w14:textId="3119E7B2" w:rsidR="00FB298D" w:rsidRDefault="00FB298D" w:rsidP="00FB298D">
      <w:pPr>
        <w:spacing w:line="240" w:lineRule="auto"/>
      </w:pPr>
      <w:r>
        <w:rPr>
          <w:noProof/>
        </w:rPr>
        <w:drawing>
          <wp:inline distT="0" distB="0" distL="0" distR="0" wp14:anchorId="49DA7387" wp14:editId="35717121">
            <wp:extent cx="5486400" cy="1185062"/>
            <wp:effectExtent l="38100" t="0" r="19050" b="1524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50C5ADC" w14:textId="77777777" w:rsidR="00FB298D" w:rsidRDefault="00FB298D" w:rsidP="007C1358"/>
    <w:p w14:paraId="68567EEB" w14:textId="5B6273D3" w:rsidR="005A705F" w:rsidRDefault="001253F0" w:rsidP="007C1358">
      <w:r>
        <w:t xml:space="preserve"> </w:t>
      </w:r>
    </w:p>
    <w:p w14:paraId="5B17735B" w14:textId="2DB15B80" w:rsidR="00E73521" w:rsidRPr="000805B2" w:rsidRDefault="00E73521" w:rsidP="000805B2">
      <w:pPr>
        <w:pStyle w:val="Heading4"/>
      </w:pPr>
      <w:r w:rsidRPr="000805B2">
        <w:t>PCR II by Region</w:t>
      </w:r>
    </w:p>
    <w:p w14:paraId="3818FB48" w14:textId="0149477C" w:rsidR="007C1358" w:rsidRDefault="007C1358" w:rsidP="007C1358">
      <w:r w:rsidRPr="00774C2A">
        <w:t xml:space="preserve">The average </w:t>
      </w:r>
      <w:r w:rsidR="00364599" w:rsidRPr="00774C2A">
        <w:t>PCR II</w:t>
      </w:r>
      <w:r w:rsidRPr="00774C2A">
        <w:t xml:space="preserve"> scores for the </w:t>
      </w:r>
      <w:r w:rsidR="00774C2A">
        <w:t>632</w:t>
      </w:r>
      <w:r w:rsidRPr="00774C2A">
        <w:t xml:space="preserve"> individuals on </w:t>
      </w:r>
      <w:r w:rsidR="00336FB4" w:rsidRPr="00774C2A">
        <w:t xml:space="preserve">the </w:t>
      </w:r>
      <w:r w:rsidRPr="00774C2A">
        <w:t xml:space="preserve">DD waiver </w:t>
      </w:r>
      <w:r w:rsidR="00EF61AA" w:rsidRPr="00774C2A">
        <w:t xml:space="preserve">and </w:t>
      </w:r>
      <w:r w:rsidR="00774C2A">
        <w:t>454</w:t>
      </w:r>
      <w:r w:rsidR="00E169FF" w:rsidRPr="00774C2A">
        <w:t xml:space="preserve"> individuals participating in CDC+ </w:t>
      </w:r>
      <w:r w:rsidRPr="00774C2A">
        <w:t>are presented</w:t>
      </w:r>
      <w:r w:rsidRPr="00AB23A8">
        <w:t xml:space="preserve"> in </w:t>
      </w:r>
      <w:r w:rsidR="00196012">
        <w:t>Table 3</w:t>
      </w:r>
      <w:r w:rsidRPr="00AB23A8">
        <w:t xml:space="preserve">, for each </w:t>
      </w:r>
      <w:r w:rsidR="00E86DCF">
        <w:t>r</w:t>
      </w:r>
      <w:r>
        <w:t>egion</w:t>
      </w:r>
      <w:r w:rsidRPr="00AB23A8">
        <w:t xml:space="preserve"> and statewide.  </w:t>
      </w:r>
      <w:r w:rsidR="007E4DD7">
        <w:t>T</w:t>
      </w:r>
      <w:r w:rsidR="003261B5">
        <w:t>he number completed in each region</w:t>
      </w:r>
      <w:r w:rsidR="00774C2A">
        <w:t xml:space="preserve"> </w:t>
      </w:r>
      <w:r w:rsidR="00AA186B">
        <w:t xml:space="preserve">for CDC+ participants </w:t>
      </w:r>
      <w:r w:rsidR="003261B5">
        <w:t xml:space="preserve">was </w:t>
      </w:r>
      <w:r w:rsidR="005A705F">
        <w:t>relatively</w:t>
      </w:r>
      <w:r w:rsidR="003261B5">
        <w:t xml:space="preserve"> small</w:t>
      </w:r>
      <w:r w:rsidR="007E4DD7">
        <w:t xml:space="preserve"> and comparisons across regions should be made with caution</w:t>
      </w:r>
      <w:r w:rsidR="00AA186B">
        <w:t xml:space="preserve">.  </w:t>
      </w:r>
      <w:r w:rsidR="00196012">
        <w:t xml:space="preserve">For Waiver Participants, PCR II results </w:t>
      </w:r>
      <w:r w:rsidR="005A705F">
        <w:t xml:space="preserve">range from </w:t>
      </w:r>
      <w:r w:rsidR="000805B2">
        <w:t>92.</w:t>
      </w:r>
      <w:r w:rsidR="00774C2A">
        <w:t>6</w:t>
      </w:r>
      <w:r w:rsidR="005A705F">
        <w:t xml:space="preserve"> percent in the </w:t>
      </w:r>
      <w:r w:rsidR="00AA186B">
        <w:t>Central</w:t>
      </w:r>
      <w:r w:rsidR="005A705F">
        <w:t xml:space="preserve"> Region to </w:t>
      </w:r>
      <w:r w:rsidR="003A4C5A">
        <w:t>97.</w:t>
      </w:r>
      <w:r w:rsidR="00774C2A">
        <w:t>7</w:t>
      </w:r>
      <w:r w:rsidR="005A705F">
        <w:t xml:space="preserve"> percent in Suncoast.</w:t>
      </w:r>
      <w:r w:rsidR="003668DC">
        <w:t xml:space="preserve"> </w:t>
      </w:r>
      <w:r w:rsidRPr="00287545">
        <w:t xml:space="preserve"> </w:t>
      </w:r>
      <w:r w:rsidR="003668DC">
        <w:t xml:space="preserve">CDC+ results </w:t>
      </w:r>
      <w:r w:rsidR="00774C2A">
        <w:t>range from just under 96 percent to in the Northeast and Southern Regions to 99 percent in Southeast</w:t>
      </w:r>
      <w:r w:rsidR="003261B5">
        <w:t>.</w:t>
      </w:r>
      <w:r w:rsidR="00774C2A">
        <w:t xml:space="preserve"> </w:t>
      </w:r>
      <w:r w:rsidR="003261B5">
        <w:t xml:space="preserve">  </w:t>
      </w:r>
      <w:r w:rsidR="002B773B">
        <w:t xml:space="preserve"> </w:t>
      </w:r>
    </w:p>
    <w:p w14:paraId="3923E3D9" w14:textId="1C3C7BF0" w:rsidR="007C1358" w:rsidRDefault="007C1358" w:rsidP="00BF7F63">
      <w:pPr>
        <w:spacing w:line="240" w:lineRule="auto"/>
      </w:pPr>
    </w:p>
    <w:p w14:paraId="179B2F28" w14:textId="77777777" w:rsidR="00F6367D" w:rsidRDefault="00F6367D" w:rsidP="00BF7F63">
      <w:pPr>
        <w:spacing w:line="240" w:lineRule="auto"/>
      </w:pPr>
    </w:p>
    <w:tbl>
      <w:tblPr>
        <w:tblW w:w="6060" w:type="dxa"/>
        <w:jc w:val="center"/>
        <w:tblLook w:val="04A0" w:firstRow="1" w:lastRow="0" w:firstColumn="1" w:lastColumn="0" w:noHBand="0" w:noVBand="1"/>
      </w:tblPr>
      <w:tblGrid>
        <w:gridCol w:w="1660"/>
        <w:gridCol w:w="1180"/>
        <w:gridCol w:w="1300"/>
        <w:gridCol w:w="960"/>
        <w:gridCol w:w="960"/>
      </w:tblGrid>
      <w:tr w:rsidR="00F6367D" w:rsidRPr="00AA186B" w14:paraId="543FCA48" w14:textId="77777777" w:rsidTr="00F6367D">
        <w:trPr>
          <w:trHeight w:val="345"/>
          <w:jc w:val="center"/>
        </w:trPr>
        <w:tc>
          <w:tcPr>
            <w:tcW w:w="6060" w:type="dxa"/>
            <w:gridSpan w:val="5"/>
            <w:tcBorders>
              <w:top w:val="single" w:sz="8" w:space="0" w:color="9F8AB9"/>
              <w:left w:val="single" w:sz="8" w:space="0" w:color="9F8AB9"/>
              <w:bottom w:val="single" w:sz="8" w:space="0" w:color="9F8AB9"/>
              <w:right w:val="single" w:sz="8" w:space="0" w:color="9F8AB9"/>
            </w:tcBorders>
            <w:shd w:val="clear" w:color="000000" w:fill="5F497A" w:themeFill="accent4" w:themeFillShade="BF"/>
            <w:noWrap/>
            <w:vAlign w:val="bottom"/>
          </w:tcPr>
          <w:p w14:paraId="6E447B6C" w14:textId="676CCFF3" w:rsidR="00F6367D" w:rsidRPr="00AA186B" w:rsidRDefault="00F6367D" w:rsidP="003A4C5A">
            <w:pPr>
              <w:spacing w:line="240" w:lineRule="auto"/>
              <w:jc w:val="center"/>
              <w:rPr>
                <w:rFonts w:ascii="Franklin Gothic Medium" w:eastAsia="Times New Roman" w:hAnsi="Franklin Gothic Medium" w:cs="Times New Roman"/>
                <w:color w:val="FFFFFF"/>
                <w:szCs w:val="24"/>
              </w:rPr>
            </w:pPr>
            <w:r>
              <w:rPr>
                <w:rFonts w:ascii="Franklin Gothic Medium" w:eastAsia="Times New Roman" w:hAnsi="Franklin Gothic Medium" w:cs="Times New Roman"/>
                <w:b/>
                <w:bCs/>
                <w:color w:val="FFFFFF"/>
                <w:szCs w:val="24"/>
              </w:rPr>
              <w:t xml:space="preserve">Table 4:  PCR II Results by Region </w:t>
            </w:r>
          </w:p>
        </w:tc>
      </w:tr>
      <w:tr w:rsidR="00F6367D" w:rsidRPr="00AA186B" w14:paraId="61CE9747" w14:textId="77777777" w:rsidTr="00F6367D">
        <w:trPr>
          <w:trHeight w:val="345"/>
          <w:jc w:val="center"/>
        </w:trPr>
        <w:tc>
          <w:tcPr>
            <w:tcW w:w="6060" w:type="dxa"/>
            <w:gridSpan w:val="5"/>
            <w:tcBorders>
              <w:top w:val="single" w:sz="8" w:space="0" w:color="9F8AB9"/>
              <w:left w:val="single" w:sz="8" w:space="0" w:color="9F8AB9"/>
              <w:bottom w:val="single" w:sz="8" w:space="0" w:color="9F8AB9"/>
              <w:right w:val="single" w:sz="8" w:space="0" w:color="9F8AB9"/>
            </w:tcBorders>
            <w:shd w:val="clear" w:color="000000" w:fill="5F497A" w:themeFill="accent4" w:themeFillShade="BF"/>
            <w:noWrap/>
            <w:vAlign w:val="bottom"/>
          </w:tcPr>
          <w:p w14:paraId="79A59EEB" w14:textId="5622FEF0" w:rsidR="00F6367D" w:rsidRPr="00AA186B" w:rsidRDefault="00F6367D" w:rsidP="003A4C5A">
            <w:pPr>
              <w:spacing w:line="240" w:lineRule="auto"/>
              <w:jc w:val="center"/>
              <w:rPr>
                <w:rFonts w:ascii="Franklin Gothic Medium" w:eastAsia="Times New Roman" w:hAnsi="Franklin Gothic Medium" w:cs="Times New Roman"/>
                <w:color w:val="FFFFFF"/>
                <w:szCs w:val="24"/>
              </w:rPr>
            </w:pPr>
            <w:r>
              <w:rPr>
                <w:rFonts w:ascii="Franklin Gothic Medium" w:eastAsia="Times New Roman" w:hAnsi="Franklin Gothic Medium" w:cs="Times New Roman"/>
                <w:b/>
                <w:bCs/>
                <w:color w:val="FFFFFF"/>
                <w:szCs w:val="24"/>
              </w:rPr>
              <w:t>January – June 2016</w:t>
            </w:r>
          </w:p>
        </w:tc>
      </w:tr>
      <w:tr w:rsidR="00AA186B" w:rsidRPr="00AA186B" w14:paraId="4B40E4E8" w14:textId="77777777" w:rsidTr="00F6367D">
        <w:trPr>
          <w:trHeight w:val="345"/>
          <w:jc w:val="center"/>
        </w:trPr>
        <w:tc>
          <w:tcPr>
            <w:tcW w:w="1660" w:type="dxa"/>
            <w:tcBorders>
              <w:top w:val="single" w:sz="8" w:space="0" w:color="9F8AB9"/>
              <w:left w:val="single" w:sz="8" w:space="0" w:color="9F8AB9"/>
              <w:bottom w:val="single" w:sz="8" w:space="0" w:color="9F8AB9"/>
              <w:right w:val="single" w:sz="8" w:space="0" w:color="9F8AB9"/>
            </w:tcBorders>
            <w:shd w:val="clear" w:color="000000" w:fill="5F497A" w:themeFill="accent4" w:themeFillShade="BF"/>
            <w:noWrap/>
            <w:vAlign w:val="bottom"/>
            <w:hideMark/>
          </w:tcPr>
          <w:p w14:paraId="4CA2A4F2" w14:textId="4ED9EA23" w:rsidR="00AA186B" w:rsidRPr="00AA186B" w:rsidRDefault="00AA186B" w:rsidP="003A4C5A">
            <w:pPr>
              <w:spacing w:line="240" w:lineRule="auto"/>
              <w:jc w:val="center"/>
              <w:rPr>
                <w:rFonts w:ascii="Franklin Gothic Medium" w:eastAsia="Times New Roman" w:hAnsi="Franklin Gothic Medium" w:cs="Times New Roman"/>
                <w:b/>
                <w:bCs/>
                <w:color w:val="FFFFFF"/>
                <w:szCs w:val="24"/>
              </w:rPr>
            </w:pPr>
          </w:p>
        </w:tc>
        <w:tc>
          <w:tcPr>
            <w:tcW w:w="2480" w:type="dxa"/>
            <w:gridSpan w:val="2"/>
            <w:tcBorders>
              <w:top w:val="single" w:sz="8" w:space="0" w:color="9F8AB9"/>
              <w:left w:val="single" w:sz="8" w:space="0" w:color="9F8AB9"/>
              <w:bottom w:val="single" w:sz="8" w:space="0" w:color="9F8AB9"/>
              <w:right w:val="single" w:sz="8" w:space="0" w:color="9F8AB9"/>
            </w:tcBorders>
            <w:shd w:val="clear" w:color="000000" w:fill="5F497A" w:themeFill="accent4" w:themeFillShade="BF"/>
            <w:noWrap/>
            <w:vAlign w:val="bottom"/>
            <w:hideMark/>
          </w:tcPr>
          <w:p w14:paraId="169EAA90" w14:textId="77777777" w:rsidR="00AA186B" w:rsidRPr="00AA186B" w:rsidRDefault="00AA186B" w:rsidP="003A4C5A">
            <w:pPr>
              <w:spacing w:line="240" w:lineRule="auto"/>
              <w:jc w:val="center"/>
              <w:rPr>
                <w:rFonts w:ascii="Franklin Gothic Medium" w:eastAsia="Times New Roman" w:hAnsi="Franklin Gothic Medium" w:cs="Times New Roman"/>
                <w:color w:val="FFFFFF"/>
                <w:szCs w:val="24"/>
              </w:rPr>
            </w:pPr>
            <w:r w:rsidRPr="00AA186B">
              <w:rPr>
                <w:rFonts w:ascii="Franklin Gothic Medium" w:eastAsia="Times New Roman" w:hAnsi="Franklin Gothic Medium" w:cs="Times New Roman"/>
                <w:color w:val="FFFFFF"/>
                <w:szCs w:val="24"/>
              </w:rPr>
              <w:t>Waiver</w:t>
            </w:r>
          </w:p>
        </w:tc>
        <w:tc>
          <w:tcPr>
            <w:tcW w:w="1920" w:type="dxa"/>
            <w:gridSpan w:val="2"/>
            <w:tcBorders>
              <w:top w:val="single" w:sz="8" w:space="0" w:color="9F8AB9"/>
              <w:left w:val="single" w:sz="8" w:space="0" w:color="9F8AB9"/>
              <w:bottom w:val="single" w:sz="8" w:space="0" w:color="9F8AB9"/>
              <w:right w:val="single" w:sz="8" w:space="0" w:color="9F8AB9"/>
            </w:tcBorders>
            <w:shd w:val="clear" w:color="000000" w:fill="5F497A" w:themeFill="accent4" w:themeFillShade="BF"/>
            <w:vAlign w:val="bottom"/>
            <w:hideMark/>
          </w:tcPr>
          <w:p w14:paraId="60021733" w14:textId="77777777" w:rsidR="00AA186B" w:rsidRPr="00AA186B" w:rsidRDefault="00AA186B" w:rsidP="003A4C5A">
            <w:pPr>
              <w:spacing w:line="240" w:lineRule="auto"/>
              <w:jc w:val="center"/>
              <w:rPr>
                <w:rFonts w:ascii="Franklin Gothic Medium" w:eastAsia="Times New Roman" w:hAnsi="Franklin Gothic Medium" w:cs="Times New Roman"/>
                <w:color w:val="FFFFFF"/>
                <w:szCs w:val="24"/>
              </w:rPr>
            </w:pPr>
            <w:r w:rsidRPr="00AA186B">
              <w:rPr>
                <w:rFonts w:ascii="Franklin Gothic Medium" w:eastAsia="Times New Roman" w:hAnsi="Franklin Gothic Medium" w:cs="Times New Roman"/>
                <w:color w:val="FFFFFF"/>
                <w:szCs w:val="24"/>
              </w:rPr>
              <w:t>CDC+</w:t>
            </w:r>
          </w:p>
        </w:tc>
      </w:tr>
      <w:tr w:rsidR="00AA186B" w:rsidRPr="00AA186B" w14:paraId="16163A37" w14:textId="77777777" w:rsidTr="003A4C5A">
        <w:trPr>
          <w:trHeight w:val="345"/>
          <w:jc w:val="center"/>
        </w:trPr>
        <w:tc>
          <w:tcPr>
            <w:tcW w:w="1660" w:type="dxa"/>
            <w:tcBorders>
              <w:top w:val="nil"/>
              <w:left w:val="single" w:sz="8" w:space="0" w:color="9F8AB9"/>
              <w:bottom w:val="double" w:sz="6" w:space="0" w:color="auto"/>
              <w:right w:val="nil"/>
            </w:tcBorders>
            <w:shd w:val="clear" w:color="000000" w:fill="DFD8E8"/>
            <w:noWrap/>
            <w:vAlign w:val="bottom"/>
            <w:hideMark/>
          </w:tcPr>
          <w:p w14:paraId="139A68E8" w14:textId="77777777" w:rsidR="00AA186B" w:rsidRPr="00AA186B" w:rsidRDefault="00AA186B" w:rsidP="003A4C5A">
            <w:pPr>
              <w:spacing w:line="240" w:lineRule="auto"/>
              <w:jc w:val="center"/>
              <w:rPr>
                <w:rFonts w:ascii="Franklin Gothic Medium" w:eastAsia="Times New Roman" w:hAnsi="Franklin Gothic Medium" w:cs="Times New Roman"/>
                <w:b/>
                <w:bCs/>
                <w:szCs w:val="24"/>
              </w:rPr>
            </w:pPr>
            <w:r w:rsidRPr="00AA186B">
              <w:rPr>
                <w:rFonts w:ascii="Franklin Gothic Medium" w:eastAsia="Times New Roman" w:hAnsi="Franklin Gothic Medium" w:cs="Times New Roman"/>
                <w:b/>
                <w:bCs/>
                <w:szCs w:val="24"/>
              </w:rPr>
              <w:t>Region</w:t>
            </w:r>
          </w:p>
        </w:tc>
        <w:tc>
          <w:tcPr>
            <w:tcW w:w="1180" w:type="dxa"/>
            <w:tcBorders>
              <w:top w:val="nil"/>
              <w:left w:val="nil"/>
              <w:bottom w:val="double" w:sz="6" w:space="0" w:color="auto"/>
              <w:right w:val="nil"/>
            </w:tcBorders>
            <w:shd w:val="clear" w:color="000000" w:fill="DFD8E8"/>
            <w:noWrap/>
            <w:vAlign w:val="bottom"/>
            <w:hideMark/>
          </w:tcPr>
          <w:p w14:paraId="25B750D8" w14:textId="77777777" w:rsidR="00AA186B" w:rsidRPr="00AA186B" w:rsidRDefault="00AA186B" w:rsidP="003A4C5A">
            <w:pPr>
              <w:spacing w:line="240" w:lineRule="auto"/>
              <w:jc w:val="center"/>
              <w:rPr>
                <w:rFonts w:ascii="Franklin Gothic Medium" w:eastAsia="Times New Roman" w:hAnsi="Franklin Gothic Medium" w:cs="Times New Roman"/>
                <w:b/>
                <w:bCs/>
                <w:szCs w:val="24"/>
              </w:rPr>
            </w:pPr>
            <w:r w:rsidRPr="00AA186B">
              <w:rPr>
                <w:rFonts w:ascii="Franklin Gothic Medium" w:eastAsia="Times New Roman" w:hAnsi="Franklin Gothic Medium" w:cs="Times New Roman"/>
                <w:b/>
                <w:bCs/>
                <w:szCs w:val="24"/>
              </w:rPr>
              <w:t>#</w:t>
            </w:r>
          </w:p>
        </w:tc>
        <w:tc>
          <w:tcPr>
            <w:tcW w:w="1300" w:type="dxa"/>
            <w:tcBorders>
              <w:top w:val="nil"/>
              <w:left w:val="nil"/>
              <w:bottom w:val="double" w:sz="6" w:space="0" w:color="auto"/>
              <w:right w:val="nil"/>
            </w:tcBorders>
            <w:shd w:val="clear" w:color="000000" w:fill="DFD8E8"/>
            <w:noWrap/>
            <w:vAlign w:val="bottom"/>
            <w:hideMark/>
          </w:tcPr>
          <w:p w14:paraId="04A529AB" w14:textId="77777777" w:rsidR="00AA186B" w:rsidRPr="00AA186B" w:rsidRDefault="00AA186B" w:rsidP="003A4C5A">
            <w:pPr>
              <w:spacing w:line="240" w:lineRule="auto"/>
              <w:jc w:val="center"/>
              <w:rPr>
                <w:rFonts w:ascii="Franklin Gothic Medium" w:eastAsia="Times New Roman" w:hAnsi="Franklin Gothic Medium" w:cs="Times New Roman"/>
                <w:b/>
                <w:bCs/>
                <w:szCs w:val="24"/>
              </w:rPr>
            </w:pPr>
            <w:r w:rsidRPr="00AA186B">
              <w:rPr>
                <w:rFonts w:ascii="Franklin Gothic Medium" w:eastAsia="Times New Roman" w:hAnsi="Franklin Gothic Medium" w:cs="Times New Roman"/>
                <w:b/>
                <w:bCs/>
                <w:szCs w:val="24"/>
              </w:rPr>
              <w:t>% Met</w:t>
            </w:r>
          </w:p>
        </w:tc>
        <w:tc>
          <w:tcPr>
            <w:tcW w:w="960" w:type="dxa"/>
            <w:tcBorders>
              <w:top w:val="nil"/>
              <w:left w:val="nil"/>
              <w:bottom w:val="double" w:sz="6" w:space="0" w:color="auto"/>
              <w:right w:val="nil"/>
            </w:tcBorders>
            <w:shd w:val="clear" w:color="000000" w:fill="DFD8E8"/>
            <w:vAlign w:val="bottom"/>
            <w:hideMark/>
          </w:tcPr>
          <w:p w14:paraId="4F3C2544" w14:textId="77777777" w:rsidR="00AA186B" w:rsidRPr="00AA186B" w:rsidRDefault="00AA186B" w:rsidP="003A4C5A">
            <w:pPr>
              <w:spacing w:line="240" w:lineRule="auto"/>
              <w:jc w:val="center"/>
              <w:rPr>
                <w:rFonts w:ascii="Franklin Gothic Medium" w:eastAsia="Times New Roman" w:hAnsi="Franklin Gothic Medium" w:cs="Times New Roman"/>
                <w:b/>
                <w:bCs/>
                <w:szCs w:val="24"/>
              </w:rPr>
            </w:pPr>
            <w:r w:rsidRPr="00AA186B">
              <w:rPr>
                <w:rFonts w:ascii="Franklin Gothic Medium" w:eastAsia="Times New Roman" w:hAnsi="Franklin Gothic Medium" w:cs="Times New Roman"/>
                <w:b/>
                <w:bCs/>
                <w:szCs w:val="24"/>
              </w:rPr>
              <w:t>#</w:t>
            </w:r>
          </w:p>
        </w:tc>
        <w:tc>
          <w:tcPr>
            <w:tcW w:w="960" w:type="dxa"/>
            <w:tcBorders>
              <w:top w:val="nil"/>
              <w:left w:val="nil"/>
              <w:bottom w:val="double" w:sz="6" w:space="0" w:color="auto"/>
              <w:right w:val="single" w:sz="8" w:space="0" w:color="9F8AB9"/>
            </w:tcBorders>
            <w:shd w:val="clear" w:color="000000" w:fill="DFD8E8"/>
            <w:vAlign w:val="bottom"/>
            <w:hideMark/>
          </w:tcPr>
          <w:p w14:paraId="516E789F" w14:textId="77777777" w:rsidR="00AA186B" w:rsidRPr="00AA186B" w:rsidRDefault="00AA186B" w:rsidP="003A4C5A">
            <w:pPr>
              <w:spacing w:line="240" w:lineRule="auto"/>
              <w:jc w:val="center"/>
              <w:rPr>
                <w:rFonts w:ascii="Franklin Gothic Medium" w:eastAsia="Times New Roman" w:hAnsi="Franklin Gothic Medium" w:cs="Times New Roman"/>
                <w:b/>
                <w:bCs/>
                <w:szCs w:val="24"/>
              </w:rPr>
            </w:pPr>
            <w:r w:rsidRPr="00AA186B">
              <w:rPr>
                <w:rFonts w:ascii="Franklin Gothic Medium" w:eastAsia="Times New Roman" w:hAnsi="Franklin Gothic Medium" w:cs="Times New Roman"/>
                <w:b/>
                <w:bCs/>
                <w:szCs w:val="24"/>
              </w:rPr>
              <w:t>% Met</w:t>
            </w:r>
          </w:p>
        </w:tc>
      </w:tr>
      <w:tr w:rsidR="00E44F9B" w:rsidRPr="00AA186B" w14:paraId="3C892D03" w14:textId="77777777" w:rsidTr="00774C2A">
        <w:trPr>
          <w:trHeight w:val="345"/>
          <w:jc w:val="center"/>
        </w:trPr>
        <w:tc>
          <w:tcPr>
            <w:tcW w:w="1660" w:type="dxa"/>
            <w:tcBorders>
              <w:top w:val="nil"/>
              <w:left w:val="single" w:sz="8" w:space="0" w:color="9F8AB9"/>
              <w:bottom w:val="single" w:sz="8" w:space="0" w:color="9F8AB9"/>
              <w:right w:val="nil"/>
            </w:tcBorders>
            <w:shd w:val="clear" w:color="auto" w:fill="auto"/>
            <w:noWrap/>
            <w:vAlign w:val="bottom"/>
            <w:hideMark/>
          </w:tcPr>
          <w:p w14:paraId="6DC40A46" w14:textId="77777777" w:rsidR="00E44F9B" w:rsidRPr="00AA186B" w:rsidRDefault="00E44F9B" w:rsidP="00774C2A">
            <w:pPr>
              <w:spacing w:line="240" w:lineRule="auto"/>
              <w:rPr>
                <w:rFonts w:eastAsia="Times New Roman" w:cs="Times New Roman"/>
                <w:b/>
                <w:bCs/>
                <w:szCs w:val="24"/>
              </w:rPr>
            </w:pPr>
            <w:r w:rsidRPr="00AA186B">
              <w:rPr>
                <w:rFonts w:eastAsia="Times New Roman" w:cs="Times New Roman"/>
                <w:b/>
                <w:bCs/>
                <w:szCs w:val="24"/>
              </w:rPr>
              <w:t>Northwest</w:t>
            </w:r>
          </w:p>
        </w:tc>
        <w:tc>
          <w:tcPr>
            <w:tcW w:w="1180" w:type="dxa"/>
            <w:tcBorders>
              <w:top w:val="nil"/>
              <w:left w:val="nil"/>
              <w:bottom w:val="single" w:sz="8" w:space="0" w:color="9F8AB9"/>
              <w:right w:val="nil"/>
            </w:tcBorders>
            <w:shd w:val="clear" w:color="auto" w:fill="auto"/>
            <w:noWrap/>
            <w:vAlign w:val="bottom"/>
            <w:hideMark/>
          </w:tcPr>
          <w:p w14:paraId="14CB0569" w14:textId="5A525044"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56</w:t>
            </w:r>
          </w:p>
        </w:tc>
        <w:tc>
          <w:tcPr>
            <w:tcW w:w="1300" w:type="dxa"/>
            <w:tcBorders>
              <w:top w:val="nil"/>
              <w:left w:val="nil"/>
              <w:bottom w:val="single" w:sz="8" w:space="0" w:color="9F8AB9"/>
              <w:right w:val="nil"/>
            </w:tcBorders>
            <w:shd w:val="clear" w:color="auto" w:fill="auto"/>
            <w:noWrap/>
            <w:vAlign w:val="bottom"/>
            <w:hideMark/>
          </w:tcPr>
          <w:p w14:paraId="4B9B48DD" w14:textId="4230A42E"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95.8%</w:t>
            </w:r>
          </w:p>
        </w:tc>
        <w:tc>
          <w:tcPr>
            <w:tcW w:w="960" w:type="dxa"/>
            <w:tcBorders>
              <w:top w:val="nil"/>
              <w:left w:val="nil"/>
              <w:bottom w:val="single" w:sz="8" w:space="0" w:color="9F8AB9"/>
              <w:right w:val="nil"/>
            </w:tcBorders>
            <w:shd w:val="clear" w:color="auto" w:fill="auto"/>
            <w:vAlign w:val="bottom"/>
            <w:hideMark/>
          </w:tcPr>
          <w:p w14:paraId="1F471736" w14:textId="1BA749D4"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21</w:t>
            </w:r>
          </w:p>
        </w:tc>
        <w:tc>
          <w:tcPr>
            <w:tcW w:w="960" w:type="dxa"/>
            <w:tcBorders>
              <w:top w:val="nil"/>
              <w:left w:val="nil"/>
              <w:bottom w:val="single" w:sz="8" w:space="0" w:color="9F8AB9"/>
              <w:right w:val="single" w:sz="8" w:space="0" w:color="9F8AB9"/>
            </w:tcBorders>
            <w:shd w:val="clear" w:color="auto" w:fill="auto"/>
            <w:vAlign w:val="bottom"/>
            <w:hideMark/>
          </w:tcPr>
          <w:p w14:paraId="05522CB1" w14:textId="4687AC14"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97.9%</w:t>
            </w:r>
          </w:p>
        </w:tc>
      </w:tr>
      <w:tr w:rsidR="00E44F9B" w:rsidRPr="00AA186B" w14:paraId="54D226AF" w14:textId="77777777" w:rsidTr="00774C2A">
        <w:trPr>
          <w:trHeight w:val="330"/>
          <w:jc w:val="center"/>
        </w:trPr>
        <w:tc>
          <w:tcPr>
            <w:tcW w:w="1660" w:type="dxa"/>
            <w:tcBorders>
              <w:top w:val="nil"/>
              <w:left w:val="single" w:sz="8" w:space="0" w:color="9F8AB9"/>
              <w:bottom w:val="single" w:sz="8" w:space="0" w:color="9F8AB9"/>
              <w:right w:val="nil"/>
            </w:tcBorders>
            <w:shd w:val="clear" w:color="000000" w:fill="DFD8E8"/>
            <w:noWrap/>
            <w:vAlign w:val="bottom"/>
            <w:hideMark/>
          </w:tcPr>
          <w:p w14:paraId="75909418" w14:textId="77777777" w:rsidR="00E44F9B" w:rsidRPr="00AA186B" w:rsidRDefault="00E44F9B" w:rsidP="00774C2A">
            <w:pPr>
              <w:spacing w:line="240" w:lineRule="auto"/>
              <w:rPr>
                <w:rFonts w:eastAsia="Times New Roman" w:cs="Times New Roman"/>
                <w:b/>
                <w:bCs/>
                <w:szCs w:val="24"/>
              </w:rPr>
            </w:pPr>
            <w:r w:rsidRPr="00AA186B">
              <w:rPr>
                <w:rFonts w:eastAsia="Times New Roman" w:cs="Times New Roman"/>
                <w:b/>
                <w:bCs/>
                <w:szCs w:val="24"/>
              </w:rPr>
              <w:t>Northeast</w:t>
            </w:r>
          </w:p>
        </w:tc>
        <w:tc>
          <w:tcPr>
            <w:tcW w:w="1180" w:type="dxa"/>
            <w:tcBorders>
              <w:top w:val="nil"/>
              <w:left w:val="nil"/>
              <w:bottom w:val="single" w:sz="8" w:space="0" w:color="9F8AB9"/>
              <w:right w:val="nil"/>
            </w:tcBorders>
            <w:shd w:val="clear" w:color="000000" w:fill="DFD8E8"/>
            <w:noWrap/>
            <w:vAlign w:val="bottom"/>
            <w:hideMark/>
          </w:tcPr>
          <w:p w14:paraId="468E4BEA" w14:textId="2776CAE6"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113</w:t>
            </w:r>
          </w:p>
        </w:tc>
        <w:tc>
          <w:tcPr>
            <w:tcW w:w="1300" w:type="dxa"/>
            <w:tcBorders>
              <w:top w:val="nil"/>
              <w:left w:val="nil"/>
              <w:bottom w:val="single" w:sz="8" w:space="0" w:color="9F8AB9"/>
              <w:right w:val="nil"/>
            </w:tcBorders>
            <w:shd w:val="clear" w:color="000000" w:fill="DFD8E8"/>
            <w:noWrap/>
            <w:vAlign w:val="bottom"/>
            <w:hideMark/>
          </w:tcPr>
          <w:p w14:paraId="5C0318C3" w14:textId="62B3E9A9"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96.5%</w:t>
            </w:r>
          </w:p>
        </w:tc>
        <w:tc>
          <w:tcPr>
            <w:tcW w:w="960" w:type="dxa"/>
            <w:tcBorders>
              <w:top w:val="nil"/>
              <w:left w:val="nil"/>
              <w:bottom w:val="single" w:sz="8" w:space="0" w:color="9F8AB9"/>
              <w:right w:val="nil"/>
            </w:tcBorders>
            <w:shd w:val="clear" w:color="000000" w:fill="DFD8E8"/>
            <w:vAlign w:val="bottom"/>
            <w:hideMark/>
          </w:tcPr>
          <w:p w14:paraId="7DD9D8FD" w14:textId="4E787BFB"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18</w:t>
            </w:r>
          </w:p>
        </w:tc>
        <w:tc>
          <w:tcPr>
            <w:tcW w:w="960" w:type="dxa"/>
            <w:tcBorders>
              <w:top w:val="nil"/>
              <w:left w:val="nil"/>
              <w:bottom w:val="single" w:sz="8" w:space="0" w:color="9F8AB9"/>
              <w:right w:val="single" w:sz="8" w:space="0" w:color="9F8AB9"/>
            </w:tcBorders>
            <w:shd w:val="clear" w:color="000000" w:fill="DFD8E8"/>
            <w:vAlign w:val="bottom"/>
            <w:hideMark/>
          </w:tcPr>
          <w:p w14:paraId="29664E2F" w14:textId="514EA501"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95.8%</w:t>
            </w:r>
          </w:p>
        </w:tc>
      </w:tr>
      <w:tr w:rsidR="00E44F9B" w:rsidRPr="00AA186B" w14:paraId="07E83F66" w14:textId="77777777" w:rsidTr="00774C2A">
        <w:trPr>
          <w:trHeight w:val="330"/>
          <w:jc w:val="center"/>
        </w:trPr>
        <w:tc>
          <w:tcPr>
            <w:tcW w:w="1660" w:type="dxa"/>
            <w:tcBorders>
              <w:top w:val="nil"/>
              <w:left w:val="single" w:sz="8" w:space="0" w:color="9F8AB9"/>
              <w:bottom w:val="single" w:sz="8" w:space="0" w:color="9F8AB9"/>
              <w:right w:val="nil"/>
            </w:tcBorders>
            <w:shd w:val="clear" w:color="auto" w:fill="auto"/>
            <w:noWrap/>
            <w:vAlign w:val="bottom"/>
            <w:hideMark/>
          </w:tcPr>
          <w:p w14:paraId="1D22D79A" w14:textId="77777777" w:rsidR="00E44F9B" w:rsidRPr="00AA186B" w:rsidRDefault="00E44F9B" w:rsidP="00774C2A">
            <w:pPr>
              <w:spacing w:line="240" w:lineRule="auto"/>
              <w:rPr>
                <w:rFonts w:eastAsia="Times New Roman" w:cs="Times New Roman"/>
                <w:b/>
                <w:bCs/>
                <w:szCs w:val="24"/>
              </w:rPr>
            </w:pPr>
            <w:r w:rsidRPr="00AA186B">
              <w:rPr>
                <w:rFonts w:eastAsia="Times New Roman" w:cs="Times New Roman"/>
                <w:b/>
                <w:bCs/>
                <w:szCs w:val="24"/>
              </w:rPr>
              <w:t>Central</w:t>
            </w:r>
          </w:p>
        </w:tc>
        <w:tc>
          <w:tcPr>
            <w:tcW w:w="1180" w:type="dxa"/>
            <w:tcBorders>
              <w:top w:val="nil"/>
              <w:left w:val="nil"/>
              <w:bottom w:val="single" w:sz="8" w:space="0" w:color="9F8AB9"/>
              <w:right w:val="nil"/>
            </w:tcBorders>
            <w:shd w:val="clear" w:color="auto" w:fill="auto"/>
            <w:noWrap/>
            <w:vAlign w:val="bottom"/>
            <w:hideMark/>
          </w:tcPr>
          <w:p w14:paraId="5CB5E21F" w14:textId="5CA93D38"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134</w:t>
            </w:r>
          </w:p>
        </w:tc>
        <w:tc>
          <w:tcPr>
            <w:tcW w:w="1300" w:type="dxa"/>
            <w:tcBorders>
              <w:top w:val="nil"/>
              <w:left w:val="nil"/>
              <w:bottom w:val="single" w:sz="8" w:space="0" w:color="9F8AB9"/>
              <w:right w:val="nil"/>
            </w:tcBorders>
            <w:shd w:val="clear" w:color="auto" w:fill="auto"/>
            <w:noWrap/>
            <w:vAlign w:val="bottom"/>
            <w:hideMark/>
          </w:tcPr>
          <w:p w14:paraId="48B09B6C" w14:textId="50BAF2CB"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92.6%</w:t>
            </w:r>
          </w:p>
        </w:tc>
        <w:tc>
          <w:tcPr>
            <w:tcW w:w="960" w:type="dxa"/>
            <w:tcBorders>
              <w:top w:val="nil"/>
              <w:left w:val="nil"/>
              <w:bottom w:val="single" w:sz="8" w:space="0" w:color="9F8AB9"/>
              <w:right w:val="nil"/>
            </w:tcBorders>
            <w:shd w:val="clear" w:color="auto" w:fill="auto"/>
            <w:vAlign w:val="bottom"/>
            <w:hideMark/>
          </w:tcPr>
          <w:p w14:paraId="3A47681C" w14:textId="5EE9B85D"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38</w:t>
            </w:r>
          </w:p>
        </w:tc>
        <w:tc>
          <w:tcPr>
            <w:tcW w:w="960" w:type="dxa"/>
            <w:tcBorders>
              <w:top w:val="nil"/>
              <w:left w:val="nil"/>
              <w:bottom w:val="single" w:sz="8" w:space="0" w:color="9F8AB9"/>
              <w:right w:val="single" w:sz="8" w:space="0" w:color="9F8AB9"/>
            </w:tcBorders>
            <w:shd w:val="clear" w:color="auto" w:fill="auto"/>
            <w:vAlign w:val="bottom"/>
            <w:hideMark/>
          </w:tcPr>
          <w:p w14:paraId="6071C6E6" w14:textId="4C70565C"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98.1%</w:t>
            </w:r>
          </w:p>
        </w:tc>
      </w:tr>
      <w:tr w:rsidR="00E44F9B" w:rsidRPr="00AA186B" w14:paraId="13C89951" w14:textId="77777777" w:rsidTr="00774C2A">
        <w:trPr>
          <w:trHeight w:val="330"/>
          <w:jc w:val="center"/>
        </w:trPr>
        <w:tc>
          <w:tcPr>
            <w:tcW w:w="1660" w:type="dxa"/>
            <w:tcBorders>
              <w:top w:val="nil"/>
              <w:left w:val="single" w:sz="8" w:space="0" w:color="9F8AB9"/>
              <w:bottom w:val="single" w:sz="8" w:space="0" w:color="9F8AB9"/>
              <w:right w:val="nil"/>
            </w:tcBorders>
            <w:shd w:val="clear" w:color="000000" w:fill="DFD8E8"/>
            <w:noWrap/>
            <w:vAlign w:val="bottom"/>
            <w:hideMark/>
          </w:tcPr>
          <w:p w14:paraId="73D4D75C" w14:textId="77777777" w:rsidR="00E44F9B" w:rsidRPr="00AA186B" w:rsidRDefault="00E44F9B" w:rsidP="00774C2A">
            <w:pPr>
              <w:spacing w:line="240" w:lineRule="auto"/>
              <w:rPr>
                <w:rFonts w:eastAsia="Times New Roman" w:cs="Times New Roman"/>
                <w:b/>
                <w:bCs/>
                <w:szCs w:val="24"/>
              </w:rPr>
            </w:pPr>
            <w:r w:rsidRPr="00AA186B">
              <w:rPr>
                <w:rFonts w:eastAsia="Times New Roman" w:cs="Times New Roman"/>
                <w:b/>
                <w:bCs/>
                <w:szCs w:val="24"/>
              </w:rPr>
              <w:t>Suncoast</w:t>
            </w:r>
          </w:p>
        </w:tc>
        <w:tc>
          <w:tcPr>
            <w:tcW w:w="1180" w:type="dxa"/>
            <w:tcBorders>
              <w:top w:val="nil"/>
              <w:left w:val="nil"/>
              <w:bottom w:val="single" w:sz="8" w:space="0" w:color="9F8AB9"/>
              <w:right w:val="nil"/>
            </w:tcBorders>
            <w:shd w:val="clear" w:color="000000" w:fill="DFD8E8"/>
            <w:noWrap/>
            <w:vAlign w:val="bottom"/>
            <w:hideMark/>
          </w:tcPr>
          <w:p w14:paraId="4756E42D" w14:textId="063192CF"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127</w:t>
            </w:r>
          </w:p>
        </w:tc>
        <w:tc>
          <w:tcPr>
            <w:tcW w:w="1300" w:type="dxa"/>
            <w:tcBorders>
              <w:top w:val="nil"/>
              <w:left w:val="nil"/>
              <w:bottom w:val="single" w:sz="8" w:space="0" w:color="9F8AB9"/>
              <w:right w:val="nil"/>
            </w:tcBorders>
            <w:shd w:val="clear" w:color="000000" w:fill="DFD8E8"/>
            <w:noWrap/>
            <w:vAlign w:val="bottom"/>
            <w:hideMark/>
          </w:tcPr>
          <w:p w14:paraId="6B7C60A5" w14:textId="5A1703A4"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97.7%</w:t>
            </w:r>
          </w:p>
        </w:tc>
        <w:tc>
          <w:tcPr>
            <w:tcW w:w="960" w:type="dxa"/>
            <w:tcBorders>
              <w:top w:val="nil"/>
              <w:left w:val="nil"/>
              <w:bottom w:val="single" w:sz="8" w:space="0" w:color="9F8AB9"/>
              <w:right w:val="nil"/>
            </w:tcBorders>
            <w:shd w:val="clear" w:color="000000" w:fill="DFD8E8"/>
            <w:vAlign w:val="bottom"/>
            <w:hideMark/>
          </w:tcPr>
          <w:p w14:paraId="1D949307" w14:textId="7D793F8A"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27</w:t>
            </w:r>
          </w:p>
        </w:tc>
        <w:tc>
          <w:tcPr>
            <w:tcW w:w="960" w:type="dxa"/>
            <w:tcBorders>
              <w:top w:val="nil"/>
              <w:left w:val="nil"/>
              <w:bottom w:val="single" w:sz="8" w:space="0" w:color="9F8AB9"/>
              <w:right w:val="single" w:sz="8" w:space="0" w:color="9F8AB9"/>
            </w:tcBorders>
            <w:shd w:val="clear" w:color="000000" w:fill="DFD8E8"/>
            <w:vAlign w:val="bottom"/>
            <w:hideMark/>
          </w:tcPr>
          <w:p w14:paraId="67D93B66" w14:textId="7C27C148"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98.7%</w:t>
            </w:r>
          </w:p>
        </w:tc>
      </w:tr>
      <w:tr w:rsidR="00E44F9B" w:rsidRPr="00AA186B" w14:paraId="71F2A6E6" w14:textId="77777777" w:rsidTr="00774C2A">
        <w:trPr>
          <w:trHeight w:val="330"/>
          <w:jc w:val="center"/>
        </w:trPr>
        <w:tc>
          <w:tcPr>
            <w:tcW w:w="1660" w:type="dxa"/>
            <w:tcBorders>
              <w:top w:val="nil"/>
              <w:left w:val="single" w:sz="8" w:space="0" w:color="9F8AB9"/>
              <w:bottom w:val="single" w:sz="8" w:space="0" w:color="9F8AB9"/>
              <w:right w:val="nil"/>
            </w:tcBorders>
            <w:shd w:val="clear" w:color="auto" w:fill="auto"/>
            <w:noWrap/>
            <w:vAlign w:val="bottom"/>
            <w:hideMark/>
          </w:tcPr>
          <w:p w14:paraId="11AE6310" w14:textId="77777777" w:rsidR="00E44F9B" w:rsidRPr="00AA186B" w:rsidRDefault="00E44F9B" w:rsidP="00774C2A">
            <w:pPr>
              <w:spacing w:line="240" w:lineRule="auto"/>
              <w:rPr>
                <w:rFonts w:eastAsia="Times New Roman" w:cs="Times New Roman"/>
                <w:b/>
                <w:bCs/>
                <w:szCs w:val="24"/>
              </w:rPr>
            </w:pPr>
            <w:r w:rsidRPr="00AA186B">
              <w:rPr>
                <w:rFonts w:eastAsia="Times New Roman" w:cs="Times New Roman"/>
                <w:b/>
                <w:bCs/>
                <w:szCs w:val="24"/>
              </w:rPr>
              <w:t>Southeast</w:t>
            </w:r>
          </w:p>
        </w:tc>
        <w:tc>
          <w:tcPr>
            <w:tcW w:w="1180" w:type="dxa"/>
            <w:tcBorders>
              <w:top w:val="nil"/>
              <w:left w:val="nil"/>
              <w:bottom w:val="single" w:sz="8" w:space="0" w:color="9F8AB9"/>
              <w:right w:val="nil"/>
            </w:tcBorders>
            <w:shd w:val="clear" w:color="auto" w:fill="auto"/>
            <w:noWrap/>
            <w:vAlign w:val="bottom"/>
            <w:hideMark/>
          </w:tcPr>
          <w:p w14:paraId="6A1B1DD9" w14:textId="4F62DB1A"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110</w:t>
            </w:r>
          </w:p>
        </w:tc>
        <w:tc>
          <w:tcPr>
            <w:tcW w:w="1300" w:type="dxa"/>
            <w:tcBorders>
              <w:top w:val="nil"/>
              <w:left w:val="nil"/>
              <w:bottom w:val="single" w:sz="8" w:space="0" w:color="9F8AB9"/>
              <w:right w:val="nil"/>
            </w:tcBorders>
            <w:shd w:val="clear" w:color="auto" w:fill="auto"/>
            <w:noWrap/>
            <w:vAlign w:val="bottom"/>
            <w:hideMark/>
          </w:tcPr>
          <w:p w14:paraId="2D550126" w14:textId="210241A2"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95.0%</w:t>
            </w:r>
          </w:p>
        </w:tc>
        <w:tc>
          <w:tcPr>
            <w:tcW w:w="960" w:type="dxa"/>
            <w:tcBorders>
              <w:top w:val="nil"/>
              <w:left w:val="nil"/>
              <w:bottom w:val="single" w:sz="8" w:space="0" w:color="9F8AB9"/>
              <w:right w:val="nil"/>
            </w:tcBorders>
            <w:shd w:val="clear" w:color="auto" w:fill="auto"/>
            <w:vAlign w:val="bottom"/>
            <w:hideMark/>
          </w:tcPr>
          <w:p w14:paraId="3119D730" w14:textId="0D2BEC3A"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20</w:t>
            </w:r>
          </w:p>
        </w:tc>
        <w:tc>
          <w:tcPr>
            <w:tcW w:w="960" w:type="dxa"/>
            <w:tcBorders>
              <w:top w:val="nil"/>
              <w:left w:val="nil"/>
              <w:bottom w:val="single" w:sz="8" w:space="0" w:color="9F8AB9"/>
              <w:right w:val="single" w:sz="8" w:space="0" w:color="9F8AB9"/>
            </w:tcBorders>
            <w:shd w:val="clear" w:color="auto" w:fill="auto"/>
            <w:vAlign w:val="bottom"/>
            <w:hideMark/>
          </w:tcPr>
          <w:p w14:paraId="476111BF" w14:textId="7965D649"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99.0%</w:t>
            </w:r>
          </w:p>
        </w:tc>
      </w:tr>
      <w:tr w:rsidR="00E44F9B" w:rsidRPr="00AA186B" w14:paraId="6214DC8A" w14:textId="77777777" w:rsidTr="00774C2A">
        <w:trPr>
          <w:trHeight w:val="330"/>
          <w:jc w:val="center"/>
        </w:trPr>
        <w:tc>
          <w:tcPr>
            <w:tcW w:w="1660" w:type="dxa"/>
            <w:tcBorders>
              <w:top w:val="single" w:sz="8" w:space="0" w:color="9F8AB9"/>
              <w:left w:val="single" w:sz="8" w:space="0" w:color="9F8AB9"/>
              <w:bottom w:val="double" w:sz="4" w:space="0" w:color="auto"/>
              <w:right w:val="nil"/>
            </w:tcBorders>
            <w:shd w:val="clear" w:color="000000" w:fill="DFD8E8"/>
            <w:noWrap/>
            <w:vAlign w:val="bottom"/>
            <w:hideMark/>
          </w:tcPr>
          <w:p w14:paraId="04F9AF95" w14:textId="77777777" w:rsidR="00E44F9B" w:rsidRPr="00AA186B" w:rsidRDefault="00E44F9B" w:rsidP="00774C2A">
            <w:pPr>
              <w:spacing w:line="240" w:lineRule="auto"/>
              <w:rPr>
                <w:rFonts w:eastAsia="Times New Roman" w:cs="Times New Roman"/>
                <w:b/>
                <w:bCs/>
                <w:szCs w:val="24"/>
              </w:rPr>
            </w:pPr>
            <w:r w:rsidRPr="00AA186B">
              <w:rPr>
                <w:rFonts w:eastAsia="Times New Roman" w:cs="Times New Roman"/>
                <w:b/>
                <w:bCs/>
                <w:szCs w:val="24"/>
              </w:rPr>
              <w:t>Southern</w:t>
            </w:r>
          </w:p>
        </w:tc>
        <w:tc>
          <w:tcPr>
            <w:tcW w:w="1180" w:type="dxa"/>
            <w:tcBorders>
              <w:top w:val="single" w:sz="8" w:space="0" w:color="9F8AB9"/>
              <w:left w:val="nil"/>
              <w:bottom w:val="double" w:sz="4" w:space="0" w:color="auto"/>
              <w:right w:val="nil"/>
            </w:tcBorders>
            <w:shd w:val="clear" w:color="000000" w:fill="DFD8E8"/>
            <w:noWrap/>
            <w:vAlign w:val="bottom"/>
            <w:hideMark/>
          </w:tcPr>
          <w:p w14:paraId="79D19B80" w14:textId="279F2149"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92</w:t>
            </w:r>
          </w:p>
        </w:tc>
        <w:tc>
          <w:tcPr>
            <w:tcW w:w="1300" w:type="dxa"/>
            <w:tcBorders>
              <w:top w:val="single" w:sz="8" w:space="0" w:color="9F8AB9"/>
              <w:left w:val="nil"/>
              <w:bottom w:val="double" w:sz="4" w:space="0" w:color="auto"/>
              <w:right w:val="nil"/>
            </w:tcBorders>
            <w:shd w:val="clear" w:color="000000" w:fill="DFD8E8"/>
            <w:noWrap/>
            <w:vAlign w:val="bottom"/>
            <w:hideMark/>
          </w:tcPr>
          <w:p w14:paraId="79477C6D" w14:textId="312E446A"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93.5%</w:t>
            </w:r>
          </w:p>
        </w:tc>
        <w:tc>
          <w:tcPr>
            <w:tcW w:w="960" w:type="dxa"/>
            <w:tcBorders>
              <w:top w:val="single" w:sz="8" w:space="0" w:color="9F8AB9"/>
              <w:left w:val="nil"/>
              <w:bottom w:val="double" w:sz="4" w:space="0" w:color="auto"/>
              <w:right w:val="nil"/>
            </w:tcBorders>
            <w:shd w:val="clear" w:color="000000" w:fill="DFD8E8"/>
            <w:vAlign w:val="bottom"/>
            <w:hideMark/>
          </w:tcPr>
          <w:p w14:paraId="467D5643" w14:textId="37A11309"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27</w:t>
            </w:r>
          </w:p>
        </w:tc>
        <w:tc>
          <w:tcPr>
            <w:tcW w:w="960" w:type="dxa"/>
            <w:tcBorders>
              <w:top w:val="single" w:sz="8" w:space="0" w:color="9F8AB9"/>
              <w:left w:val="nil"/>
              <w:bottom w:val="double" w:sz="4" w:space="0" w:color="auto"/>
              <w:right w:val="single" w:sz="8" w:space="0" w:color="9F8AB9"/>
            </w:tcBorders>
            <w:shd w:val="clear" w:color="000000" w:fill="DFD8E8"/>
            <w:vAlign w:val="bottom"/>
            <w:hideMark/>
          </w:tcPr>
          <w:p w14:paraId="51631B23" w14:textId="4D117AF6"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95.9%</w:t>
            </w:r>
          </w:p>
        </w:tc>
      </w:tr>
      <w:tr w:rsidR="00E44F9B" w:rsidRPr="00AA186B" w14:paraId="7223184C" w14:textId="77777777" w:rsidTr="00774C2A">
        <w:trPr>
          <w:trHeight w:val="330"/>
          <w:jc w:val="center"/>
        </w:trPr>
        <w:tc>
          <w:tcPr>
            <w:tcW w:w="1660" w:type="dxa"/>
            <w:tcBorders>
              <w:top w:val="double" w:sz="4" w:space="0" w:color="auto"/>
              <w:left w:val="single" w:sz="8" w:space="0" w:color="9F8AB9"/>
              <w:bottom w:val="single" w:sz="8" w:space="0" w:color="9F8AB9"/>
              <w:right w:val="nil"/>
            </w:tcBorders>
            <w:shd w:val="clear" w:color="auto" w:fill="auto"/>
            <w:noWrap/>
            <w:vAlign w:val="bottom"/>
            <w:hideMark/>
          </w:tcPr>
          <w:p w14:paraId="555D7745" w14:textId="77777777" w:rsidR="00E44F9B" w:rsidRPr="00AA186B" w:rsidRDefault="00E44F9B" w:rsidP="00774C2A">
            <w:pPr>
              <w:spacing w:line="240" w:lineRule="auto"/>
              <w:rPr>
                <w:rFonts w:eastAsia="Times New Roman" w:cs="Times New Roman"/>
                <w:b/>
                <w:bCs/>
                <w:szCs w:val="24"/>
              </w:rPr>
            </w:pPr>
            <w:r w:rsidRPr="00AA186B">
              <w:rPr>
                <w:rFonts w:eastAsia="Times New Roman" w:cs="Times New Roman"/>
                <w:b/>
                <w:bCs/>
                <w:szCs w:val="24"/>
              </w:rPr>
              <w:t>State</w:t>
            </w:r>
          </w:p>
        </w:tc>
        <w:tc>
          <w:tcPr>
            <w:tcW w:w="1180" w:type="dxa"/>
            <w:tcBorders>
              <w:top w:val="double" w:sz="4" w:space="0" w:color="auto"/>
              <w:left w:val="nil"/>
              <w:bottom w:val="single" w:sz="8" w:space="0" w:color="9F8AB9"/>
              <w:right w:val="nil"/>
            </w:tcBorders>
            <w:shd w:val="clear" w:color="auto" w:fill="auto"/>
            <w:noWrap/>
            <w:vAlign w:val="bottom"/>
            <w:hideMark/>
          </w:tcPr>
          <w:p w14:paraId="7DB5636F" w14:textId="4C0DB3F4" w:rsidR="00E44F9B" w:rsidRPr="00AA186B" w:rsidRDefault="00E44F9B" w:rsidP="00774C2A">
            <w:pPr>
              <w:spacing w:line="240" w:lineRule="auto"/>
              <w:jc w:val="center"/>
              <w:rPr>
                <w:rFonts w:ascii="Calibri" w:eastAsia="Times New Roman" w:hAnsi="Calibri" w:cs="Times New Roman"/>
                <w:sz w:val="20"/>
                <w:szCs w:val="20"/>
              </w:rPr>
            </w:pPr>
            <w:r>
              <w:rPr>
                <w:rFonts w:ascii="Calibri" w:hAnsi="Calibri"/>
              </w:rPr>
              <w:t>632</w:t>
            </w:r>
          </w:p>
        </w:tc>
        <w:tc>
          <w:tcPr>
            <w:tcW w:w="1300" w:type="dxa"/>
            <w:tcBorders>
              <w:top w:val="double" w:sz="4" w:space="0" w:color="auto"/>
              <w:left w:val="nil"/>
              <w:bottom w:val="single" w:sz="8" w:space="0" w:color="9F8AB9"/>
              <w:right w:val="nil"/>
            </w:tcBorders>
            <w:shd w:val="clear" w:color="auto" w:fill="auto"/>
            <w:noWrap/>
            <w:vAlign w:val="bottom"/>
            <w:hideMark/>
          </w:tcPr>
          <w:p w14:paraId="32B4A391" w14:textId="4706E9C9" w:rsidR="00E44F9B" w:rsidRPr="00D23479" w:rsidRDefault="00D23479" w:rsidP="00774C2A">
            <w:pPr>
              <w:spacing w:line="240" w:lineRule="auto"/>
              <w:jc w:val="center"/>
              <w:rPr>
                <w:rFonts w:ascii="Calibri" w:eastAsia="Times New Roman" w:hAnsi="Calibri" w:cs="Times New Roman"/>
                <w:szCs w:val="24"/>
              </w:rPr>
            </w:pPr>
            <w:r w:rsidRPr="00D23479">
              <w:rPr>
                <w:rFonts w:ascii="Calibri" w:eastAsia="Times New Roman" w:hAnsi="Calibri" w:cs="Times New Roman"/>
                <w:szCs w:val="24"/>
              </w:rPr>
              <w:t>95.2%</w:t>
            </w:r>
          </w:p>
        </w:tc>
        <w:tc>
          <w:tcPr>
            <w:tcW w:w="960" w:type="dxa"/>
            <w:tcBorders>
              <w:top w:val="double" w:sz="4" w:space="0" w:color="auto"/>
              <w:left w:val="nil"/>
              <w:bottom w:val="single" w:sz="8" w:space="0" w:color="9F8AB9"/>
              <w:right w:val="nil"/>
            </w:tcBorders>
            <w:shd w:val="clear" w:color="auto" w:fill="auto"/>
            <w:vAlign w:val="bottom"/>
            <w:hideMark/>
          </w:tcPr>
          <w:p w14:paraId="56F3D076" w14:textId="56A218C5" w:rsidR="00E44F9B" w:rsidRPr="00D23479" w:rsidRDefault="00E44F9B" w:rsidP="00774C2A">
            <w:pPr>
              <w:spacing w:line="240" w:lineRule="auto"/>
              <w:jc w:val="center"/>
              <w:rPr>
                <w:rFonts w:ascii="Calibri" w:eastAsia="Times New Roman" w:hAnsi="Calibri" w:cs="Times New Roman"/>
                <w:szCs w:val="24"/>
              </w:rPr>
            </w:pPr>
            <w:r w:rsidRPr="00D23479">
              <w:rPr>
                <w:rFonts w:ascii="Calibri" w:hAnsi="Calibri"/>
                <w:szCs w:val="24"/>
              </w:rPr>
              <w:t>151</w:t>
            </w:r>
          </w:p>
        </w:tc>
        <w:tc>
          <w:tcPr>
            <w:tcW w:w="960" w:type="dxa"/>
            <w:tcBorders>
              <w:top w:val="double" w:sz="4" w:space="0" w:color="auto"/>
              <w:left w:val="nil"/>
              <w:bottom w:val="single" w:sz="8" w:space="0" w:color="9F8AB9"/>
              <w:right w:val="single" w:sz="8" w:space="0" w:color="9F8AB9"/>
            </w:tcBorders>
            <w:shd w:val="clear" w:color="auto" w:fill="auto"/>
            <w:vAlign w:val="bottom"/>
            <w:hideMark/>
          </w:tcPr>
          <w:p w14:paraId="62911016" w14:textId="6F43A679" w:rsidR="00E44F9B" w:rsidRPr="00D23479" w:rsidRDefault="00D23479" w:rsidP="00774C2A">
            <w:pPr>
              <w:spacing w:line="240" w:lineRule="auto"/>
              <w:jc w:val="center"/>
              <w:rPr>
                <w:rFonts w:ascii="Calibri" w:eastAsia="Times New Roman" w:hAnsi="Calibri" w:cs="Times New Roman"/>
                <w:szCs w:val="24"/>
              </w:rPr>
            </w:pPr>
            <w:r w:rsidRPr="00D23479">
              <w:rPr>
                <w:rFonts w:ascii="Calibri" w:eastAsia="Times New Roman" w:hAnsi="Calibri" w:cs="Times New Roman"/>
                <w:szCs w:val="24"/>
              </w:rPr>
              <w:t>97.7%</w:t>
            </w:r>
          </w:p>
        </w:tc>
      </w:tr>
    </w:tbl>
    <w:p w14:paraId="30E8C9E9" w14:textId="77777777" w:rsidR="007C1358" w:rsidRDefault="007C1358" w:rsidP="00BF7F63">
      <w:pPr>
        <w:spacing w:line="240" w:lineRule="exact"/>
      </w:pPr>
    </w:p>
    <w:p w14:paraId="1590B2F4" w14:textId="77777777" w:rsidR="00AA186B" w:rsidRDefault="00AA186B" w:rsidP="00BF7F63">
      <w:pPr>
        <w:spacing w:line="240" w:lineRule="exact"/>
      </w:pPr>
    </w:p>
    <w:p w14:paraId="2B2DDC87" w14:textId="01EAAE21" w:rsidR="005A705F" w:rsidRPr="000805B2" w:rsidRDefault="00E73521" w:rsidP="000805B2">
      <w:pPr>
        <w:pStyle w:val="Heading4"/>
      </w:pPr>
      <w:r w:rsidRPr="000805B2">
        <w:t>PCR II by Residential Status, Disability and Age</w:t>
      </w:r>
    </w:p>
    <w:p w14:paraId="687AE8C7" w14:textId="0EE7944B" w:rsidR="00E73521" w:rsidRDefault="00E73521" w:rsidP="00C0258C">
      <w:r w:rsidRPr="009D363A">
        <w:t>The following three figures display PCR II results by residential status, disability and age group</w:t>
      </w:r>
      <w:r w:rsidR="00553BC8" w:rsidRPr="009D363A">
        <w:t xml:space="preserve"> (Figures </w:t>
      </w:r>
      <w:r w:rsidR="00DB00C1">
        <w:t>5</w:t>
      </w:r>
      <w:r w:rsidR="00553BC8" w:rsidRPr="009D363A">
        <w:t xml:space="preserve"> – </w:t>
      </w:r>
      <w:r w:rsidR="00DB00C1">
        <w:t>7</w:t>
      </w:r>
      <w:r w:rsidR="00553BC8" w:rsidRPr="009D363A">
        <w:t>)</w:t>
      </w:r>
      <w:r w:rsidRPr="009D363A">
        <w:t>.</w:t>
      </w:r>
      <w:r w:rsidR="00553BC8" w:rsidRPr="009D363A">
        <w:t xml:space="preserve"> </w:t>
      </w:r>
      <w:r w:rsidR="00C0258C" w:rsidRPr="009D363A">
        <w:t xml:space="preserve"> </w:t>
      </w:r>
      <w:r w:rsidR="0026297D" w:rsidRPr="009D363A">
        <w:t>S</w:t>
      </w:r>
      <w:r w:rsidR="00A63610" w:rsidRPr="009D363A">
        <w:t xml:space="preserve">everal categories have a relatively </w:t>
      </w:r>
      <w:r w:rsidR="00C0258C" w:rsidRPr="009D363A">
        <w:t xml:space="preserve">small number of cases and results to date should be viewed carefully.  </w:t>
      </w:r>
      <w:r w:rsidR="004F336F" w:rsidRPr="009D363A">
        <w:t>CDC+</w:t>
      </w:r>
      <w:r w:rsidR="004F336F" w:rsidRPr="00474BB8">
        <w:t xml:space="preserve"> results are not shown </w:t>
      </w:r>
      <w:r w:rsidR="009960D3">
        <w:t xml:space="preserve">in this report as </w:t>
      </w:r>
      <w:r w:rsidR="009D363A">
        <w:t>almost all the individuals live in</w:t>
      </w:r>
      <w:r w:rsidR="000839FC">
        <w:t xml:space="preserve"> </w:t>
      </w:r>
      <w:r w:rsidR="009D363A">
        <w:t xml:space="preserve">a </w:t>
      </w:r>
      <w:r w:rsidR="009D363A" w:rsidRPr="000839FC">
        <w:t xml:space="preserve">family </w:t>
      </w:r>
      <w:r w:rsidR="009D363A" w:rsidRPr="00A72C41">
        <w:t xml:space="preserve">home and </w:t>
      </w:r>
      <w:r w:rsidR="009960D3" w:rsidRPr="00A72C41">
        <w:t xml:space="preserve">the </w:t>
      </w:r>
      <w:r w:rsidR="000839FC" w:rsidRPr="00A72C41">
        <w:t xml:space="preserve">sample size </w:t>
      </w:r>
      <w:r w:rsidR="009960D3" w:rsidRPr="00A72C41">
        <w:t xml:space="preserve">in most of the </w:t>
      </w:r>
      <w:r w:rsidR="009D363A" w:rsidRPr="00A72C41">
        <w:t xml:space="preserve">Disability and Age Group </w:t>
      </w:r>
      <w:r w:rsidR="009960D3" w:rsidRPr="00A72C41">
        <w:t xml:space="preserve">categories is quite small, </w:t>
      </w:r>
      <w:r w:rsidR="009D363A" w:rsidRPr="00A72C41">
        <w:t xml:space="preserve">less than 35. </w:t>
      </w:r>
      <w:r w:rsidR="00843A1C" w:rsidRPr="00A72C41">
        <w:t xml:space="preserve">Results </w:t>
      </w:r>
      <w:r w:rsidR="00415CBD" w:rsidRPr="00A72C41">
        <w:t xml:space="preserve">to date indicate </w:t>
      </w:r>
      <w:r w:rsidR="00A72C41" w:rsidRPr="00A72C41">
        <w:t>very little</w:t>
      </w:r>
      <w:r w:rsidR="00843A1C" w:rsidRPr="00A72C41">
        <w:t xml:space="preserve"> variation across </w:t>
      </w:r>
      <w:r w:rsidR="00A72C41" w:rsidRPr="00A72C41">
        <w:t>demographic categories</w:t>
      </w:r>
      <w:r w:rsidR="00843A1C" w:rsidRPr="00A72C41">
        <w:rPr>
          <w:color w:val="FF0000"/>
        </w:rPr>
        <w:t>.</w:t>
      </w:r>
      <w:r w:rsidR="00C0258C" w:rsidRPr="000945DF">
        <w:rPr>
          <w:color w:val="FF0000"/>
        </w:rPr>
        <w:t xml:space="preserve"> </w:t>
      </w:r>
      <w:r w:rsidR="00553BC8" w:rsidRPr="000945DF">
        <w:rPr>
          <w:color w:val="FF0000"/>
        </w:rPr>
        <w:t xml:space="preserve"> </w:t>
      </w:r>
      <w:r w:rsidR="003723D1" w:rsidRPr="000945DF">
        <w:rPr>
          <w:color w:val="FF0000"/>
        </w:rPr>
        <w:t xml:space="preserve"> </w:t>
      </w:r>
    </w:p>
    <w:p w14:paraId="1971E948" w14:textId="6575F127" w:rsidR="005A705F" w:rsidRDefault="00F652F1" w:rsidP="00E73521">
      <w:pPr>
        <w:spacing w:line="240" w:lineRule="auto"/>
        <w:jc w:val="center"/>
      </w:pPr>
      <w:r>
        <w:rPr>
          <w:noProof/>
        </w:rPr>
        <w:lastRenderedPageBreak/>
        <w:drawing>
          <wp:inline distT="0" distB="0" distL="0" distR="0" wp14:anchorId="78B154CF" wp14:editId="378F4F69">
            <wp:extent cx="4276725" cy="249555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896BF09" w14:textId="77777777" w:rsidR="00A72C41" w:rsidRDefault="00A72C41" w:rsidP="00E73521">
      <w:pPr>
        <w:spacing w:line="240" w:lineRule="auto"/>
        <w:jc w:val="center"/>
      </w:pPr>
    </w:p>
    <w:p w14:paraId="7CB07886" w14:textId="77777777" w:rsidR="00A72C41" w:rsidRDefault="00A72C41" w:rsidP="00E73521">
      <w:pPr>
        <w:spacing w:line="240" w:lineRule="auto"/>
        <w:jc w:val="center"/>
      </w:pPr>
    </w:p>
    <w:p w14:paraId="700A2D25" w14:textId="6B162C62" w:rsidR="00E73521" w:rsidRDefault="00D23479" w:rsidP="00A64E9D">
      <w:pPr>
        <w:spacing w:line="240" w:lineRule="auto"/>
        <w:jc w:val="center"/>
      </w:pPr>
      <w:r>
        <w:rPr>
          <w:noProof/>
        </w:rPr>
        <w:drawing>
          <wp:inline distT="0" distB="0" distL="0" distR="0" wp14:anchorId="4CB18956" wp14:editId="22FFD058">
            <wp:extent cx="4686300" cy="250507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F6A5E8" w14:textId="77777777" w:rsidR="009159E1" w:rsidRDefault="009159E1" w:rsidP="00A64E9D">
      <w:pPr>
        <w:spacing w:line="240" w:lineRule="auto"/>
        <w:jc w:val="center"/>
      </w:pPr>
    </w:p>
    <w:p w14:paraId="4E285778" w14:textId="77777777" w:rsidR="00A72C41" w:rsidRDefault="00A72C41" w:rsidP="00A64E9D">
      <w:pPr>
        <w:spacing w:line="240" w:lineRule="auto"/>
        <w:jc w:val="center"/>
      </w:pPr>
    </w:p>
    <w:p w14:paraId="487DADCF" w14:textId="66273C84" w:rsidR="00A63610" w:rsidRDefault="00A72C41" w:rsidP="00A64E9D">
      <w:pPr>
        <w:spacing w:line="240" w:lineRule="auto"/>
        <w:jc w:val="center"/>
      </w:pPr>
      <w:r>
        <w:rPr>
          <w:noProof/>
        </w:rPr>
        <w:drawing>
          <wp:inline distT="0" distB="0" distL="0" distR="0" wp14:anchorId="0A49846D" wp14:editId="7A433AB7">
            <wp:extent cx="4648200" cy="2257425"/>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59B75BF" w14:textId="5AFC9E4B" w:rsidR="00E73521" w:rsidRDefault="00E73521" w:rsidP="00A63610">
      <w:pPr>
        <w:spacing w:line="240" w:lineRule="auto"/>
        <w:jc w:val="center"/>
      </w:pPr>
    </w:p>
    <w:p w14:paraId="6C61F604" w14:textId="77777777" w:rsidR="00E73521" w:rsidRDefault="00E73521" w:rsidP="002D3CBB">
      <w:pPr>
        <w:spacing w:line="240" w:lineRule="auto"/>
      </w:pPr>
    </w:p>
    <w:p w14:paraId="1E9A5CCB" w14:textId="4F3AD974" w:rsidR="00402E54" w:rsidRDefault="00402E54" w:rsidP="001B6245">
      <w:pPr>
        <w:pStyle w:val="Heading3"/>
      </w:pPr>
      <w:bookmarkStart w:id="44" w:name="_Toc459080639"/>
      <w:r>
        <w:t>PCR Waiver Support Coordinator (WSC)</w:t>
      </w:r>
      <w:r w:rsidR="00960FFE">
        <w:t xml:space="preserve"> </w:t>
      </w:r>
      <w:r>
        <w:t>Interview</w:t>
      </w:r>
      <w:r w:rsidR="00B207B8">
        <w:rPr>
          <w:rStyle w:val="FootnoteReference"/>
          <w:b w:val="0"/>
        </w:rPr>
        <w:footnoteReference w:id="8"/>
      </w:r>
      <w:bookmarkEnd w:id="44"/>
    </w:p>
    <w:p w14:paraId="043DDB70" w14:textId="19C34104" w:rsidR="00402E54" w:rsidRDefault="00402E54" w:rsidP="007C1358">
      <w:r w:rsidRPr="00D442B3">
        <w:t xml:space="preserve">The PCR includes an interview </w:t>
      </w:r>
      <w:r w:rsidR="00353752">
        <w:t>with</w:t>
      </w:r>
      <w:r w:rsidRPr="00D442B3">
        <w:t xml:space="preserve"> the WSC</w:t>
      </w:r>
      <w:r w:rsidR="00DB00C1">
        <w:t xml:space="preserve"> or CDC+ Consultant</w:t>
      </w:r>
      <w:r w:rsidRPr="00D442B3">
        <w:t xml:space="preserve"> </w:t>
      </w:r>
      <w:r w:rsidR="00DB00C1">
        <w:t xml:space="preserve">(CDC+ C) </w:t>
      </w:r>
      <w:r w:rsidRPr="00D442B3">
        <w:t xml:space="preserve">who is supporting the person at the time of the </w:t>
      </w:r>
      <w:r w:rsidRPr="00353752">
        <w:t>review. The standards are the same as described for the PCR Interview.  However, the focus</w:t>
      </w:r>
      <w:r w:rsidR="00FF72D0">
        <w:t xml:space="preserve"> of the indicators</w:t>
      </w:r>
      <w:r w:rsidRPr="00353752">
        <w:t xml:space="preserve"> is from the perspective of the WSC</w:t>
      </w:r>
      <w:r w:rsidR="00DB00C1">
        <w:t>/CDC+ C</w:t>
      </w:r>
      <w:r w:rsidRPr="00353752">
        <w:t xml:space="preserve">. For example, how well does the WSC support the person to achieve person centered planning </w:t>
      </w:r>
      <w:r w:rsidR="00E434BA" w:rsidRPr="00353752">
        <w:t>or</w:t>
      </w:r>
      <w:r w:rsidRPr="00353752">
        <w:t xml:space="preserve"> community integration?  </w:t>
      </w:r>
      <w:r w:rsidR="00960FFE" w:rsidRPr="00353752">
        <w:t>However, because Consultants are also certified as Support Coordinators and almost all serve individuals</w:t>
      </w:r>
      <w:r w:rsidR="008C2D72">
        <w:t xml:space="preserve"> on the waiver, they are interviewed in their WSC role. </w:t>
      </w:r>
    </w:p>
    <w:p w14:paraId="0EADC81C" w14:textId="77777777" w:rsidR="007B2CBA" w:rsidRDefault="007B2CBA" w:rsidP="00E434BA"/>
    <w:p w14:paraId="57D8479A" w14:textId="532DF95F" w:rsidR="00EB694D" w:rsidRDefault="007B2CBA" w:rsidP="004858DF">
      <w:r w:rsidRPr="00E434BA">
        <w:t xml:space="preserve">WSC </w:t>
      </w:r>
      <w:r w:rsidR="002152BA">
        <w:t xml:space="preserve">and CDC+ C </w:t>
      </w:r>
      <w:r w:rsidRPr="00E434BA">
        <w:t xml:space="preserve">Interview results are shown by </w:t>
      </w:r>
      <w:r w:rsidR="00E434BA">
        <w:t xml:space="preserve">Standard in </w:t>
      </w:r>
      <w:r w:rsidR="00E434BA" w:rsidRPr="004858DF">
        <w:t xml:space="preserve">Figure </w:t>
      </w:r>
      <w:r w:rsidR="00DB00C1">
        <w:t>8</w:t>
      </w:r>
      <w:r w:rsidR="00E434BA" w:rsidRPr="004858DF">
        <w:t xml:space="preserve"> and by R</w:t>
      </w:r>
      <w:r w:rsidRPr="004858DF">
        <w:t xml:space="preserve">egion in Table 5.  </w:t>
      </w:r>
      <w:r w:rsidR="00220EA5">
        <w:t>Interview scores are very high with very little variation across the standards or regions.</w:t>
      </w:r>
      <w:r w:rsidR="004858DF">
        <w:tab/>
      </w:r>
    </w:p>
    <w:p w14:paraId="0FDAC9F8" w14:textId="77777777" w:rsidR="00256B31" w:rsidRDefault="00256B31" w:rsidP="004858DF"/>
    <w:p w14:paraId="25C49B76" w14:textId="77777777" w:rsidR="00220EA5" w:rsidRDefault="00220EA5" w:rsidP="004858DF"/>
    <w:p w14:paraId="1B5DD5B7" w14:textId="5260001F" w:rsidR="00E50C0F" w:rsidRDefault="002152BA" w:rsidP="00EB694D">
      <w:pPr>
        <w:spacing w:line="240" w:lineRule="auto"/>
        <w:jc w:val="center"/>
      </w:pPr>
      <w:r>
        <w:rPr>
          <w:noProof/>
        </w:rPr>
        <w:lastRenderedPageBreak/>
        <w:drawing>
          <wp:inline distT="0" distB="0" distL="0" distR="0" wp14:anchorId="47F17582" wp14:editId="3B85909D">
            <wp:extent cx="5629524" cy="372121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62E5407" w14:textId="77777777" w:rsidR="009F3F17" w:rsidRDefault="009F3F17">
      <w:pPr>
        <w:spacing w:line="240" w:lineRule="auto"/>
      </w:pPr>
    </w:p>
    <w:p w14:paraId="0C739AE9" w14:textId="77777777" w:rsidR="00070AC9" w:rsidRDefault="00070AC9" w:rsidP="007B2CBA">
      <w:pPr>
        <w:spacing w:line="240" w:lineRule="auto"/>
        <w:jc w:val="center"/>
        <w:rPr>
          <w:rFonts w:ascii="Franklin Gothic Medium" w:hAnsi="Franklin Gothic Medium"/>
        </w:rPr>
      </w:pPr>
    </w:p>
    <w:p w14:paraId="028CD191" w14:textId="77777777" w:rsidR="00220EA5" w:rsidRDefault="00220EA5" w:rsidP="007B2CBA">
      <w:pPr>
        <w:spacing w:line="240" w:lineRule="auto"/>
        <w:jc w:val="center"/>
        <w:rPr>
          <w:rFonts w:ascii="Franklin Gothic Medium" w:hAnsi="Franklin Gothic Medium"/>
        </w:rPr>
      </w:pPr>
    </w:p>
    <w:p w14:paraId="09A78813" w14:textId="77777777" w:rsidR="00256B31" w:rsidRDefault="00256B31" w:rsidP="007B2CBA">
      <w:pPr>
        <w:spacing w:line="240" w:lineRule="auto"/>
        <w:jc w:val="center"/>
        <w:rPr>
          <w:rFonts w:ascii="Franklin Gothic Medium" w:hAnsi="Franklin Gothic Medium"/>
        </w:rPr>
      </w:pPr>
    </w:p>
    <w:tbl>
      <w:tblPr>
        <w:tblStyle w:val="MediumShading1-Accent2"/>
        <w:tblW w:w="6280" w:type="dxa"/>
        <w:jc w:val="center"/>
        <w:tblLook w:val="04A0" w:firstRow="1" w:lastRow="0" w:firstColumn="1" w:lastColumn="0" w:noHBand="0" w:noVBand="1"/>
      </w:tblPr>
      <w:tblGrid>
        <w:gridCol w:w="2490"/>
        <w:gridCol w:w="709"/>
        <w:gridCol w:w="1186"/>
        <w:gridCol w:w="709"/>
        <w:gridCol w:w="1186"/>
      </w:tblGrid>
      <w:tr w:rsidR="00E42128" w:rsidRPr="002152BA" w14:paraId="7B4156BF" w14:textId="77777777" w:rsidTr="00E42128">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280" w:type="dxa"/>
            <w:gridSpan w:val="5"/>
            <w:shd w:val="clear" w:color="auto" w:fill="632423" w:themeFill="accent2" w:themeFillShade="80"/>
            <w:noWrap/>
            <w:vAlign w:val="bottom"/>
            <w:hideMark/>
          </w:tcPr>
          <w:p w14:paraId="797792A2" w14:textId="77777777" w:rsidR="002152BA" w:rsidRPr="001F2934" w:rsidRDefault="002152BA" w:rsidP="00E42128">
            <w:pPr>
              <w:spacing w:line="240" w:lineRule="auto"/>
              <w:jc w:val="center"/>
              <w:rPr>
                <w:rFonts w:ascii="Franklin Gothic Medium" w:eastAsia="Times New Roman" w:hAnsi="Franklin Gothic Medium" w:cs="Times New Roman"/>
                <w:b w:val="0"/>
                <w:szCs w:val="24"/>
              </w:rPr>
            </w:pPr>
            <w:r w:rsidRPr="001F2934">
              <w:rPr>
                <w:rFonts w:ascii="Franklin Gothic Medium" w:eastAsia="Times New Roman" w:hAnsi="Franklin Gothic Medium" w:cs="Times New Roman"/>
                <w:b w:val="0"/>
                <w:szCs w:val="24"/>
              </w:rPr>
              <w:t>Table 5:  WSC and CDC+ C Interview Results by Region</w:t>
            </w:r>
          </w:p>
        </w:tc>
      </w:tr>
      <w:tr w:rsidR="002152BA" w:rsidRPr="002152BA" w14:paraId="5150D680" w14:textId="77777777" w:rsidTr="00E4212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280" w:type="dxa"/>
            <w:gridSpan w:val="5"/>
            <w:noWrap/>
            <w:vAlign w:val="bottom"/>
            <w:hideMark/>
          </w:tcPr>
          <w:p w14:paraId="14A9CE02" w14:textId="77777777" w:rsidR="002152BA" w:rsidRPr="001F2934" w:rsidRDefault="002152BA" w:rsidP="00E42128">
            <w:pPr>
              <w:spacing w:line="240" w:lineRule="auto"/>
              <w:jc w:val="center"/>
              <w:rPr>
                <w:rFonts w:ascii="Franklin Gothic Medium" w:eastAsia="Times New Roman" w:hAnsi="Franklin Gothic Medium" w:cs="Times New Roman"/>
                <w:b w:val="0"/>
                <w:color w:val="000000"/>
                <w:szCs w:val="24"/>
              </w:rPr>
            </w:pPr>
            <w:r w:rsidRPr="001F2934">
              <w:rPr>
                <w:rFonts w:ascii="Franklin Gothic Medium" w:eastAsia="Times New Roman" w:hAnsi="Franklin Gothic Medium" w:cs="Times New Roman"/>
                <w:b w:val="0"/>
                <w:color w:val="000000"/>
                <w:szCs w:val="24"/>
              </w:rPr>
              <w:t>January - June 2016</w:t>
            </w:r>
          </w:p>
        </w:tc>
      </w:tr>
      <w:tr w:rsidR="002152BA" w:rsidRPr="002152BA" w14:paraId="648578A0" w14:textId="77777777" w:rsidTr="00E42128">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490" w:type="dxa"/>
            <w:tcBorders>
              <w:bottom w:val="single" w:sz="8" w:space="0" w:color="CF7B79" w:themeColor="accent2" w:themeTint="BF"/>
              <w:right w:val="double" w:sz="4" w:space="0" w:color="auto"/>
            </w:tcBorders>
            <w:noWrap/>
            <w:hideMark/>
          </w:tcPr>
          <w:p w14:paraId="2541DA0C" w14:textId="77777777" w:rsidR="002152BA" w:rsidRPr="002152BA" w:rsidRDefault="002152BA" w:rsidP="002152BA">
            <w:pPr>
              <w:spacing w:line="240" w:lineRule="auto"/>
              <w:rPr>
                <w:rFonts w:ascii="Franklin Gothic Medium" w:eastAsia="Times New Roman" w:hAnsi="Franklin Gothic Medium" w:cs="Times New Roman"/>
                <w:szCs w:val="24"/>
              </w:rPr>
            </w:pPr>
          </w:p>
        </w:tc>
        <w:tc>
          <w:tcPr>
            <w:tcW w:w="1895" w:type="dxa"/>
            <w:gridSpan w:val="2"/>
            <w:tcBorders>
              <w:left w:val="double" w:sz="4" w:space="0" w:color="auto"/>
              <w:bottom w:val="single" w:sz="8" w:space="0" w:color="CF7B79" w:themeColor="accent2" w:themeTint="BF"/>
              <w:right w:val="double" w:sz="4" w:space="0" w:color="auto"/>
            </w:tcBorders>
            <w:noWrap/>
            <w:vAlign w:val="bottom"/>
            <w:hideMark/>
          </w:tcPr>
          <w:p w14:paraId="6A56C743" w14:textId="77777777" w:rsidR="002152BA" w:rsidRPr="002152BA" w:rsidRDefault="002152BA"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Franklin Gothic Medium" w:eastAsia="Times New Roman" w:hAnsi="Franklin Gothic Medium" w:cs="Times New Roman"/>
                <w:sz w:val="22"/>
              </w:rPr>
            </w:pPr>
            <w:r w:rsidRPr="002152BA">
              <w:rPr>
                <w:rFonts w:ascii="Franklin Gothic Medium" w:eastAsia="Times New Roman" w:hAnsi="Franklin Gothic Medium" w:cs="Times New Roman"/>
                <w:sz w:val="22"/>
              </w:rPr>
              <w:t>WSC</w:t>
            </w:r>
          </w:p>
        </w:tc>
        <w:tc>
          <w:tcPr>
            <w:tcW w:w="1895" w:type="dxa"/>
            <w:gridSpan w:val="2"/>
            <w:tcBorders>
              <w:left w:val="double" w:sz="4" w:space="0" w:color="auto"/>
              <w:bottom w:val="single" w:sz="8" w:space="0" w:color="CF7B79" w:themeColor="accent2" w:themeTint="BF"/>
            </w:tcBorders>
            <w:noWrap/>
            <w:vAlign w:val="bottom"/>
            <w:hideMark/>
          </w:tcPr>
          <w:p w14:paraId="1E274B6E" w14:textId="77777777" w:rsidR="002152BA" w:rsidRPr="002152BA" w:rsidRDefault="002152BA"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Franklin Gothic Medium" w:eastAsia="Times New Roman" w:hAnsi="Franklin Gothic Medium" w:cs="Times New Roman"/>
                <w:sz w:val="22"/>
              </w:rPr>
            </w:pPr>
            <w:r w:rsidRPr="002152BA">
              <w:rPr>
                <w:rFonts w:ascii="Franklin Gothic Medium" w:eastAsia="Times New Roman" w:hAnsi="Franklin Gothic Medium" w:cs="Times New Roman"/>
                <w:sz w:val="22"/>
              </w:rPr>
              <w:t>CDC+</w:t>
            </w:r>
          </w:p>
        </w:tc>
      </w:tr>
      <w:tr w:rsidR="002152BA" w:rsidRPr="002152BA" w14:paraId="5B5EA048" w14:textId="77777777" w:rsidTr="00E4212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90" w:type="dxa"/>
            <w:tcBorders>
              <w:bottom w:val="double" w:sz="4" w:space="0" w:color="auto"/>
              <w:right w:val="double" w:sz="4" w:space="0" w:color="auto"/>
            </w:tcBorders>
            <w:noWrap/>
            <w:vAlign w:val="bottom"/>
            <w:hideMark/>
          </w:tcPr>
          <w:p w14:paraId="6F717EC5" w14:textId="77777777" w:rsidR="002152BA" w:rsidRPr="002152BA" w:rsidRDefault="002152BA" w:rsidP="00E42128">
            <w:pPr>
              <w:spacing w:line="240" w:lineRule="auto"/>
              <w:rPr>
                <w:rFonts w:ascii="Calibri" w:eastAsia="Times New Roman" w:hAnsi="Calibri" w:cs="Times New Roman"/>
                <w:szCs w:val="24"/>
              </w:rPr>
            </w:pPr>
            <w:r w:rsidRPr="002152BA">
              <w:rPr>
                <w:rFonts w:ascii="Calibri" w:eastAsia="Times New Roman" w:hAnsi="Calibri" w:cs="Times New Roman"/>
                <w:szCs w:val="24"/>
              </w:rPr>
              <w:t>Region</w:t>
            </w:r>
          </w:p>
        </w:tc>
        <w:tc>
          <w:tcPr>
            <w:tcW w:w="709" w:type="dxa"/>
            <w:tcBorders>
              <w:left w:val="double" w:sz="4" w:space="0" w:color="auto"/>
              <w:bottom w:val="double" w:sz="4" w:space="0" w:color="auto"/>
            </w:tcBorders>
            <w:noWrap/>
            <w:vAlign w:val="bottom"/>
            <w:hideMark/>
          </w:tcPr>
          <w:p w14:paraId="701933F0" w14:textId="77777777" w:rsidR="002152BA" w:rsidRPr="002152BA" w:rsidRDefault="002152BA"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w:t>
            </w:r>
          </w:p>
        </w:tc>
        <w:tc>
          <w:tcPr>
            <w:tcW w:w="1186" w:type="dxa"/>
            <w:tcBorders>
              <w:bottom w:val="double" w:sz="4" w:space="0" w:color="auto"/>
              <w:right w:val="double" w:sz="4" w:space="0" w:color="auto"/>
            </w:tcBorders>
            <w:noWrap/>
            <w:vAlign w:val="bottom"/>
            <w:hideMark/>
          </w:tcPr>
          <w:p w14:paraId="11EA7F71" w14:textId="77777777" w:rsidR="002152BA" w:rsidRPr="002152BA" w:rsidRDefault="002152BA"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 Met</w:t>
            </w:r>
          </w:p>
        </w:tc>
        <w:tc>
          <w:tcPr>
            <w:tcW w:w="709" w:type="dxa"/>
            <w:tcBorders>
              <w:left w:val="double" w:sz="4" w:space="0" w:color="auto"/>
              <w:bottom w:val="double" w:sz="4" w:space="0" w:color="auto"/>
            </w:tcBorders>
            <w:noWrap/>
            <w:vAlign w:val="bottom"/>
            <w:hideMark/>
          </w:tcPr>
          <w:p w14:paraId="6C27D243" w14:textId="045A3ACF" w:rsidR="002152BA" w:rsidRPr="002152BA" w:rsidRDefault="002152BA"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w:t>
            </w:r>
          </w:p>
        </w:tc>
        <w:tc>
          <w:tcPr>
            <w:tcW w:w="1186" w:type="dxa"/>
            <w:tcBorders>
              <w:bottom w:val="double" w:sz="4" w:space="0" w:color="auto"/>
            </w:tcBorders>
            <w:noWrap/>
            <w:vAlign w:val="bottom"/>
            <w:hideMark/>
          </w:tcPr>
          <w:p w14:paraId="4EBA47BB" w14:textId="77777777" w:rsidR="002152BA" w:rsidRPr="002152BA" w:rsidRDefault="002152BA"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 Met</w:t>
            </w:r>
          </w:p>
        </w:tc>
      </w:tr>
      <w:tr w:rsidR="00E42128" w:rsidRPr="002152BA" w14:paraId="34577FF5" w14:textId="77777777" w:rsidTr="00E42128">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90" w:type="dxa"/>
            <w:tcBorders>
              <w:top w:val="double" w:sz="4" w:space="0" w:color="auto"/>
              <w:right w:val="double" w:sz="4" w:space="0" w:color="auto"/>
            </w:tcBorders>
            <w:noWrap/>
            <w:vAlign w:val="bottom"/>
            <w:hideMark/>
          </w:tcPr>
          <w:p w14:paraId="5837D1B5" w14:textId="77777777" w:rsidR="00E42128" w:rsidRPr="002152BA" w:rsidRDefault="00E42128" w:rsidP="00E42128">
            <w:pPr>
              <w:spacing w:line="240" w:lineRule="auto"/>
              <w:rPr>
                <w:rFonts w:ascii="Calibri" w:eastAsia="Times New Roman" w:hAnsi="Calibri" w:cs="Times New Roman"/>
                <w:szCs w:val="24"/>
              </w:rPr>
            </w:pPr>
            <w:r w:rsidRPr="002152BA">
              <w:rPr>
                <w:rFonts w:ascii="Calibri" w:eastAsia="Times New Roman" w:hAnsi="Calibri" w:cs="Times New Roman"/>
                <w:szCs w:val="24"/>
              </w:rPr>
              <w:t>Northwest</w:t>
            </w:r>
          </w:p>
        </w:tc>
        <w:tc>
          <w:tcPr>
            <w:tcW w:w="709" w:type="dxa"/>
            <w:tcBorders>
              <w:top w:val="double" w:sz="4" w:space="0" w:color="auto"/>
              <w:left w:val="double" w:sz="4" w:space="0" w:color="auto"/>
            </w:tcBorders>
            <w:noWrap/>
            <w:vAlign w:val="bottom"/>
            <w:hideMark/>
          </w:tcPr>
          <w:p w14:paraId="7074E7A4"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56</w:t>
            </w:r>
          </w:p>
        </w:tc>
        <w:tc>
          <w:tcPr>
            <w:tcW w:w="1186" w:type="dxa"/>
            <w:tcBorders>
              <w:top w:val="double" w:sz="4" w:space="0" w:color="auto"/>
              <w:right w:val="double" w:sz="4" w:space="0" w:color="auto"/>
            </w:tcBorders>
            <w:noWrap/>
            <w:vAlign w:val="bottom"/>
            <w:hideMark/>
          </w:tcPr>
          <w:p w14:paraId="4FE76514" w14:textId="55B65925"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Pr>
                <w:rFonts w:ascii="Calibri" w:hAnsi="Calibri"/>
              </w:rPr>
              <w:t>97.1%</w:t>
            </w:r>
          </w:p>
        </w:tc>
        <w:tc>
          <w:tcPr>
            <w:tcW w:w="709" w:type="dxa"/>
            <w:tcBorders>
              <w:top w:val="double" w:sz="4" w:space="0" w:color="auto"/>
              <w:left w:val="double" w:sz="4" w:space="0" w:color="auto"/>
            </w:tcBorders>
            <w:noWrap/>
            <w:vAlign w:val="bottom"/>
            <w:hideMark/>
          </w:tcPr>
          <w:p w14:paraId="7B1D9CAF"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21</w:t>
            </w:r>
          </w:p>
        </w:tc>
        <w:tc>
          <w:tcPr>
            <w:tcW w:w="1186" w:type="dxa"/>
            <w:tcBorders>
              <w:top w:val="double" w:sz="4" w:space="0" w:color="auto"/>
            </w:tcBorders>
            <w:noWrap/>
            <w:vAlign w:val="bottom"/>
            <w:hideMark/>
          </w:tcPr>
          <w:p w14:paraId="3A10DF69"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98.7%</w:t>
            </w:r>
          </w:p>
        </w:tc>
      </w:tr>
      <w:tr w:rsidR="00E42128" w:rsidRPr="002152BA" w14:paraId="2A870545" w14:textId="77777777" w:rsidTr="00E4212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90" w:type="dxa"/>
            <w:tcBorders>
              <w:right w:val="double" w:sz="4" w:space="0" w:color="auto"/>
            </w:tcBorders>
            <w:noWrap/>
            <w:vAlign w:val="bottom"/>
            <w:hideMark/>
          </w:tcPr>
          <w:p w14:paraId="1BD4B86B" w14:textId="77777777" w:rsidR="00E42128" w:rsidRPr="002152BA" w:rsidRDefault="00E42128" w:rsidP="00E42128">
            <w:pPr>
              <w:spacing w:line="240" w:lineRule="auto"/>
              <w:rPr>
                <w:rFonts w:ascii="Calibri" w:eastAsia="Times New Roman" w:hAnsi="Calibri" w:cs="Times New Roman"/>
                <w:szCs w:val="24"/>
              </w:rPr>
            </w:pPr>
            <w:r w:rsidRPr="002152BA">
              <w:rPr>
                <w:rFonts w:ascii="Calibri" w:eastAsia="Times New Roman" w:hAnsi="Calibri" w:cs="Times New Roman"/>
                <w:szCs w:val="24"/>
              </w:rPr>
              <w:t>Northeast</w:t>
            </w:r>
          </w:p>
        </w:tc>
        <w:tc>
          <w:tcPr>
            <w:tcW w:w="709" w:type="dxa"/>
            <w:tcBorders>
              <w:left w:val="double" w:sz="4" w:space="0" w:color="auto"/>
            </w:tcBorders>
            <w:noWrap/>
            <w:vAlign w:val="bottom"/>
            <w:hideMark/>
          </w:tcPr>
          <w:p w14:paraId="4AB38F40" w14:textId="77777777"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113</w:t>
            </w:r>
          </w:p>
        </w:tc>
        <w:tc>
          <w:tcPr>
            <w:tcW w:w="1186" w:type="dxa"/>
            <w:tcBorders>
              <w:right w:val="double" w:sz="4" w:space="0" w:color="auto"/>
            </w:tcBorders>
            <w:noWrap/>
            <w:vAlign w:val="bottom"/>
            <w:hideMark/>
          </w:tcPr>
          <w:p w14:paraId="658B74CC" w14:textId="7E20F3C6"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Pr>
                <w:rFonts w:ascii="Calibri" w:hAnsi="Calibri"/>
              </w:rPr>
              <w:t>98.3%</w:t>
            </w:r>
          </w:p>
        </w:tc>
        <w:tc>
          <w:tcPr>
            <w:tcW w:w="709" w:type="dxa"/>
            <w:tcBorders>
              <w:left w:val="double" w:sz="4" w:space="0" w:color="auto"/>
            </w:tcBorders>
            <w:noWrap/>
            <w:vAlign w:val="bottom"/>
            <w:hideMark/>
          </w:tcPr>
          <w:p w14:paraId="320C9B30" w14:textId="77777777"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18</w:t>
            </w:r>
          </w:p>
        </w:tc>
        <w:tc>
          <w:tcPr>
            <w:tcW w:w="1186" w:type="dxa"/>
            <w:noWrap/>
            <w:vAlign w:val="bottom"/>
            <w:hideMark/>
          </w:tcPr>
          <w:p w14:paraId="28AA5B8D" w14:textId="77777777"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98.6%</w:t>
            </w:r>
          </w:p>
        </w:tc>
      </w:tr>
      <w:tr w:rsidR="00E42128" w:rsidRPr="002152BA" w14:paraId="404FF9EC" w14:textId="77777777" w:rsidTr="00E42128">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90" w:type="dxa"/>
            <w:tcBorders>
              <w:right w:val="double" w:sz="4" w:space="0" w:color="auto"/>
            </w:tcBorders>
            <w:noWrap/>
            <w:vAlign w:val="bottom"/>
            <w:hideMark/>
          </w:tcPr>
          <w:p w14:paraId="18E1E1C4" w14:textId="77777777" w:rsidR="00E42128" w:rsidRPr="002152BA" w:rsidRDefault="00E42128" w:rsidP="00E42128">
            <w:pPr>
              <w:spacing w:line="240" w:lineRule="auto"/>
              <w:rPr>
                <w:rFonts w:ascii="Calibri" w:eastAsia="Times New Roman" w:hAnsi="Calibri" w:cs="Times New Roman"/>
                <w:szCs w:val="24"/>
              </w:rPr>
            </w:pPr>
            <w:r w:rsidRPr="002152BA">
              <w:rPr>
                <w:rFonts w:ascii="Calibri" w:eastAsia="Times New Roman" w:hAnsi="Calibri" w:cs="Times New Roman"/>
                <w:szCs w:val="24"/>
              </w:rPr>
              <w:t>Central</w:t>
            </w:r>
          </w:p>
        </w:tc>
        <w:tc>
          <w:tcPr>
            <w:tcW w:w="709" w:type="dxa"/>
            <w:tcBorders>
              <w:left w:val="double" w:sz="4" w:space="0" w:color="auto"/>
            </w:tcBorders>
            <w:noWrap/>
            <w:vAlign w:val="bottom"/>
            <w:hideMark/>
          </w:tcPr>
          <w:p w14:paraId="2C9ECA6F"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134</w:t>
            </w:r>
          </w:p>
        </w:tc>
        <w:tc>
          <w:tcPr>
            <w:tcW w:w="1186" w:type="dxa"/>
            <w:tcBorders>
              <w:right w:val="double" w:sz="4" w:space="0" w:color="auto"/>
            </w:tcBorders>
            <w:noWrap/>
            <w:vAlign w:val="bottom"/>
            <w:hideMark/>
          </w:tcPr>
          <w:p w14:paraId="62C8E0EF" w14:textId="76F8B5C0"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Pr>
                <w:rFonts w:ascii="Calibri" w:hAnsi="Calibri"/>
              </w:rPr>
              <w:t>96.2%</w:t>
            </w:r>
          </w:p>
        </w:tc>
        <w:tc>
          <w:tcPr>
            <w:tcW w:w="709" w:type="dxa"/>
            <w:tcBorders>
              <w:left w:val="double" w:sz="4" w:space="0" w:color="auto"/>
            </w:tcBorders>
            <w:noWrap/>
            <w:vAlign w:val="bottom"/>
            <w:hideMark/>
          </w:tcPr>
          <w:p w14:paraId="4F6A1E25"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38</w:t>
            </w:r>
          </w:p>
        </w:tc>
        <w:tc>
          <w:tcPr>
            <w:tcW w:w="1186" w:type="dxa"/>
            <w:noWrap/>
            <w:vAlign w:val="bottom"/>
            <w:hideMark/>
          </w:tcPr>
          <w:p w14:paraId="35134BCE"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98.9%</w:t>
            </w:r>
          </w:p>
        </w:tc>
      </w:tr>
      <w:tr w:rsidR="00E42128" w:rsidRPr="002152BA" w14:paraId="622E4CC6" w14:textId="77777777" w:rsidTr="00E4212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90" w:type="dxa"/>
            <w:tcBorders>
              <w:right w:val="double" w:sz="4" w:space="0" w:color="auto"/>
            </w:tcBorders>
            <w:noWrap/>
            <w:vAlign w:val="bottom"/>
            <w:hideMark/>
          </w:tcPr>
          <w:p w14:paraId="5733B5A3" w14:textId="77777777" w:rsidR="00E42128" w:rsidRPr="002152BA" w:rsidRDefault="00E42128" w:rsidP="00E42128">
            <w:pPr>
              <w:spacing w:line="240" w:lineRule="auto"/>
              <w:rPr>
                <w:rFonts w:ascii="Calibri" w:eastAsia="Times New Roman" w:hAnsi="Calibri" w:cs="Times New Roman"/>
                <w:szCs w:val="24"/>
              </w:rPr>
            </w:pPr>
            <w:r w:rsidRPr="002152BA">
              <w:rPr>
                <w:rFonts w:ascii="Calibri" w:eastAsia="Times New Roman" w:hAnsi="Calibri" w:cs="Times New Roman"/>
                <w:szCs w:val="24"/>
              </w:rPr>
              <w:t>Suncoast</w:t>
            </w:r>
          </w:p>
        </w:tc>
        <w:tc>
          <w:tcPr>
            <w:tcW w:w="709" w:type="dxa"/>
            <w:tcBorders>
              <w:left w:val="double" w:sz="4" w:space="0" w:color="auto"/>
            </w:tcBorders>
            <w:noWrap/>
            <w:vAlign w:val="bottom"/>
            <w:hideMark/>
          </w:tcPr>
          <w:p w14:paraId="75CC256C" w14:textId="77777777"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127</w:t>
            </w:r>
          </w:p>
        </w:tc>
        <w:tc>
          <w:tcPr>
            <w:tcW w:w="1186" w:type="dxa"/>
            <w:tcBorders>
              <w:right w:val="double" w:sz="4" w:space="0" w:color="auto"/>
            </w:tcBorders>
            <w:noWrap/>
            <w:vAlign w:val="bottom"/>
            <w:hideMark/>
          </w:tcPr>
          <w:p w14:paraId="33C4A010" w14:textId="3EB9ADDB"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Pr>
                <w:rFonts w:ascii="Calibri" w:hAnsi="Calibri"/>
              </w:rPr>
              <w:t>98.9%</w:t>
            </w:r>
          </w:p>
        </w:tc>
        <w:tc>
          <w:tcPr>
            <w:tcW w:w="709" w:type="dxa"/>
            <w:tcBorders>
              <w:left w:val="double" w:sz="4" w:space="0" w:color="auto"/>
            </w:tcBorders>
            <w:noWrap/>
            <w:vAlign w:val="bottom"/>
            <w:hideMark/>
          </w:tcPr>
          <w:p w14:paraId="193D5B02" w14:textId="77777777"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27</w:t>
            </w:r>
          </w:p>
        </w:tc>
        <w:tc>
          <w:tcPr>
            <w:tcW w:w="1186" w:type="dxa"/>
            <w:noWrap/>
            <w:vAlign w:val="bottom"/>
            <w:hideMark/>
          </w:tcPr>
          <w:p w14:paraId="61D9235B" w14:textId="77777777"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99.4%</w:t>
            </w:r>
          </w:p>
        </w:tc>
      </w:tr>
      <w:tr w:rsidR="00E42128" w:rsidRPr="002152BA" w14:paraId="29E82CFD" w14:textId="77777777" w:rsidTr="00E42128">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90" w:type="dxa"/>
            <w:tcBorders>
              <w:bottom w:val="single" w:sz="8" w:space="0" w:color="CF7B79" w:themeColor="accent2" w:themeTint="BF"/>
              <w:right w:val="double" w:sz="4" w:space="0" w:color="auto"/>
            </w:tcBorders>
            <w:noWrap/>
            <w:vAlign w:val="bottom"/>
            <w:hideMark/>
          </w:tcPr>
          <w:p w14:paraId="2544254B" w14:textId="77777777" w:rsidR="00E42128" w:rsidRPr="002152BA" w:rsidRDefault="00E42128" w:rsidP="00E42128">
            <w:pPr>
              <w:spacing w:line="240" w:lineRule="auto"/>
              <w:rPr>
                <w:rFonts w:ascii="Calibri" w:eastAsia="Times New Roman" w:hAnsi="Calibri" w:cs="Times New Roman"/>
                <w:szCs w:val="24"/>
              </w:rPr>
            </w:pPr>
            <w:r w:rsidRPr="002152BA">
              <w:rPr>
                <w:rFonts w:ascii="Calibri" w:eastAsia="Times New Roman" w:hAnsi="Calibri" w:cs="Times New Roman"/>
                <w:szCs w:val="24"/>
              </w:rPr>
              <w:t>Southeast</w:t>
            </w:r>
          </w:p>
        </w:tc>
        <w:tc>
          <w:tcPr>
            <w:tcW w:w="709" w:type="dxa"/>
            <w:tcBorders>
              <w:left w:val="double" w:sz="4" w:space="0" w:color="auto"/>
              <w:bottom w:val="single" w:sz="8" w:space="0" w:color="CF7B79" w:themeColor="accent2" w:themeTint="BF"/>
            </w:tcBorders>
            <w:noWrap/>
            <w:vAlign w:val="bottom"/>
            <w:hideMark/>
          </w:tcPr>
          <w:p w14:paraId="42576E29"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110</w:t>
            </w:r>
          </w:p>
        </w:tc>
        <w:tc>
          <w:tcPr>
            <w:tcW w:w="1186" w:type="dxa"/>
            <w:tcBorders>
              <w:bottom w:val="single" w:sz="8" w:space="0" w:color="CF7B79" w:themeColor="accent2" w:themeTint="BF"/>
              <w:right w:val="double" w:sz="4" w:space="0" w:color="auto"/>
            </w:tcBorders>
            <w:noWrap/>
            <w:vAlign w:val="bottom"/>
            <w:hideMark/>
          </w:tcPr>
          <w:p w14:paraId="2F29F26A" w14:textId="29497238"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Pr>
                <w:rFonts w:ascii="Calibri" w:hAnsi="Calibri"/>
              </w:rPr>
              <w:t>98.8%</w:t>
            </w:r>
          </w:p>
        </w:tc>
        <w:tc>
          <w:tcPr>
            <w:tcW w:w="709" w:type="dxa"/>
            <w:tcBorders>
              <w:left w:val="double" w:sz="4" w:space="0" w:color="auto"/>
              <w:bottom w:val="single" w:sz="8" w:space="0" w:color="CF7B79" w:themeColor="accent2" w:themeTint="BF"/>
            </w:tcBorders>
            <w:noWrap/>
            <w:vAlign w:val="bottom"/>
            <w:hideMark/>
          </w:tcPr>
          <w:p w14:paraId="774585FA"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20</w:t>
            </w:r>
          </w:p>
        </w:tc>
        <w:tc>
          <w:tcPr>
            <w:tcW w:w="1186" w:type="dxa"/>
            <w:tcBorders>
              <w:bottom w:val="single" w:sz="8" w:space="0" w:color="CF7B79" w:themeColor="accent2" w:themeTint="BF"/>
            </w:tcBorders>
            <w:noWrap/>
            <w:vAlign w:val="bottom"/>
            <w:hideMark/>
          </w:tcPr>
          <w:p w14:paraId="4131ADDF"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99.0%</w:t>
            </w:r>
          </w:p>
        </w:tc>
      </w:tr>
      <w:tr w:rsidR="00E42128" w:rsidRPr="002152BA" w14:paraId="3463919B" w14:textId="77777777" w:rsidTr="00E4212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90" w:type="dxa"/>
            <w:tcBorders>
              <w:bottom w:val="double" w:sz="4" w:space="0" w:color="auto"/>
              <w:right w:val="double" w:sz="4" w:space="0" w:color="auto"/>
            </w:tcBorders>
            <w:noWrap/>
            <w:vAlign w:val="bottom"/>
            <w:hideMark/>
          </w:tcPr>
          <w:p w14:paraId="4B12ABBE" w14:textId="77777777" w:rsidR="00E42128" w:rsidRPr="002152BA" w:rsidRDefault="00E42128" w:rsidP="00E42128">
            <w:pPr>
              <w:spacing w:line="240" w:lineRule="auto"/>
              <w:rPr>
                <w:rFonts w:ascii="Calibri" w:eastAsia="Times New Roman" w:hAnsi="Calibri" w:cs="Times New Roman"/>
                <w:szCs w:val="24"/>
              </w:rPr>
            </w:pPr>
            <w:r w:rsidRPr="002152BA">
              <w:rPr>
                <w:rFonts w:ascii="Calibri" w:eastAsia="Times New Roman" w:hAnsi="Calibri" w:cs="Times New Roman"/>
                <w:szCs w:val="24"/>
              </w:rPr>
              <w:t>Southern</w:t>
            </w:r>
          </w:p>
        </w:tc>
        <w:tc>
          <w:tcPr>
            <w:tcW w:w="709" w:type="dxa"/>
            <w:tcBorders>
              <w:left w:val="double" w:sz="4" w:space="0" w:color="auto"/>
              <w:bottom w:val="double" w:sz="4" w:space="0" w:color="auto"/>
            </w:tcBorders>
            <w:noWrap/>
            <w:vAlign w:val="bottom"/>
            <w:hideMark/>
          </w:tcPr>
          <w:p w14:paraId="26537CF4" w14:textId="77777777"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92</w:t>
            </w:r>
          </w:p>
        </w:tc>
        <w:tc>
          <w:tcPr>
            <w:tcW w:w="1186" w:type="dxa"/>
            <w:tcBorders>
              <w:bottom w:val="double" w:sz="4" w:space="0" w:color="auto"/>
              <w:right w:val="double" w:sz="4" w:space="0" w:color="auto"/>
            </w:tcBorders>
            <w:noWrap/>
            <w:vAlign w:val="bottom"/>
            <w:hideMark/>
          </w:tcPr>
          <w:p w14:paraId="6BED69D0" w14:textId="4A32EBFD"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Pr>
                <w:rFonts w:ascii="Calibri" w:hAnsi="Calibri"/>
              </w:rPr>
              <w:t>95.6%</w:t>
            </w:r>
          </w:p>
        </w:tc>
        <w:tc>
          <w:tcPr>
            <w:tcW w:w="709" w:type="dxa"/>
            <w:tcBorders>
              <w:left w:val="double" w:sz="4" w:space="0" w:color="auto"/>
              <w:bottom w:val="double" w:sz="4" w:space="0" w:color="auto"/>
            </w:tcBorders>
            <w:noWrap/>
            <w:vAlign w:val="bottom"/>
            <w:hideMark/>
          </w:tcPr>
          <w:p w14:paraId="0E015437" w14:textId="77777777"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27</w:t>
            </w:r>
          </w:p>
        </w:tc>
        <w:tc>
          <w:tcPr>
            <w:tcW w:w="1186" w:type="dxa"/>
            <w:tcBorders>
              <w:bottom w:val="double" w:sz="4" w:space="0" w:color="auto"/>
            </w:tcBorders>
            <w:noWrap/>
            <w:vAlign w:val="bottom"/>
            <w:hideMark/>
          </w:tcPr>
          <w:p w14:paraId="64087B00" w14:textId="77777777" w:rsidR="00E42128" w:rsidRPr="002152BA" w:rsidRDefault="00E42128" w:rsidP="00E42128">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98.9%</w:t>
            </w:r>
          </w:p>
        </w:tc>
      </w:tr>
      <w:tr w:rsidR="00E42128" w:rsidRPr="002152BA" w14:paraId="54E8E750" w14:textId="77777777" w:rsidTr="00E42128">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490" w:type="dxa"/>
            <w:tcBorders>
              <w:top w:val="double" w:sz="4" w:space="0" w:color="auto"/>
              <w:right w:val="double" w:sz="4" w:space="0" w:color="auto"/>
            </w:tcBorders>
            <w:noWrap/>
            <w:vAlign w:val="bottom"/>
            <w:hideMark/>
          </w:tcPr>
          <w:p w14:paraId="6AD5C2A5" w14:textId="77777777" w:rsidR="00E42128" w:rsidRPr="002152BA" w:rsidRDefault="00E42128" w:rsidP="00E42128">
            <w:pPr>
              <w:spacing w:line="240" w:lineRule="auto"/>
              <w:rPr>
                <w:rFonts w:ascii="Calibri" w:eastAsia="Times New Roman" w:hAnsi="Calibri" w:cs="Times New Roman"/>
                <w:szCs w:val="24"/>
              </w:rPr>
            </w:pPr>
            <w:r w:rsidRPr="002152BA">
              <w:rPr>
                <w:rFonts w:ascii="Calibri" w:eastAsia="Times New Roman" w:hAnsi="Calibri" w:cs="Times New Roman"/>
                <w:szCs w:val="24"/>
              </w:rPr>
              <w:t>State Average</w:t>
            </w:r>
          </w:p>
        </w:tc>
        <w:tc>
          <w:tcPr>
            <w:tcW w:w="709" w:type="dxa"/>
            <w:tcBorders>
              <w:top w:val="double" w:sz="4" w:space="0" w:color="auto"/>
              <w:left w:val="double" w:sz="4" w:space="0" w:color="auto"/>
            </w:tcBorders>
            <w:noWrap/>
            <w:vAlign w:val="bottom"/>
            <w:hideMark/>
          </w:tcPr>
          <w:p w14:paraId="25991DE4"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632</w:t>
            </w:r>
          </w:p>
        </w:tc>
        <w:tc>
          <w:tcPr>
            <w:tcW w:w="1186" w:type="dxa"/>
            <w:tcBorders>
              <w:top w:val="double" w:sz="4" w:space="0" w:color="auto"/>
              <w:right w:val="double" w:sz="4" w:space="0" w:color="auto"/>
            </w:tcBorders>
            <w:noWrap/>
            <w:vAlign w:val="bottom"/>
            <w:hideMark/>
          </w:tcPr>
          <w:p w14:paraId="7E1C8785" w14:textId="340BC82B"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Pr>
                <w:rFonts w:ascii="Calibri" w:hAnsi="Calibri"/>
              </w:rPr>
              <w:t>97.6%</w:t>
            </w:r>
          </w:p>
        </w:tc>
        <w:tc>
          <w:tcPr>
            <w:tcW w:w="709" w:type="dxa"/>
            <w:tcBorders>
              <w:top w:val="double" w:sz="4" w:space="0" w:color="auto"/>
              <w:left w:val="double" w:sz="4" w:space="0" w:color="auto"/>
            </w:tcBorders>
            <w:noWrap/>
            <w:vAlign w:val="bottom"/>
            <w:hideMark/>
          </w:tcPr>
          <w:p w14:paraId="2787F566"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151</w:t>
            </w:r>
          </w:p>
        </w:tc>
        <w:tc>
          <w:tcPr>
            <w:tcW w:w="1186" w:type="dxa"/>
            <w:tcBorders>
              <w:top w:val="double" w:sz="4" w:space="0" w:color="auto"/>
            </w:tcBorders>
            <w:noWrap/>
            <w:vAlign w:val="bottom"/>
            <w:hideMark/>
          </w:tcPr>
          <w:p w14:paraId="25DE1C1A" w14:textId="77777777" w:rsidR="00E42128" w:rsidRPr="002152BA" w:rsidRDefault="00E42128" w:rsidP="00E42128">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Cs w:val="24"/>
              </w:rPr>
            </w:pPr>
            <w:r w:rsidRPr="002152BA">
              <w:rPr>
                <w:rFonts w:ascii="Calibri" w:eastAsia="Times New Roman" w:hAnsi="Calibri" w:cs="Times New Roman"/>
                <w:szCs w:val="24"/>
              </w:rPr>
              <w:t>98.9%</w:t>
            </w:r>
          </w:p>
        </w:tc>
      </w:tr>
    </w:tbl>
    <w:p w14:paraId="60845506" w14:textId="77777777" w:rsidR="003C0F76" w:rsidRDefault="003C0F76" w:rsidP="00AA7E0A"/>
    <w:p w14:paraId="12F6428D" w14:textId="77777777" w:rsidR="000945DF" w:rsidRDefault="000945DF" w:rsidP="00AA7E0A"/>
    <w:p w14:paraId="0B1A860D" w14:textId="78279FF4" w:rsidR="00AA7E0A" w:rsidRDefault="00AA7E0A" w:rsidP="00AA7E0A">
      <w:r>
        <w:t xml:space="preserve">Of the </w:t>
      </w:r>
      <w:r w:rsidR="00256B31">
        <w:t>52</w:t>
      </w:r>
      <w:r>
        <w:t xml:space="preserve"> different indicators used to measure standards for the WSC</w:t>
      </w:r>
      <w:r w:rsidR="00220EA5">
        <w:t>/CDC+</w:t>
      </w:r>
      <w:r>
        <w:t xml:space="preserve"> Interview, only </w:t>
      </w:r>
      <w:r w:rsidR="00220EA5">
        <w:t>one</w:t>
      </w:r>
      <w:r>
        <w:t xml:space="preserve"> showed a score of less than 90 percent</w:t>
      </w:r>
      <w:r w:rsidR="00BD11DB">
        <w:t xml:space="preserve">, </w:t>
      </w:r>
      <w:r w:rsidR="00220EA5">
        <w:t>which was for the WSCs</w:t>
      </w:r>
      <w:r>
        <w:t>:</w:t>
      </w:r>
    </w:p>
    <w:p w14:paraId="139568A8" w14:textId="77777777" w:rsidR="00AA7E0A" w:rsidRDefault="00AA7E0A" w:rsidP="00AA7E0A">
      <w:pPr>
        <w:spacing w:line="240" w:lineRule="auto"/>
      </w:pPr>
      <w:r>
        <w:rPr>
          <w:noProof/>
        </w:rPr>
        <w:drawing>
          <wp:inline distT="0" distB="0" distL="0" distR="0" wp14:anchorId="5F613C11" wp14:editId="2EE4D13B">
            <wp:extent cx="5502302" cy="962108"/>
            <wp:effectExtent l="38100" t="0" r="22225"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5C80EF56" w14:textId="634AD7C3" w:rsidR="00E434BA" w:rsidRDefault="00AA7E0A" w:rsidP="009D1A9B">
      <w:pPr>
        <w:pStyle w:val="Heading3"/>
      </w:pPr>
      <w:bookmarkStart w:id="45" w:name="_Toc459080640"/>
      <w:r>
        <w:lastRenderedPageBreak/>
        <w:t>P</w:t>
      </w:r>
      <w:r w:rsidR="00E434BA">
        <w:t>CR Waiver Support Coordinator and CDC+ Consultant Record Reviews</w:t>
      </w:r>
      <w:bookmarkEnd w:id="45"/>
      <w:r w:rsidR="00E434BA">
        <w:t xml:space="preserve"> </w:t>
      </w:r>
    </w:p>
    <w:p w14:paraId="4FC3108D" w14:textId="77777777" w:rsidR="003B5975" w:rsidRDefault="00E434BA" w:rsidP="00070AC9">
      <w:r w:rsidRPr="00690A26">
        <w:t xml:space="preserve">During the PCR the records maintained by the WSC or CDC+ consultant working for the person </w:t>
      </w:r>
      <w:r w:rsidRPr="000344EB">
        <w:t>are reviewed. Compliance rates are presented by</w:t>
      </w:r>
      <w:r w:rsidR="00070AC9" w:rsidRPr="000344EB">
        <w:t xml:space="preserve"> Region in Table 6</w:t>
      </w:r>
      <w:r w:rsidR="00774BED" w:rsidRPr="000344EB">
        <w:t xml:space="preserve"> for Consultants and WSCs,</w:t>
      </w:r>
      <w:r w:rsidR="00B46BEF" w:rsidRPr="000344EB">
        <w:t xml:space="preserve"> and by Standard for WSCs in Table 7 and CDC+ Consultants in Table 8. </w:t>
      </w:r>
      <w:r w:rsidR="00ED4D6C" w:rsidRPr="000344EB">
        <w:t>Findings in Table 7 are shown for the average score, taking into consideration the weights assigned to each standard (Weighted Score), and the average percent o</w:t>
      </w:r>
      <w:r w:rsidR="00ED4D6C">
        <w:t xml:space="preserve">f WSCs/Consultant who scored the standard met </w:t>
      </w:r>
      <w:r w:rsidR="0026297D">
        <w:t>(Unweighted Score</w:t>
      </w:r>
      <w:r w:rsidR="00ED4D6C">
        <w:t xml:space="preserve">).  </w:t>
      </w:r>
    </w:p>
    <w:p w14:paraId="165302F6" w14:textId="77777777" w:rsidR="003B5975" w:rsidRDefault="003B5975" w:rsidP="00070AC9"/>
    <w:p w14:paraId="7A55955D" w14:textId="7C76FADA" w:rsidR="00B46BEF" w:rsidRDefault="00B46BEF" w:rsidP="00070AC9">
      <w:r w:rsidRPr="00592A91">
        <w:t xml:space="preserve">Results </w:t>
      </w:r>
      <w:r w:rsidR="000344EB" w:rsidRPr="00592A91">
        <w:t>are preliminary and further analysis will be completed when more data are available.</w:t>
      </w:r>
      <w:r w:rsidR="003B5975" w:rsidRPr="00592A91">
        <w:t xml:space="preserve"> To date, the average percent of standards met (unweighted) on the record reviews for WSCs and CDC+ Consultants are similar, </w:t>
      </w:r>
      <w:r w:rsidR="00592A91">
        <w:t>94.5</w:t>
      </w:r>
      <w:r w:rsidR="003B5975" w:rsidRPr="00592A91">
        <w:t xml:space="preserve"> percent and 97.</w:t>
      </w:r>
      <w:r w:rsidR="00592A91">
        <w:t>5</w:t>
      </w:r>
      <w:r w:rsidR="003B5975" w:rsidRPr="00592A91">
        <w:t xml:space="preserve"> percent respectively.</w:t>
      </w:r>
      <w:r w:rsidR="003B5975">
        <w:t xml:space="preserve">  </w:t>
      </w:r>
      <w:r w:rsidR="00592A91">
        <w:t xml:space="preserve">Because the number of CDC+ reviews in each region is relatively small, comparisons between WSCs and Consultants across regions should be made with caution. </w:t>
      </w:r>
      <w:r w:rsidR="00E31E3C">
        <w:t>To date, b</w:t>
      </w:r>
      <w:r w:rsidR="00B21820">
        <w:t>oth WSCs and Consultants scored below 90 percent on standards indicating the Annual Report was in the record</w:t>
      </w:r>
      <w:r w:rsidR="00E31E3C">
        <w:t xml:space="preserve"> and assisting the person to define and report abuse, neglect and exploitation. </w:t>
      </w:r>
    </w:p>
    <w:p w14:paraId="15C4453F" w14:textId="77777777" w:rsidR="008076CA" w:rsidRPr="007E224A" w:rsidRDefault="008076CA" w:rsidP="00CA486A">
      <w:pPr>
        <w:rPr>
          <w:highlight w:val="yellow"/>
        </w:rPr>
      </w:pPr>
    </w:p>
    <w:p w14:paraId="22BDAD0E" w14:textId="77777777" w:rsidR="00774BED" w:rsidRPr="007E224A" w:rsidRDefault="00E434BA" w:rsidP="00CA486A">
      <w:pPr>
        <w:rPr>
          <w:highlight w:val="yellow"/>
        </w:rPr>
      </w:pPr>
      <w:r w:rsidRPr="007E224A">
        <w:rPr>
          <w:highlight w:val="yellow"/>
        </w:rPr>
        <w:t xml:space="preserve">  </w:t>
      </w:r>
    </w:p>
    <w:tbl>
      <w:tblPr>
        <w:tblStyle w:val="MediumShading1-Accent1"/>
        <w:tblW w:w="9423" w:type="dxa"/>
        <w:jc w:val="center"/>
        <w:tblLook w:val="04A0" w:firstRow="1" w:lastRow="0" w:firstColumn="1" w:lastColumn="0" w:noHBand="0" w:noVBand="1"/>
      </w:tblPr>
      <w:tblGrid>
        <w:gridCol w:w="1191"/>
        <w:gridCol w:w="1171"/>
        <w:gridCol w:w="1548"/>
        <w:gridCol w:w="1428"/>
        <w:gridCol w:w="1402"/>
        <w:gridCol w:w="1255"/>
        <w:gridCol w:w="1428"/>
      </w:tblGrid>
      <w:tr w:rsidR="00774BED" w:rsidRPr="004133DF" w14:paraId="0508B022" w14:textId="77777777" w:rsidTr="00AA7E0A">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9423" w:type="dxa"/>
            <w:gridSpan w:val="7"/>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vAlign w:val="bottom"/>
            <w:hideMark/>
          </w:tcPr>
          <w:p w14:paraId="61A4A988" w14:textId="41BEB3CD" w:rsidR="00774BED" w:rsidRPr="004133DF" w:rsidRDefault="00774BED" w:rsidP="00ED4D6C">
            <w:pPr>
              <w:spacing w:line="240" w:lineRule="auto"/>
              <w:jc w:val="center"/>
              <w:rPr>
                <w:rFonts w:ascii="Franklin Gothic Medium" w:eastAsia="Times New Roman" w:hAnsi="Franklin Gothic Medium" w:cs="Times New Roman"/>
                <w:b w:val="0"/>
                <w:color w:val="FFFFFF"/>
                <w:szCs w:val="24"/>
              </w:rPr>
            </w:pPr>
            <w:r w:rsidRPr="004133DF">
              <w:rPr>
                <w:rFonts w:ascii="Franklin Gothic Medium" w:eastAsia="Times New Roman" w:hAnsi="Franklin Gothic Medium" w:cs="Times New Roman"/>
                <w:b w:val="0"/>
                <w:color w:val="FFFFFF"/>
                <w:szCs w:val="24"/>
              </w:rPr>
              <w:t>Table 6:  PCR WSC and CDC+ Record Review Results by Region</w:t>
            </w:r>
          </w:p>
        </w:tc>
      </w:tr>
      <w:tr w:rsidR="00774BED" w:rsidRPr="004133DF" w14:paraId="44399229" w14:textId="77777777" w:rsidTr="00AA7E0A">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9423" w:type="dxa"/>
            <w:gridSpan w:val="7"/>
            <w:tcBorders>
              <w:top w:val="single" w:sz="8" w:space="0" w:color="17365D" w:themeColor="text2" w:themeShade="BF"/>
              <w:left w:val="single" w:sz="8" w:space="0" w:color="17365D" w:themeColor="text2" w:themeShade="BF"/>
              <w:bottom w:val="single" w:sz="8" w:space="0" w:color="17365D" w:themeColor="text2" w:themeShade="BF"/>
              <w:right w:val="single" w:sz="8" w:space="0" w:color="17365D" w:themeColor="text2" w:themeShade="BF"/>
            </w:tcBorders>
            <w:shd w:val="clear" w:color="auto" w:fill="17365D" w:themeFill="text2" w:themeFillShade="BF"/>
            <w:vAlign w:val="bottom"/>
            <w:hideMark/>
          </w:tcPr>
          <w:p w14:paraId="3959C724" w14:textId="1B81B1D7" w:rsidR="00774BED" w:rsidRPr="004133DF" w:rsidRDefault="00774BED" w:rsidP="00592A91">
            <w:pPr>
              <w:spacing w:line="240" w:lineRule="auto"/>
              <w:jc w:val="center"/>
              <w:rPr>
                <w:rFonts w:ascii="Franklin Gothic Medium" w:eastAsia="Times New Roman" w:hAnsi="Franklin Gothic Medium" w:cs="Times New Roman"/>
                <w:b w:val="0"/>
                <w:color w:val="FFFFFF"/>
                <w:szCs w:val="24"/>
              </w:rPr>
            </w:pPr>
            <w:r w:rsidRPr="004133DF">
              <w:rPr>
                <w:rFonts w:ascii="Franklin Gothic Medium" w:eastAsia="Times New Roman" w:hAnsi="Franklin Gothic Medium" w:cs="Times New Roman"/>
                <w:b w:val="0"/>
                <w:color w:val="FFFFFF"/>
                <w:szCs w:val="24"/>
              </w:rPr>
              <w:t xml:space="preserve">January </w:t>
            </w:r>
            <w:r w:rsidR="000344EB">
              <w:rPr>
                <w:rFonts w:ascii="Franklin Gothic Medium" w:eastAsia="Times New Roman" w:hAnsi="Franklin Gothic Medium" w:cs="Times New Roman"/>
                <w:b w:val="0"/>
                <w:color w:val="FFFFFF"/>
                <w:szCs w:val="24"/>
              </w:rPr>
              <w:t>–</w:t>
            </w:r>
            <w:r w:rsidRPr="004133DF">
              <w:rPr>
                <w:rFonts w:ascii="Franklin Gothic Medium" w:eastAsia="Times New Roman" w:hAnsi="Franklin Gothic Medium" w:cs="Times New Roman"/>
                <w:b w:val="0"/>
                <w:color w:val="FFFFFF"/>
                <w:szCs w:val="24"/>
              </w:rPr>
              <w:t xml:space="preserve"> </w:t>
            </w:r>
            <w:r w:rsidR="00592A91">
              <w:rPr>
                <w:rFonts w:ascii="Franklin Gothic Medium" w:eastAsia="Times New Roman" w:hAnsi="Franklin Gothic Medium" w:cs="Times New Roman"/>
                <w:b w:val="0"/>
                <w:color w:val="FFFFFF"/>
                <w:szCs w:val="24"/>
              </w:rPr>
              <w:t>June</w:t>
            </w:r>
            <w:r w:rsidR="000344EB">
              <w:rPr>
                <w:rFonts w:ascii="Franklin Gothic Medium" w:eastAsia="Times New Roman" w:hAnsi="Franklin Gothic Medium" w:cs="Times New Roman"/>
                <w:b w:val="0"/>
                <w:color w:val="FFFFFF"/>
                <w:szCs w:val="24"/>
              </w:rPr>
              <w:t xml:space="preserve"> 2016</w:t>
            </w:r>
          </w:p>
        </w:tc>
      </w:tr>
      <w:tr w:rsidR="00774BED" w:rsidRPr="004133DF" w14:paraId="0DCADF04" w14:textId="77777777" w:rsidTr="00AA7E0A">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191" w:type="dxa"/>
            <w:tcBorders>
              <w:top w:val="single" w:sz="8" w:space="0" w:color="17365D" w:themeColor="text2" w:themeShade="BF"/>
              <w:right w:val="double" w:sz="4" w:space="0" w:color="auto"/>
            </w:tcBorders>
            <w:shd w:val="clear" w:color="auto" w:fill="C6D9F1" w:themeFill="text2" w:themeFillTint="33"/>
            <w:noWrap/>
            <w:vAlign w:val="bottom"/>
            <w:hideMark/>
          </w:tcPr>
          <w:p w14:paraId="6FA8FFD1" w14:textId="4C049245" w:rsidR="00774BED" w:rsidRPr="004133DF" w:rsidRDefault="00774BED" w:rsidP="00ED4D6C">
            <w:pPr>
              <w:spacing w:line="240" w:lineRule="auto"/>
              <w:jc w:val="center"/>
              <w:rPr>
                <w:rFonts w:ascii="Calibri" w:eastAsia="Times New Roman" w:hAnsi="Calibri" w:cs="Times New Roman"/>
                <w:color w:val="000000"/>
                <w:sz w:val="22"/>
              </w:rPr>
            </w:pPr>
          </w:p>
        </w:tc>
        <w:tc>
          <w:tcPr>
            <w:tcW w:w="4147" w:type="dxa"/>
            <w:gridSpan w:val="3"/>
            <w:tcBorders>
              <w:top w:val="single" w:sz="8" w:space="0" w:color="17365D" w:themeColor="text2" w:themeShade="BF"/>
              <w:left w:val="double" w:sz="4" w:space="0" w:color="auto"/>
              <w:right w:val="double" w:sz="4" w:space="0" w:color="auto"/>
            </w:tcBorders>
            <w:shd w:val="clear" w:color="auto" w:fill="C6D9F1" w:themeFill="text2" w:themeFillTint="33"/>
            <w:noWrap/>
            <w:vAlign w:val="bottom"/>
            <w:hideMark/>
          </w:tcPr>
          <w:p w14:paraId="416AD55C" w14:textId="21A755C5" w:rsidR="00774BED" w:rsidRPr="004133DF" w:rsidRDefault="00A6336D" w:rsidP="00ED4D6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sidRPr="004133DF">
              <w:rPr>
                <w:rFonts w:ascii="Calibri" w:eastAsia="Times New Roman" w:hAnsi="Calibri" w:cs="Times New Roman"/>
                <w:color w:val="000000"/>
                <w:sz w:val="22"/>
              </w:rPr>
              <w:t>Waiver Support Coordinator</w:t>
            </w:r>
          </w:p>
        </w:tc>
        <w:tc>
          <w:tcPr>
            <w:tcW w:w="4085" w:type="dxa"/>
            <w:gridSpan w:val="3"/>
            <w:tcBorders>
              <w:top w:val="single" w:sz="8" w:space="0" w:color="17365D" w:themeColor="text2" w:themeShade="BF"/>
              <w:left w:val="double" w:sz="4" w:space="0" w:color="auto"/>
            </w:tcBorders>
            <w:shd w:val="clear" w:color="auto" w:fill="C6D9F1" w:themeFill="text2" w:themeFillTint="33"/>
            <w:noWrap/>
            <w:vAlign w:val="bottom"/>
            <w:hideMark/>
          </w:tcPr>
          <w:p w14:paraId="3A87FB92" w14:textId="3CB78602" w:rsidR="00774BED" w:rsidRPr="004133DF" w:rsidRDefault="00A6336D" w:rsidP="00ED4D6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2"/>
              </w:rPr>
            </w:pPr>
            <w:r w:rsidRPr="004133DF">
              <w:rPr>
                <w:rFonts w:ascii="Calibri" w:eastAsia="Times New Roman" w:hAnsi="Calibri" w:cs="Times New Roman"/>
                <w:color w:val="000000"/>
                <w:sz w:val="22"/>
              </w:rPr>
              <w:t>CDC+ Participant</w:t>
            </w:r>
          </w:p>
        </w:tc>
      </w:tr>
      <w:tr w:rsidR="00774BED" w:rsidRPr="004133DF" w14:paraId="11988A52" w14:textId="77777777" w:rsidTr="00AA7E0A">
        <w:trPr>
          <w:cnfStyle w:val="100000000000" w:firstRow="1" w:lastRow="0" w:firstColumn="0" w:lastColumn="0" w:oddVBand="0" w:evenVBand="0" w:oddHBand="0" w:evenHBand="0" w:firstRowFirstColumn="0" w:firstRowLastColumn="0" w:lastRowFirstColumn="0" w:lastRowLastColumn="0"/>
          <w:trHeight w:val="547"/>
          <w:tblHeader/>
          <w:jc w:val="center"/>
        </w:trPr>
        <w:tc>
          <w:tcPr>
            <w:cnfStyle w:val="001000000000" w:firstRow="0" w:lastRow="0" w:firstColumn="1" w:lastColumn="0" w:oddVBand="0" w:evenVBand="0" w:oddHBand="0" w:evenHBand="0" w:firstRowFirstColumn="0" w:firstRowLastColumn="0" w:lastRowFirstColumn="0" w:lastRowLastColumn="0"/>
            <w:tcW w:w="1191" w:type="dxa"/>
            <w:tcBorders>
              <w:right w:val="double" w:sz="4" w:space="0" w:color="auto"/>
            </w:tcBorders>
            <w:shd w:val="clear" w:color="auto" w:fill="244061" w:themeFill="accent1" w:themeFillShade="80"/>
            <w:noWrap/>
            <w:vAlign w:val="bottom"/>
            <w:hideMark/>
          </w:tcPr>
          <w:p w14:paraId="3ADA612A" w14:textId="77777777" w:rsidR="00774BED" w:rsidRPr="004133DF" w:rsidRDefault="00774BED" w:rsidP="00774BED">
            <w:pPr>
              <w:spacing w:line="240" w:lineRule="auto"/>
              <w:rPr>
                <w:rFonts w:ascii="Franklin Gothic Medium" w:eastAsia="Times New Roman" w:hAnsi="Franklin Gothic Medium" w:cs="Times New Roman"/>
                <w:b w:val="0"/>
                <w:color w:val="FFFFFF"/>
                <w:szCs w:val="24"/>
              </w:rPr>
            </w:pPr>
            <w:r w:rsidRPr="004133DF">
              <w:rPr>
                <w:rFonts w:ascii="Franklin Gothic Medium" w:eastAsia="Times New Roman" w:hAnsi="Franklin Gothic Medium" w:cs="Times New Roman"/>
                <w:b w:val="0"/>
                <w:color w:val="FFFFFF"/>
                <w:szCs w:val="24"/>
              </w:rPr>
              <w:t>Region</w:t>
            </w:r>
          </w:p>
        </w:tc>
        <w:tc>
          <w:tcPr>
            <w:tcW w:w="1171" w:type="dxa"/>
            <w:tcBorders>
              <w:left w:val="double" w:sz="4" w:space="0" w:color="auto"/>
            </w:tcBorders>
            <w:shd w:val="clear" w:color="auto" w:fill="244061" w:themeFill="accent1" w:themeFillShade="80"/>
            <w:vAlign w:val="bottom"/>
            <w:hideMark/>
          </w:tcPr>
          <w:p w14:paraId="66CE5163" w14:textId="77777777" w:rsidR="00774BED" w:rsidRPr="004133DF" w:rsidRDefault="00774BED" w:rsidP="00774BED">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color w:val="FFFFFF"/>
                <w:szCs w:val="24"/>
              </w:rPr>
            </w:pPr>
            <w:r w:rsidRPr="004133DF">
              <w:rPr>
                <w:rFonts w:ascii="Franklin Gothic Medium" w:eastAsia="Times New Roman" w:hAnsi="Franklin Gothic Medium" w:cs="Times New Roman"/>
                <w:b w:val="0"/>
                <w:color w:val="FFFFFF"/>
                <w:szCs w:val="24"/>
              </w:rPr>
              <w:t># of Reviews</w:t>
            </w:r>
          </w:p>
        </w:tc>
        <w:tc>
          <w:tcPr>
            <w:tcW w:w="1548" w:type="dxa"/>
            <w:shd w:val="clear" w:color="auto" w:fill="244061" w:themeFill="accent1" w:themeFillShade="80"/>
            <w:vAlign w:val="bottom"/>
            <w:hideMark/>
          </w:tcPr>
          <w:p w14:paraId="14152799" w14:textId="77777777" w:rsidR="00774BED" w:rsidRPr="004133DF" w:rsidRDefault="00774BED" w:rsidP="00774BED">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color w:val="FFFFFF"/>
                <w:szCs w:val="24"/>
              </w:rPr>
            </w:pPr>
            <w:r w:rsidRPr="004133DF">
              <w:rPr>
                <w:rFonts w:ascii="Franklin Gothic Medium" w:eastAsia="Times New Roman" w:hAnsi="Franklin Gothic Medium" w:cs="Times New Roman"/>
                <w:b w:val="0"/>
                <w:color w:val="FFFFFF"/>
                <w:szCs w:val="24"/>
              </w:rPr>
              <w:t>Weighted Score</w:t>
            </w:r>
          </w:p>
        </w:tc>
        <w:tc>
          <w:tcPr>
            <w:tcW w:w="1428" w:type="dxa"/>
            <w:tcBorders>
              <w:right w:val="double" w:sz="4" w:space="0" w:color="auto"/>
            </w:tcBorders>
            <w:shd w:val="clear" w:color="auto" w:fill="244061" w:themeFill="accent1" w:themeFillShade="80"/>
            <w:vAlign w:val="bottom"/>
            <w:hideMark/>
          </w:tcPr>
          <w:p w14:paraId="0A9CC9E3" w14:textId="00B66162" w:rsidR="003F14C2" w:rsidRPr="004133DF" w:rsidRDefault="00B21820" w:rsidP="00774BED">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color w:val="FFFFFF"/>
                <w:szCs w:val="24"/>
              </w:rPr>
            </w:pPr>
            <w:r>
              <w:rPr>
                <w:rFonts w:ascii="Franklin Gothic Medium" w:eastAsia="Times New Roman" w:hAnsi="Franklin Gothic Medium" w:cs="Times New Roman"/>
                <w:b w:val="0"/>
                <w:color w:val="FFFFFF"/>
                <w:szCs w:val="24"/>
              </w:rPr>
              <w:t>Percent Met</w:t>
            </w:r>
          </w:p>
        </w:tc>
        <w:tc>
          <w:tcPr>
            <w:tcW w:w="1402" w:type="dxa"/>
            <w:tcBorders>
              <w:left w:val="double" w:sz="4" w:space="0" w:color="auto"/>
            </w:tcBorders>
            <w:shd w:val="clear" w:color="auto" w:fill="244061" w:themeFill="accent1" w:themeFillShade="80"/>
            <w:vAlign w:val="bottom"/>
            <w:hideMark/>
          </w:tcPr>
          <w:p w14:paraId="3BF9D0DF" w14:textId="77777777" w:rsidR="00774BED" w:rsidRPr="004133DF" w:rsidRDefault="00774BED" w:rsidP="00774BED">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color w:val="FFFFFF"/>
                <w:szCs w:val="24"/>
              </w:rPr>
            </w:pPr>
            <w:r w:rsidRPr="004133DF">
              <w:rPr>
                <w:rFonts w:ascii="Franklin Gothic Medium" w:eastAsia="Times New Roman" w:hAnsi="Franklin Gothic Medium" w:cs="Times New Roman"/>
                <w:b w:val="0"/>
                <w:color w:val="FFFFFF"/>
                <w:szCs w:val="24"/>
              </w:rPr>
              <w:t># of Reviews</w:t>
            </w:r>
          </w:p>
        </w:tc>
        <w:tc>
          <w:tcPr>
            <w:tcW w:w="1255" w:type="dxa"/>
            <w:shd w:val="clear" w:color="auto" w:fill="244061" w:themeFill="accent1" w:themeFillShade="80"/>
            <w:vAlign w:val="bottom"/>
            <w:hideMark/>
          </w:tcPr>
          <w:p w14:paraId="79CED8D2" w14:textId="77777777" w:rsidR="00774BED" w:rsidRPr="004133DF" w:rsidRDefault="00774BED" w:rsidP="00774BED">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color w:val="FFFFFF"/>
                <w:szCs w:val="24"/>
              </w:rPr>
            </w:pPr>
            <w:r w:rsidRPr="004133DF">
              <w:rPr>
                <w:rFonts w:ascii="Franklin Gothic Medium" w:eastAsia="Times New Roman" w:hAnsi="Franklin Gothic Medium" w:cs="Times New Roman"/>
                <w:b w:val="0"/>
                <w:color w:val="FFFFFF"/>
                <w:szCs w:val="24"/>
              </w:rPr>
              <w:t>Weighted Score</w:t>
            </w:r>
          </w:p>
        </w:tc>
        <w:tc>
          <w:tcPr>
            <w:tcW w:w="1428" w:type="dxa"/>
            <w:shd w:val="clear" w:color="auto" w:fill="244061" w:themeFill="accent1" w:themeFillShade="80"/>
            <w:vAlign w:val="bottom"/>
            <w:hideMark/>
          </w:tcPr>
          <w:p w14:paraId="0F60DA04" w14:textId="1CCB0E76" w:rsidR="00774BED" w:rsidRPr="004133DF" w:rsidRDefault="00B21820" w:rsidP="003F14C2">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color w:val="FFFFFF"/>
                <w:szCs w:val="24"/>
              </w:rPr>
            </w:pPr>
            <w:r>
              <w:rPr>
                <w:rFonts w:ascii="Franklin Gothic Medium" w:eastAsia="Times New Roman" w:hAnsi="Franklin Gothic Medium" w:cs="Times New Roman"/>
                <w:b w:val="0"/>
                <w:color w:val="FFFFFF"/>
                <w:szCs w:val="24"/>
              </w:rPr>
              <w:t>Percent Met</w:t>
            </w:r>
          </w:p>
        </w:tc>
      </w:tr>
      <w:tr w:rsidR="00592A91" w:rsidRPr="004133DF" w14:paraId="13F1D960" w14:textId="77777777" w:rsidTr="00592A9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91" w:type="dxa"/>
            <w:tcBorders>
              <w:right w:val="double" w:sz="4" w:space="0" w:color="auto"/>
            </w:tcBorders>
            <w:noWrap/>
            <w:vAlign w:val="bottom"/>
            <w:hideMark/>
          </w:tcPr>
          <w:p w14:paraId="23FF2E7A" w14:textId="77777777" w:rsidR="00592A91" w:rsidRPr="004133DF" w:rsidRDefault="00592A91" w:rsidP="00774BED">
            <w:pPr>
              <w:spacing w:line="240" w:lineRule="auto"/>
              <w:rPr>
                <w:rFonts w:ascii="Calibri" w:eastAsia="Times New Roman" w:hAnsi="Calibri" w:cs="Times New Roman"/>
                <w:color w:val="000000"/>
                <w:sz w:val="22"/>
              </w:rPr>
            </w:pPr>
            <w:r w:rsidRPr="004133DF">
              <w:rPr>
                <w:rFonts w:ascii="Calibri" w:eastAsia="Times New Roman" w:hAnsi="Calibri" w:cs="Times New Roman"/>
                <w:color w:val="000000"/>
                <w:sz w:val="22"/>
              </w:rPr>
              <w:t>Northwest</w:t>
            </w:r>
          </w:p>
        </w:tc>
        <w:tc>
          <w:tcPr>
            <w:tcW w:w="1171" w:type="dxa"/>
            <w:tcBorders>
              <w:left w:val="double" w:sz="4" w:space="0" w:color="auto"/>
            </w:tcBorders>
            <w:noWrap/>
            <w:vAlign w:val="bottom"/>
            <w:hideMark/>
          </w:tcPr>
          <w:p w14:paraId="0FA6CB20" w14:textId="7DD00D45"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hAnsi="Calibri"/>
                <w:color w:val="000000"/>
              </w:rPr>
              <w:t>56</w:t>
            </w:r>
          </w:p>
        </w:tc>
        <w:tc>
          <w:tcPr>
            <w:tcW w:w="1548" w:type="dxa"/>
            <w:noWrap/>
            <w:vAlign w:val="bottom"/>
            <w:hideMark/>
          </w:tcPr>
          <w:p w14:paraId="0CCB4513" w14:textId="7B52BC8F"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hAnsi="Calibri"/>
                <w:color w:val="000000"/>
              </w:rPr>
              <w:t>96.5%</w:t>
            </w:r>
          </w:p>
        </w:tc>
        <w:tc>
          <w:tcPr>
            <w:tcW w:w="1428" w:type="dxa"/>
            <w:tcBorders>
              <w:right w:val="double" w:sz="4" w:space="0" w:color="auto"/>
            </w:tcBorders>
            <w:noWrap/>
            <w:vAlign w:val="bottom"/>
            <w:hideMark/>
          </w:tcPr>
          <w:p w14:paraId="6D259116" w14:textId="3E31ACC8"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hAnsi="Calibri"/>
                <w:color w:val="000000"/>
              </w:rPr>
              <w:t>96.4%</w:t>
            </w:r>
          </w:p>
        </w:tc>
        <w:tc>
          <w:tcPr>
            <w:tcW w:w="1402" w:type="dxa"/>
            <w:tcBorders>
              <w:left w:val="double" w:sz="4" w:space="0" w:color="auto"/>
            </w:tcBorders>
            <w:noWrap/>
            <w:vAlign w:val="bottom"/>
            <w:hideMark/>
          </w:tcPr>
          <w:p w14:paraId="553BF91E" w14:textId="2A2F4BCD"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hAnsi="Calibri"/>
                <w:color w:val="000000"/>
              </w:rPr>
              <w:t>21</w:t>
            </w:r>
          </w:p>
        </w:tc>
        <w:tc>
          <w:tcPr>
            <w:tcW w:w="1255" w:type="dxa"/>
            <w:noWrap/>
            <w:vAlign w:val="bottom"/>
            <w:hideMark/>
          </w:tcPr>
          <w:p w14:paraId="78D0E4F6" w14:textId="6E22B25D"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rPr>
            </w:pPr>
            <w:r>
              <w:rPr>
                <w:rFonts w:ascii="Calibri" w:hAnsi="Calibri"/>
                <w:color w:val="000000"/>
              </w:rPr>
              <w:t>99.1%</w:t>
            </w:r>
          </w:p>
        </w:tc>
        <w:tc>
          <w:tcPr>
            <w:tcW w:w="1428" w:type="dxa"/>
            <w:noWrap/>
            <w:vAlign w:val="bottom"/>
            <w:hideMark/>
          </w:tcPr>
          <w:p w14:paraId="00ECB53F" w14:textId="56E6DE9F"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2"/>
              </w:rPr>
            </w:pPr>
            <w:r>
              <w:rPr>
                <w:rFonts w:ascii="Calibri" w:hAnsi="Calibri"/>
                <w:color w:val="000000"/>
              </w:rPr>
              <w:t>98.9%</w:t>
            </w:r>
          </w:p>
        </w:tc>
      </w:tr>
      <w:tr w:rsidR="00592A91" w:rsidRPr="004133DF" w14:paraId="4A1C356C" w14:textId="77777777" w:rsidTr="00592A9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91" w:type="dxa"/>
            <w:tcBorders>
              <w:right w:val="double" w:sz="4" w:space="0" w:color="auto"/>
            </w:tcBorders>
            <w:noWrap/>
            <w:vAlign w:val="bottom"/>
            <w:hideMark/>
          </w:tcPr>
          <w:p w14:paraId="402D0727" w14:textId="77777777" w:rsidR="00592A91" w:rsidRPr="004133DF" w:rsidRDefault="00592A91" w:rsidP="00774BED">
            <w:pPr>
              <w:spacing w:line="240" w:lineRule="auto"/>
              <w:rPr>
                <w:rFonts w:ascii="Calibri" w:eastAsia="Times New Roman" w:hAnsi="Calibri" w:cs="Times New Roman"/>
                <w:color w:val="000000"/>
                <w:sz w:val="22"/>
              </w:rPr>
            </w:pPr>
            <w:r w:rsidRPr="004133DF">
              <w:rPr>
                <w:rFonts w:ascii="Calibri" w:eastAsia="Times New Roman" w:hAnsi="Calibri" w:cs="Times New Roman"/>
                <w:color w:val="000000"/>
                <w:sz w:val="22"/>
              </w:rPr>
              <w:t>Northeast</w:t>
            </w:r>
          </w:p>
        </w:tc>
        <w:tc>
          <w:tcPr>
            <w:tcW w:w="1171" w:type="dxa"/>
            <w:tcBorders>
              <w:left w:val="double" w:sz="4" w:space="0" w:color="auto"/>
            </w:tcBorders>
            <w:noWrap/>
            <w:vAlign w:val="bottom"/>
            <w:hideMark/>
          </w:tcPr>
          <w:p w14:paraId="1A7828E4" w14:textId="3CBE7989"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rPr>
            </w:pPr>
            <w:r>
              <w:rPr>
                <w:rFonts w:ascii="Calibri" w:hAnsi="Calibri"/>
                <w:color w:val="000000"/>
              </w:rPr>
              <w:t>113</w:t>
            </w:r>
          </w:p>
        </w:tc>
        <w:tc>
          <w:tcPr>
            <w:tcW w:w="1548" w:type="dxa"/>
            <w:noWrap/>
            <w:vAlign w:val="bottom"/>
            <w:hideMark/>
          </w:tcPr>
          <w:p w14:paraId="0EC57A2A" w14:textId="0002CD93"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rPr>
            </w:pPr>
            <w:r>
              <w:rPr>
                <w:rFonts w:ascii="Calibri" w:hAnsi="Calibri"/>
                <w:color w:val="000000"/>
              </w:rPr>
              <w:t>95.3%</w:t>
            </w:r>
          </w:p>
        </w:tc>
        <w:tc>
          <w:tcPr>
            <w:tcW w:w="1428" w:type="dxa"/>
            <w:tcBorders>
              <w:right w:val="double" w:sz="4" w:space="0" w:color="auto"/>
            </w:tcBorders>
            <w:noWrap/>
            <w:vAlign w:val="bottom"/>
            <w:hideMark/>
          </w:tcPr>
          <w:p w14:paraId="48EC4DBC" w14:textId="267AFED3"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Pr>
                <w:rFonts w:ascii="Calibri" w:hAnsi="Calibri"/>
                <w:color w:val="000000"/>
              </w:rPr>
              <w:t>96.0%</w:t>
            </w:r>
          </w:p>
        </w:tc>
        <w:tc>
          <w:tcPr>
            <w:tcW w:w="1402" w:type="dxa"/>
            <w:tcBorders>
              <w:left w:val="double" w:sz="4" w:space="0" w:color="auto"/>
            </w:tcBorders>
            <w:noWrap/>
            <w:vAlign w:val="bottom"/>
            <w:hideMark/>
          </w:tcPr>
          <w:p w14:paraId="2C6F1325" w14:textId="18AF56B0"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Pr>
                <w:rFonts w:ascii="Calibri" w:hAnsi="Calibri"/>
                <w:color w:val="000000"/>
              </w:rPr>
              <w:t>18</w:t>
            </w:r>
          </w:p>
        </w:tc>
        <w:tc>
          <w:tcPr>
            <w:tcW w:w="1255" w:type="dxa"/>
            <w:noWrap/>
            <w:vAlign w:val="bottom"/>
            <w:hideMark/>
          </w:tcPr>
          <w:p w14:paraId="3C3E30DB" w14:textId="44F84DC8"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rPr>
            </w:pPr>
            <w:r>
              <w:rPr>
                <w:rFonts w:ascii="Calibri" w:hAnsi="Calibri"/>
                <w:color w:val="000000"/>
              </w:rPr>
              <w:t>93.3%</w:t>
            </w:r>
          </w:p>
        </w:tc>
        <w:tc>
          <w:tcPr>
            <w:tcW w:w="1428" w:type="dxa"/>
            <w:noWrap/>
            <w:vAlign w:val="bottom"/>
            <w:hideMark/>
          </w:tcPr>
          <w:p w14:paraId="38E5272A" w14:textId="3EEFA116"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Cs/>
                <w:color w:val="000000"/>
                <w:sz w:val="22"/>
              </w:rPr>
            </w:pPr>
            <w:r>
              <w:rPr>
                <w:rFonts w:ascii="Calibri" w:hAnsi="Calibri"/>
                <w:color w:val="000000"/>
              </w:rPr>
              <w:t>95.2%</w:t>
            </w:r>
          </w:p>
        </w:tc>
      </w:tr>
      <w:tr w:rsidR="00592A91" w:rsidRPr="004133DF" w14:paraId="2A60A88E" w14:textId="77777777" w:rsidTr="00592A9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91" w:type="dxa"/>
            <w:tcBorders>
              <w:right w:val="double" w:sz="4" w:space="0" w:color="auto"/>
            </w:tcBorders>
            <w:noWrap/>
            <w:vAlign w:val="bottom"/>
            <w:hideMark/>
          </w:tcPr>
          <w:p w14:paraId="373A4ECB" w14:textId="77777777" w:rsidR="00592A91" w:rsidRPr="004133DF" w:rsidRDefault="00592A91" w:rsidP="00774BED">
            <w:pPr>
              <w:spacing w:line="240" w:lineRule="auto"/>
              <w:rPr>
                <w:rFonts w:ascii="Calibri" w:eastAsia="Times New Roman" w:hAnsi="Calibri" w:cs="Times New Roman"/>
                <w:color w:val="000000"/>
                <w:sz w:val="22"/>
              </w:rPr>
            </w:pPr>
            <w:r w:rsidRPr="004133DF">
              <w:rPr>
                <w:rFonts w:ascii="Calibri" w:eastAsia="Times New Roman" w:hAnsi="Calibri" w:cs="Times New Roman"/>
                <w:color w:val="000000"/>
                <w:sz w:val="22"/>
              </w:rPr>
              <w:t>Central</w:t>
            </w:r>
          </w:p>
        </w:tc>
        <w:tc>
          <w:tcPr>
            <w:tcW w:w="1171" w:type="dxa"/>
            <w:tcBorders>
              <w:left w:val="double" w:sz="4" w:space="0" w:color="auto"/>
            </w:tcBorders>
            <w:noWrap/>
            <w:vAlign w:val="bottom"/>
            <w:hideMark/>
          </w:tcPr>
          <w:p w14:paraId="52EDA46D" w14:textId="47C1601A"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hAnsi="Calibri"/>
                <w:color w:val="000000"/>
              </w:rPr>
              <w:t>134</w:t>
            </w:r>
          </w:p>
        </w:tc>
        <w:tc>
          <w:tcPr>
            <w:tcW w:w="1548" w:type="dxa"/>
            <w:noWrap/>
            <w:vAlign w:val="bottom"/>
            <w:hideMark/>
          </w:tcPr>
          <w:p w14:paraId="01C9CBE8" w14:textId="2A26E391"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hAnsi="Calibri"/>
                <w:color w:val="000000"/>
              </w:rPr>
              <w:t>91.9%</w:t>
            </w:r>
          </w:p>
        </w:tc>
        <w:tc>
          <w:tcPr>
            <w:tcW w:w="1428" w:type="dxa"/>
            <w:tcBorders>
              <w:right w:val="double" w:sz="4" w:space="0" w:color="auto"/>
            </w:tcBorders>
            <w:noWrap/>
            <w:vAlign w:val="bottom"/>
            <w:hideMark/>
          </w:tcPr>
          <w:p w14:paraId="35A042BF" w14:textId="441DD4BF"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hAnsi="Calibri"/>
                <w:color w:val="000000"/>
              </w:rPr>
              <w:t>92.1%</w:t>
            </w:r>
          </w:p>
        </w:tc>
        <w:tc>
          <w:tcPr>
            <w:tcW w:w="1402" w:type="dxa"/>
            <w:tcBorders>
              <w:left w:val="double" w:sz="4" w:space="0" w:color="auto"/>
            </w:tcBorders>
            <w:noWrap/>
            <w:vAlign w:val="bottom"/>
            <w:hideMark/>
          </w:tcPr>
          <w:p w14:paraId="602D6D75" w14:textId="4CB2FB43"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hAnsi="Calibri"/>
                <w:color w:val="000000"/>
              </w:rPr>
              <w:t>38</w:t>
            </w:r>
          </w:p>
        </w:tc>
        <w:tc>
          <w:tcPr>
            <w:tcW w:w="1255" w:type="dxa"/>
            <w:noWrap/>
            <w:vAlign w:val="bottom"/>
            <w:hideMark/>
          </w:tcPr>
          <w:p w14:paraId="49CD0AB4" w14:textId="78606566"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rPr>
            </w:pPr>
            <w:r>
              <w:rPr>
                <w:rFonts w:ascii="Calibri" w:hAnsi="Calibri"/>
                <w:color w:val="000000"/>
              </w:rPr>
              <w:t>96.2%</w:t>
            </w:r>
          </w:p>
        </w:tc>
        <w:tc>
          <w:tcPr>
            <w:tcW w:w="1428" w:type="dxa"/>
            <w:noWrap/>
            <w:vAlign w:val="bottom"/>
            <w:hideMark/>
          </w:tcPr>
          <w:p w14:paraId="5A207621" w14:textId="2E6E1F01"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2"/>
              </w:rPr>
            </w:pPr>
            <w:r>
              <w:rPr>
                <w:rFonts w:ascii="Calibri" w:hAnsi="Calibri"/>
                <w:color w:val="000000"/>
              </w:rPr>
              <w:t>97.0%</w:t>
            </w:r>
          </w:p>
        </w:tc>
      </w:tr>
      <w:tr w:rsidR="00592A91" w:rsidRPr="004133DF" w14:paraId="434A078F" w14:textId="77777777" w:rsidTr="00592A9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91" w:type="dxa"/>
            <w:tcBorders>
              <w:right w:val="double" w:sz="4" w:space="0" w:color="auto"/>
            </w:tcBorders>
            <w:noWrap/>
            <w:vAlign w:val="bottom"/>
            <w:hideMark/>
          </w:tcPr>
          <w:p w14:paraId="592F1DE3" w14:textId="77777777" w:rsidR="00592A91" w:rsidRPr="004133DF" w:rsidRDefault="00592A91" w:rsidP="00774BED">
            <w:pPr>
              <w:spacing w:line="240" w:lineRule="auto"/>
              <w:rPr>
                <w:rFonts w:ascii="Calibri" w:eastAsia="Times New Roman" w:hAnsi="Calibri" w:cs="Times New Roman"/>
                <w:color w:val="000000"/>
                <w:sz w:val="22"/>
              </w:rPr>
            </w:pPr>
            <w:r w:rsidRPr="004133DF">
              <w:rPr>
                <w:rFonts w:ascii="Calibri" w:eastAsia="Times New Roman" w:hAnsi="Calibri" w:cs="Times New Roman"/>
                <w:color w:val="000000"/>
                <w:sz w:val="22"/>
              </w:rPr>
              <w:t>Suncoast</w:t>
            </w:r>
          </w:p>
        </w:tc>
        <w:tc>
          <w:tcPr>
            <w:tcW w:w="1171" w:type="dxa"/>
            <w:tcBorders>
              <w:left w:val="double" w:sz="4" w:space="0" w:color="auto"/>
            </w:tcBorders>
            <w:noWrap/>
            <w:vAlign w:val="bottom"/>
            <w:hideMark/>
          </w:tcPr>
          <w:p w14:paraId="7F9A602F" w14:textId="3C4FB448"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rPr>
            </w:pPr>
            <w:r>
              <w:rPr>
                <w:rFonts w:ascii="Calibri" w:hAnsi="Calibri"/>
                <w:color w:val="000000"/>
              </w:rPr>
              <w:t>127</w:t>
            </w:r>
          </w:p>
        </w:tc>
        <w:tc>
          <w:tcPr>
            <w:tcW w:w="1548" w:type="dxa"/>
            <w:noWrap/>
            <w:vAlign w:val="bottom"/>
            <w:hideMark/>
          </w:tcPr>
          <w:p w14:paraId="6068D94B" w14:textId="7467E850"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rPr>
            </w:pPr>
            <w:r>
              <w:rPr>
                <w:rFonts w:ascii="Calibri" w:hAnsi="Calibri"/>
                <w:color w:val="000000"/>
              </w:rPr>
              <w:t>93.4%</w:t>
            </w:r>
          </w:p>
        </w:tc>
        <w:tc>
          <w:tcPr>
            <w:tcW w:w="1428" w:type="dxa"/>
            <w:tcBorders>
              <w:right w:val="double" w:sz="4" w:space="0" w:color="auto"/>
            </w:tcBorders>
            <w:noWrap/>
            <w:vAlign w:val="bottom"/>
            <w:hideMark/>
          </w:tcPr>
          <w:p w14:paraId="3164F394" w14:textId="5BC43CD0"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Pr>
                <w:rFonts w:ascii="Calibri" w:hAnsi="Calibri"/>
                <w:color w:val="000000"/>
              </w:rPr>
              <w:t>93.0%</w:t>
            </w:r>
          </w:p>
        </w:tc>
        <w:tc>
          <w:tcPr>
            <w:tcW w:w="1402" w:type="dxa"/>
            <w:tcBorders>
              <w:left w:val="double" w:sz="4" w:space="0" w:color="auto"/>
            </w:tcBorders>
            <w:noWrap/>
            <w:vAlign w:val="bottom"/>
            <w:hideMark/>
          </w:tcPr>
          <w:p w14:paraId="08E14CBC" w14:textId="38FCD721"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Pr>
                <w:rFonts w:ascii="Calibri" w:hAnsi="Calibri"/>
                <w:color w:val="000000"/>
              </w:rPr>
              <w:t>27</w:t>
            </w:r>
          </w:p>
        </w:tc>
        <w:tc>
          <w:tcPr>
            <w:tcW w:w="1255" w:type="dxa"/>
            <w:noWrap/>
            <w:vAlign w:val="bottom"/>
            <w:hideMark/>
          </w:tcPr>
          <w:p w14:paraId="46498537" w14:textId="6330F0C9"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rPr>
            </w:pPr>
            <w:r>
              <w:rPr>
                <w:rFonts w:ascii="Calibri" w:hAnsi="Calibri"/>
                <w:color w:val="000000"/>
              </w:rPr>
              <w:t>97.6%</w:t>
            </w:r>
          </w:p>
        </w:tc>
        <w:tc>
          <w:tcPr>
            <w:tcW w:w="1428" w:type="dxa"/>
            <w:noWrap/>
            <w:vAlign w:val="bottom"/>
            <w:hideMark/>
          </w:tcPr>
          <w:p w14:paraId="0D885C4F" w14:textId="70C58898"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Cs/>
                <w:color w:val="000000"/>
                <w:sz w:val="22"/>
              </w:rPr>
            </w:pPr>
            <w:r>
              <w:rPr>
                <w:rFonts w:ascii="Calibri" w:hAnsi="Calibri"/>
                <w:color w:val="000000"/>
              </w:rPr>
              <w:t>97.5%</w:t>
            </w:r>
          </w:p>
        </w:tc>
      </w:tr>
      <w:tr w:rsidR="00592A91" w:rsidRPr="004133DF" w14:paraId="47662006" w14:textId="77777777" w:rsidTr="00592A9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91" w:type="dxa"/>
            <w:tcBorders>
              <w:bottom w:val="single" w:sz="8" w:space="0" w:color="7BA0CD" w:themeColor="accent1" w:themeTint="BF"/>
              <w:right w:val="double" w:sz="4" w:space="0" w:color="auto"/>
            </w:tcBorders>
            <w:noWrap/>
            <w:vAlign w:val="bottom"/>
            <w:hideMark/>
          </w:tcPr>
          <w:p w14:paraId="0A10D005" w14:textId="77777777" w:rsidR="00592A91" w:rsidRPr="004133DF" w:rsidRDefault="00592A91" w:rsidP="00774BED">
            <w:pPr>
              <w:spacing w:line="240" w:lineRule="auto"/>
              <w:rPr>
                <w:rFonts w:ascii="Calibri" w:eastAsia="Times New Roman" w:hAnsi="Calibri" w:cs="Times New Roman"/>
                <w:color w:val="000000"/>
                <w:sz w:val="22"/>
              </w:rPr>
            </w:pPr>
            <w:r w:rsidRPr="004133DF">
              <w:rPr>
                <w:rFonts w:ascii="Calibri" w:eastAsia="Times New Roman" w:hAnsi="Calibri" w:cs="Times New Roman"/>
                <w:color w:val="000000"/>
                <w:sz w:val="22"/>
              </w:rPr>
              <w:t>Southeast</w:t>
            </w:r>
          </w:p>
        </w:tc>
        <w:tc>
          <w:tcPr>
            <w:tcW w:w="1171" w:type="dxa"/>
            <w:tcBorders>
              <w:left w:val="double" w:sz="4" w:space="0" w:color="auto"/>
              <w:bottom w:val="single" w:sz="8" w:space="0" w:color="7BA0CD" w:themeColor="accent1" w:themeTint="BF"/>
            </w:tcBorders>
            <w:noWrap/>
            <w:vAlign w:val="bottom"/>
            <w:hideMark/>
          </w:tcPr>
          <w:p w14:paraId="420905D7" w14:textId="1EC7382D"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hAnsi="Calibri"/>
                <w:color w:val="000000"/>
              </w:rPr>
              <w:t>110</w:t>
            </w:r>
          </w:p>
        </w:tc>
        <w:tc>
          <w:tcPr>
            <w:tcW w:w="1548" w:type="dxa"/>
            <w:tcBorders>
              <w:bottom w:val="single" w:sz="8" w:space="0" w:color="7BA0CD" w:themeColor="accent1" w:themeTint="BF"/>
            </w:tcBorders>
            <w:noWrap/>
            <w:vAlign w:val="bottom"/>
            <w:hideMark/>
          </w:tcPr>
          <w:p w14:paraId="6F31E185" w14:textId="5DD63204"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hAnsi="Calibri"/>
                <w:color w:val="000000"/>
              </w:rPr>
              <w:t>96.9%</w:t>
            </w:r>
          </w:p>
        </w:tc>
        <w:tc>
          <w:tcPr>
            <w:tcW w:w="1428" w:type="dxa"/>
            <w:tcBorders>
              <w:bottom w:val="single" w:sz="8" w:space="0" w:color="7BA0CD" w:themeColor="accent1" w:themeTint="BF"/>
              <w:right w:val="double" w:sz="4" w:space="0" w:color="auto"/>
            </w:tcBorders>
            <w:noWrap/>
            <w:vAlign w:val="bottom"/>
            <w:hideMark/>
          </w:tcPr>
          <w:p w14:paraId="67A5920A" w14:textId="0FF28C14"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hAnsi="Calibri"/>
                <w:color w:val="000000"/>
              </w:rPr>
              <w:t>96.8%</w:t>
            </w:r>
          </w:p>
        </w:tc>
        <w:tc>
          <w:tcPr>
            <w:tcW w:w="1402" w:type="dxa"/>
            <w:tcBorders>
              <w:left w:val="double" w:sz="4" w:space="0" w:color="auto"/>
              <w:bottom w:val="single" w:sz="8" w:space="0" w:color="7BA0CD" w:themeColor="accent1" w:themeTint="BF"/>
            </w:tcBorders>
            <w:noWrap/>
            <w:vAlign w:val="bottom"/>
            <w:hideMark/>
          </w:tcPr>
          <w:p w14:paraId="55E08B08" w14:textId="5261FAAC"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hAnsi="Calibri"/>
                <w:color w:val="000000"/>
              </w:rPr>
              <w:t>20</w:t>
            </w:r>
          </w:p>
        </w:tc>
        <w:tc>
          <w:tcPr>
            <w:tcW w:w="1255" w:type="dxa"/>
            <w:tcBorders>
              <w:bottom w:val="single" w:sz="8" w:space="0" w:color="7BA0CD" w:themeColor="accent1" w:themeTint="BF"/>
            </w:tcBorders>
            <w:noWrap/>
            <w:vAlign w:val="bottom"/>
            <w:hideMark/>
          </w:tcPr>
          <w:p w14:paraId="2242A659" w14:textId="40B690ED"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rPr>
            </w:pPr>
            <w:r>
              <w:rPr>
                <w:rFonts w:ascii="Calibri" w:hAnsi="Calibri"/>
                <w:color w:val="000000"/>
              </w:rPr>
              <w:t>96.8%</w:t>
            </w:r>
          </w:p>
        </w:tc>
        <w:tc>
          <w:tcPr>
            <w:tcW w:w="1428" w:type="dxa"/>
            <w:tcBorders>
              <w:bottom w:val="single" w:sz="8" w:space="0" w:color="7BA0CD" w:themeColor="accent1" w:themeTint="BF"/>
            </w:tcBorders>
            <w:noWrap/>
            <w:vAlign w:val="bottom"/>
            <w:hideMark/>
          </w:tcPr>
          <w:p w14:paraId="71F46225" w14:textId="2F2C7966"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2"/>
              </w:rPr>
            </w:pPr>
            <w:r>
              <w:rPr>
                <w:rFonts w:ascii="Calibri" w:hAnsi="Calibri"/>
                <w:color w:val="000000"/>
              </w:rPr>
              <w:t>97.0%</w:t>
            </w:r>
          </w:p>
        </w:tc>
      </w:tr>
      <w:tr w:rsidR="00592A91" w:rsidRPr="004133DF" w14:paraId="7331565B" w14:textId="77777777" w:rsidTr="00592A91">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191" w:type="dxa"/>
            <w:tcBorders>
              <w:bottom w:val="double" w:sz="4" w:space="0" w:color="auto"/>
              <w:right w:val="double" w:sz="4" w:space="0" w:color="auto"/>
            </w:tcBorders>
            <w:noWrap/>
            <w:vAlign w:val="bottom"/>
            <w:hideMark/>
          </w:tcPr>
          <w:p w14:paraId="33E76650" w14:textId="77777777" w:rsidR="00592A91" w:rsidRPr="004133DF" w:rsidRDefault="00592A91" w:rsidP="00774BED">
            <w:pPr>
              <w:spacing w:line="240" w:lineRule="auto"/>
              <w:rPr>
                <w:rFonts w:ascii="Calibri" w:eastAsia="Times New Roman" w:hAnsi="Calibri" w:cs="Times New Roman"/>
                <w:color w:val="000000"/>
                <w:sz w:val="22"/>
              </w:rPr>
            </w:pPr>
            <w:r w:rsidRPr="004133DF">
              <w:rPr>
                <w:rFonts w:ascii="Calibri" w:eastAsia="Times New Roman" w:hAnsi="Calibri" w:cs="Times New Roman"/>
                <w:color w:val="000000"/>
                <w:sz w:val="22"/>
              </w:rPr>
              <w:t>Southern</w:t>
            </w:r>
          </w:p>
        </w:tc>
        <w:tc>
          <w:tcPr>
            <w:tcW w:w="1171" w:type="dxa"/>
            <w:tcBorders>
              <w:left w:val="double" w:sz="4" w:space="0" w:color="auto"/>
              <w:bottom w:val="double" w:sz="4" w:space="0" w:color="auto"/>
            </w:tcBorders>
            <w:noWrap/>
            <w:vAlign w:val="bottom"/>
            <w:hideMark/>
          </w:tcPr>
          <w:p w14:paraId="4F4CE6A0" w14:textId="450D1C62"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rPr>
            </w:pPr>
            <w:r>
              <w:rPr>
                <w:rFonts w:ascii="Calibri" w:hAnsi="Calibri"/>
                <w:color w:val="000000"/>
              </w:rPr>
              <w:t>92</w:t>
            </w:r>
          </w:p>
        </w:tc>
        <w:tc>
          <w:tcPr>
            <w:tcW w:w="1548" w:type="dxa"/>
            <w:tcBorders>
              <w:bottom w:val="double" w:sz="4" w:space="0" w:color="auto"/>
            </w:tcBorders>
            <w:noWrap/>
            <w:vAlign w:val="bottom"/>
            <w:hideMark/>
          </w:tcPr>
          <w:p w14:paraId="5438609D" w14:textId="555FAB38"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sz w:val="22"/>
              </w:rPr>
            </w:pPr>
            <w:r>
              <w:rPr>
                <w:rFonts w:ascii="Calibri" w:hAnsi="Calibri"/>
                <w:color w:val="000000"/>
              </w:rPr>
              <w:t>94.1%</w:t>
            </w:r>
          </w:p>
        </w:tc>
        <w:tc>
          <w:tcPr>
            <w:tcW w:w="1428" w:type="dxa"/>
            <w:tcBorders>
              <w:bottom w:val="double" w:sz="4" w:space="0" w:color="auto"/>
              <w:right w:val="double" w:sz="4" w:space="0" w:color="auto"/>
            </w:tcBorders>
            <w:noWrap/>
            <w:vAlign w:val="bottom"/>
            <w:hideMark/>
          </w:tcPr>
          <w:p w14:paraId="11DF54BC" w14:textId="59109216"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Pr>
                <w:rFonts w:ascii="Calibri" w:hAnsi="Calibri"/>
                <w:color w:val="000000"/>
              </w:rPr>
              <w:t>94.2%</w:t>
            </w:r>
          </w:p>
        </w:tc>
        <w:tc>
          <w:tcPr>
            <w:tcW w:w="1402" w:type="dxa"/>
            <w:tcBorders>
              <w:left w:val="double" w:sz="4" w:space="0" w:color="auto"/>
              <w:bottom w:val="double" w:sz="4" w:space="0" w:color="auto"/>
            </w:tcBorders>
            <w:noWrap/>
            <w:vAlign w:val="bottom"/>
            <w:hideMark/>
          </w:tcPr>
          <w:p w14:paraId="3FC260C7" w14:textId="71206456"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Pr>
                <w:rFonts w:ascii="Calibri" w:hAnsi="Calibri"/>
                <w:color w:val="000000"/>
              </w:rPr>
              <w:t>27</w:t>
            </w:r>
          </w:p>
        </w:tc>
        <w:tc>
          <w:tcPr>
            <w:tcW w:w="1255" w:type="dxa"/>
            <w:tcBorders>
              <w:bottom w:val="double" w:sz="4" w:space="0" w:color="auto"/>
            </w:tcBorders>
            <w:noWrap/>
            <w:vAlign w:val="bottom"/>
            <w:hideMark/>
          </w:tcPr>
          <w:p w14:paraId="1F0779C7" w14:textId="21A2775F"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2"/>
              </w:rPr>
            </w:pPr>
            <w:r>
              <w:rPr>
                <w:rFonts w:ascii="Calibri" w:hAnsi="Calibri"/>
                <w:color w:val="000000"/>
              </w:rPr>
              <w:t>98.6%</w:t>
            </w:r>
          </w:p>
        </w:tc>
        <w:tc>
          <w:tcPr>
            <w:tcW w:w="1428" w:type="dxa"/>
            <w:tcBorders>
              <w:bottom w:val="double" w:sz="4" w:space="0" w:color="auto"/>
            </w:tcBorders>
            <w:noWrap/>
            <w:vAlign w:val="bottom"/>
            <w:hideMark/>
          </w:tcPr>
          <w:p w14:paraId="7CD785B4" w14:textId="1B668078" w:rsidR="00592A91" w:rsidRPr="004133DF" w:rsidRDefault="00592A91" w:rsidP="00592A91">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Cs/>
                <w:color w:val="000000"/>
                <w:sz w:val="22"/>
              </w:rPr>
            </w:pPr>
            <w:r>
              <w:rPr>
                <w:rFonts w:ascii="Calibri" w:hAnsi="Calibri"/>
                <w:color w:val="000000"/>
              </w:rPr>
              <w:t>99.0%</w:t>
            </w:r>
          </w:p>
        </w:tc>
      </w:tr>
      <w:tr w:rsidR="00592A91" w:rsidRPr="00774BED" w14:paraId="39E09C6F" w14:textId="77777777" w:rsidTr="00592A9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191" w:type="dxa"/>
            <w:tcBorders>
              <w:top w:val="double" w:sz="4" w:space="0" w:color="auto"/>
              <w:right w:val="double" w:sz="4" w:space="0" w:color="auto"/>
            </w:tcBorders>
            <w:noWrap/>
            <w:vAlign w:val="bottom"/>
            <w:hideMark/>
          </w:tcPr>
          <w:p w14:paraId="46CAC696" w14:textId="77777777" w:rsidR="00592A91" w:rsidRPr="004133DF" w:rsidRDefault="00592A91" w:rsidP="00774BED">
            <w:pPr>
              <w:spacing w:line="240" w:lineRule="auto"/>
              <w:rPr>
                <w:rFonts w:ascii="Calibri" w:eastAsia="Times New Roman" w:hAnsi="Calibri" w:cs="Times New Roman"/>
                <w:color w:val="000000"/>
                <w:sz w:val="22"/>
              </w:rPr>
            </w:pPr>
            <w:r w:rsidRPr="004133DF">
              <w:rPr>
                <w:rFonts w:ascii="Calibri" w:eastAsia="Times New Roman" w:hAnsi="Calibri" w:cs="Times New Roman"/>
                <w:color w:val="000000"/>
                <w:sz w:val="22"/>
              </w:rPr>
              <w:t>State</w:t>
            </w:r>
          </w:p>
        </w:tc>
        <w:tc>
          <w:tcPr>
            <w:tcW w:w="1171" w:type="dxa"/>
            <w:tcBorders>
              <w:top w:val="double" w:sz="4" w:space="0" w:color="auto"/>
              <w:left w:val="double" w:sz="4" w:space="0" w:color="auto"/>
            </w:tcBorders>
            <w:noWrap/>
            <w:vAlign w:val="bottom"/>
            <w:hideMark/>
          </w:tcPr>
          <w:p w14:paraId="6C314720" w14:textId="35CFF8B1"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hAnsi="Calibri"/>
                <w:color w:val="000000"/>
              </w:rPr>
              <w:t>632</w:t>
            </w:r>
          </w:p>
        </w:tc>
        <w:tc>
          <w:tcPr>
            <w:tcW w:w="1548" w:type="dxa"/>
            <w:tcBorders>
              <w:top w:val="double" w:sz="4" w:space="0" w:color="auto"/>
            </w:tcBorders>
            <w:noWrap/>
            <w:vAlign w:val="bottom"/>
            <w:hideMark/>
          </w:tcPr>
          <w:p w14:paraId="39828046" w14:textId="20EB26CF"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Pr>
                <w:rFonts w:ascii="Calibri" w:hAnsi="Calibri"/>
                <w:color w:val="000000"/>
              </w:rPr>
              <w:t>94.4%</w:t>
            </w:r>
          </w:p>
        </w:tc>
        <w:tc>
          <w:tcPr>
            <w:tcW w:w="1428" w:type="dxa"/>
            <w:tcBorders>
              <w:top w:val="double" w:sz="4" w:space="0" w:color="auto"/>
              <w:right w:val="double" w:sz="4" w:space="0" w:color="auto"/>
            </w:tcBorders>
            <w:noWrap/>
            <w:vAlign w:val="bottom"/>
            <w:hideMark/>
          </w:tcPr>
          <w:p w14:paraId="5E7FDB9D" w14:textId="44D96E97"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hAnsi="Calibri"/>
                <w:color w:val="000000"/>
              </w:rPr>
              <w:t>94.5%</w:t>
            </w:r>
          </w:p>
        </w:tc>
        <w:tc>
          <w:tcPr>
            <w:tcW w:w="1402" w:type="dxa"/>
            <w:tcBorders>
              <w:top w:val="double" w:sz="4" w:space="0" w:color="auto"/>
              <w:left w:val="double" w:sz="4" w:space="0" w:color="auto"/>
            </w:tcBorders>
            <w:noWrap/>
            <w:vAlign w:val="bottom"/>
            <w:hideMark/>
          </w:tcPr>
          <w:p w14:paraId="6A18FC3C" w14:textId="606501BC"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Pr>
                <w:rFonts w:ascii="Calibri" w:hAnsi="Calibri"/>
                <w:color w:val="000000"/>
              </w:rPr>
              <w:t>151</w:t>
            </w:r>
          </w:p>
        </w:tc>
        <w:tc>
          <w:tcPr>
            <w:tcW w:w="1255" w:type="dxa"/>
            <w:tcBorders>
              <w:top w:val="double" w:sz="4" w:space="0" w:color="auto"/>
            </w:tcBorders>
            <w:noWrap/>
            <w:vAlign w:val="bottom"/>
            <w:hideMark/>
          </w:tcPr>
          <w:p w14:paraId="5B9180B5" w14:textId="107D80AA"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2"/>
              </w:rPr>
            </w:pPr>
            <w:r>
              <w:rPr>
                <w:rFonts w:ascii="Calibri" w:hAnsi="Calibri"/>
                <w:color w:val="000000"/>
              </w:rPr>
              <w:t>97.0%</w:t>
            </w:r>
          </w:p>
        </w:tc>
        <w:tc>
          <w:tcPr>
            <w:tcW w:w="1428" w:type="dxa"/>
            <w:tcBorders>
              <w:top w:val="double" w:sz="4" w:space="0" w:color="auto"/>
            </w:tcBorders>
            <w:noWrap/>
            <w:vAlign w:val="bottom"/>
            <w:hideMark/>
          </w:tcPr>
          <w:p w14:paraId="780383B5" w14:textId="3EFBCDD4" w:rsidR="00592A91" w:rsidRPr="004133DF" w:rsidRDefault="00592A91" w:rsidP="00592A91">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Cs/>
                <w:color w:val="000000"/>
                <w:sz w:val="22"/>
              </w:rPr>
            </w:pPr>
            <w:r>
              <w:rPr>
                <w:rFonts w:ascii="Calibri" w:hAnsi="Calibri"/>
                <w:color w:val="000000"/>
              </w:rPr>
              <w:t>97.5%</w:t>
            </w:r>
          </w:p>
        </w:tc>
      </w:tr>
    </w:tbl>
    <w:p w14:paraId="0502BF42" w14:textId="679037E8" w:rsidR="00E434BA" w:rsidRDefault="00E434BA" w:rsidP="00CA486A"/>
    <w:p w14:paraId="539B7741" w14:textId="77777777" w:rsidR="008643F2" w:rsidRDefault="008643F2" w:rsidP="009F3F17">
      <w:pPr>
        <w:spacing w:line="240" w:lineRule="auto"/>
      </w:pPr>
    </w:p>
    <w:p w14:paraId="37A9B690" w14:textId="77777777" w:rsidR="00BC6823" w:rsidRDefault="00BC6823" w:rsidP="009F3F17">
      <w:pPr>
        <w:spacing w:line="240" w:lineRule="auto"/>
      </w:pPr>
    </w:p>
    <w:p w14:paraId="2C9EF882" w14:textId="77777777" w:rsidR="00BC3E35" w:rsidRDefault="00BC3E35" w:rsidP="009F3F17">
      <w:pPr>
        <w:spacing w:line="240" w:lineRule="auto"/>
      </w:pPr>
    </w:p>
    <w:tbl>
      <w:tblPr>
        <w:tblStyle w:val="MediumShading1-Accent2"/>
        <w:tblW w:w="888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560"/>
        <w:gridCol w:w="1210"/>
        <w:gridCol w:w="1110"/>
      </w:tblGrid>
      <w:tr w:rsidR="00BC6823" w:rsidRPr="00BC6823" w14:paraId="588D69E2" w14:textId="77777777" w:rsidTr="000344EB">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8880" w:type="dxa"/>
            <w:gridSpan w:val="3"/>
            <w:tcBorders>
              <w:top w:val="none" w:sz="0" w:space="0" w:color="auto"/>
              <w:left w:val="none" w:sz="0" w:space="0" w:color="auto"/>
              <w:bottom w:val="none" w:sz="0" w:space="0" w:color="auto"/>
              <w:right w:val="none" w:sz="0" w:space="0" w:color="auto"/>
            </w:tcBorders>
            <w:shd w:val="clear" w:color="auto" w:fill="17365D" w:themeFill="text2" w:themeFillShade="BF"/>
            <w:vAlign w:val="bottom"/>
            <w:hideMark/>
          </w:tcPr>
          <w:p w14:paraId="65390BFA" w14:textId="6B64C1DD" w:rsidR="00BC6823" w:rsidRPr="000F51DD" w:rsidRDefault="00BC6823" w:rsidP="00683B67">
            <w:pPr>
              <w:spacing w:line="240" w:lineRule="auto"/>
              <w:jc w:val="center"/>
              <w:rPr>
                <w:rFonts w:ascii="Franklin Gothic Medium" w:eastAsia="Times New Roman" w:hAnsi="Franklin Gothic Medium" w:cs="Times New Roman"/>
                <w:b w:val="0"/>
                <w:szCs w:val="24"/>
              </w:rPr>
            </w:pPr>
            <w:r w:rsidRPr="000F51DD">
              <w:rPr>
                <w:rFonts w:ascii="Franklin Gothic Medium" w:eastAsia="Times New Roman" w:hAnsi="Franklin Gothic Medium" w:cs="Times New Roman"/>
                <w:b w:val="0"/>
                <w:szCs w:val="24"/>
              </w:rPr>
              <w:t xml:space="preserve">Table </w:t>
            </w:r>
            <w:r w:rsidR="00070AC9" w:rsidRPr="000F51DD">
              <w:rPr>
                <w:rFonts w:ascii="Franklin Gothic Medium" w:eastAsia="Times New Roman" w:hAnsi="Franklin Gothic Medium" w:cs="Times New Roman"/>
                <w:b w:val="0"/>
                <w:szCs w:val="24"/>
              </w:rPr>
              <w:t>7</w:t>
            </w:r>
            <w:r w:rsidRPr="000F51DD">
              <w:rPr>
                <w:rFonts w:ascii="Franklin Gothic Medium" w:eastAsia="Times New Roman" w:hAnsi="Franklin Gothic Medium" w:cs="Times New Roman"/>
                <w:b w:val="0"/>
                <w:szCs w:val="24"/>
              </w:rPr>
              <w:t>:  WSC Record Review  Results by Standard</w:t>
            </w:r>
          </w:p>
        </w:tc>
      </w:tr>
      <w:tr w:rsidR="00BC6823" w:rsidRPr="00BC6823" w14:paraId="30F3A34C" w14:textId="77777777" w:rsidTr="000344EB">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8880" w:type="dxa"/>
            <w:gridSpan w:val="3"/>
            <w:tcBorders>
              <w:top w:val="none" w:sz="0" w:space="0" w:color="auto"/>
              <w:left w:val="none" w:sz="0" w:space="0" w:color="auto"/>
              <w:bottom w:val="none" w:sz="0" w:space="0" w:color="auto"/>
              <w:right w:val="none" w:sz="0" w:space="0" w:color="auto"/>
            </w:tcBorders>
            <w:shd w:val="clear" w:color="auto" w:fill="17365D" w:themeFill="text2" w:themeFillShade="BF"/>
            <w:vAlign w:val="bottom"/>
            <w:hideMark/>
          </w:tcPr>
          <w:p w14:paraId="4423EACD" w14:textId="2DDD2CD0" w:rsidR="00BC6823" w:rsidRPr="000F51DD" w:rsidRDefault="00BC6823" w:rsidP="000344EB">
            <w:pPr>
              <w:spacing w:line="240" w:lineRule="auto"/>
              <w:jc w:val="center"/>
              <w:rPr>
                <w:rFonts w:ascii="Franklin Gothic Medium" w:eastAsia="Times New Roman" w:hAnsi="Franklin Gothic Medium" w:cs="Times New Roman"/>
                <w:b w:val="0"/>
                <w:szCs w:val="24"/>
              </w:rPr>
            </w:pPr>
            <w:r w:rsidRPr="000F51DD">
              <w:rPr>
                <w:rFonts w:ascii="Franklin Gothic Medium" w:eastAsia="Times New Roman" w:hAnsi="Franklin Gothic Medium" w:cs="Times New Roman"/>
                <w:b w:val="0"/>
                <w:szCs w:val="24"/>
              </w:rPr>
              <w:t xml:space="preserve">January </w:t>
            </w:r>
            <w:r w:rsidR="000344EB">
              <w:rPr>
                <w:rFonts w:ascii="Franklin Gothic Medium" w:eastAsia="Times New Roman" w:hAnsi="Franklin Gothic Medium" w:cs="Times New Roman"/>
                <w:b w:val="0"/>
                <w:szCs w:val="24"/>
              </w:rPr>
              <w:t>–</w:t>
            </w:r>
            <w:r w:rsidRPr="000F51DD">
              <w:rPr>
                <w:rFonts w:ascii="Franklin Gothic Medium" w:eastAsia="Times New Roman" w:hAnsi="Franklin Gothic Medium" w:cs="Times New Roman"/>
                <w:b w:val="0"/>
                <w:szCs w:val="24"/>
              </w:rPr>
              <w:t xml:space="preserve"> </w:t>
            </w:r>
            <w:r w:rsidR="000344EB">
              <w:rPr>
                <w:rFonts w:ascii="Franklin Gothic Medium" w:eastAsia="Times New Roman" w:hAnsi="Franklin Gothic Medium" w:cs="Times New Roman"/>
                <w:b w:val="0"/>
                <w:szCs w:val="24"/>
              </w:rPr>
              <w:t>March 2016</w:t>
            </w:r>
          </w:p>
        </w:tc>
      </w:tr>
      <w:tr w:rsidR="00BC6823" w:rsidRPr="00BC6823" w14:paraId="7784D5CE" w14:textId="77777777" w:rsidTr="000344EB">
        <w:trPr>
          <w:cnfStyle w:val="100000000000" w:firstRow="1" w:lastRow="0" w:firstColumn="0" w:lastColumn="0" w:oddVBand="0" w:evenVBand="0" w:oddHBand="0" w:evenHBand="0" w:firstRowFirstColumn="0" w:firstRowLastColumn="0" w:lastRowFirstColumn="0" w:lastRowLastColumn="0"/>
          <w:trHeight w:val="574"/>
          <w:tblHeader/>
          <w:jc w:val="center"/>
        </w:trPr>
        <w:tc>
          <w:tcPr>
            <w:cnfStyle w:val="001000000000" w:firstRow="0" w:lastRow="0" w:firstColumn="1" w:lastColumn="0" w:oddVBand="0" w:evenVBand="0" w:oddHBand="0" w:evenHBand="0" w:firstRowFirstColumn="0" w:firstRowLastColumn="0" w:lastRowFirstColumn="0" w:lastRowLastColumn="0"/>
            <w:tcW w:w="6560" w:type="dxa"/>
            <w:tcBorders>
              <w:top w:val="none" w:sz="0" w:space="0" w:color="auto"/>
              <w:left w:val="none" w:sz="0" w:space="0" w:color="auto"/>
              <w:bottom w:val="single" w:sz="8" w:space="0" w:color="auto"/>
              <w:right w:val="none" w:sz="0" w:space="0" w:color="auto"/>
            </w:tcBorders>
            <w:shd w:val="clear" w:color="auto" w:fill="17365D" w:themeFill="text2" w:themeFillShade="BF"/>
            <w:vAlign w:val="bottom"/>
            <w:hideMark/>
          </w:tcPr>
          <w:p w14:paraId="0DCC78DF" w14:textId="77777777" w:rsidR="00BC6823" w:rsidRPr="000F51DD" w:rsidRDefault="00BC6823" w:rsidP="009618EB">
            <w:pPr>
              <w:spacing w:line="240" w:lineRule="auto"/>
              <w:rPr>
                <w:rFonts w:ascii="Franklin Gothic Medium" w:eastAsia="Times New Roman" w:hAnsi="Franklin Gothic Medium" w:cs="Times New Roman"/>
                <w:b w:val="0"/>
                <w:sz w:val="22"/>
              </w:rPr>
            </w:pPr>
            <w:r w:rsidRPr="000F51DD">
              <w:rPr>
                <w:rFonts w:ascii="Franklin Gothic Medium" w:eastAsia="Times New Roman" w:hAnsi="Franklin Gothic Medium" w:cs="Times New Roman"/>
                <w:b w:val="0"/>
                <w:sz w:val="22"/>
              </w:rPr>
              <w:t xml:space="preserve">Standard </w:t>
            </w:r>
          </w:p>
        </w:tc>
        <w:tc>
          <w:tcPr>
            <w:tcW w:w="1210" w:type="dxa"/>
            <w:tcBorders>
              <w:top w:val="none" w:sz="0" w:space="0" w:color="auto"/>
              <w:left w:val="none" w:sz="0" w:space="0" w:color="auto"/>
              <w:bottom w:val="single" w:sz="8" w:space="0" w:color="auto"/>
              <w:right w:val="none" w:sz="0" w:space="0" w:color="auto"/>
            </w:tcBorders>
            <w:shd w:val="clear" w:color="auto" w:fill="17365D" w:themeFill="text2" w:themeFillShade="BF"/>
            <w:vAlign w:val="bottom"/>
            <w:hideMark/>
          </w:tcPr>
          <w:p w14:paraId="7845C9D1" w14:textId="27FEB61F" w:rsidR="00BC6823" w:rsidRPr="000F51DD" w:rsidRDefault="00BC6823" w:rsidP="008560E2">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Cs w:val="24"/>
              </w:rPr>
            </w:pPr>
            <w:r w:rsidRPr="000F51DD">
              <w:rPr>
                <w:rFonts w:ascii="Franklin Gothic Medium" w:eastAsia="Times New Roman" w:hAnsi="Franklin Gothic Medium" w:cs="Times New Roman"/>
                <w:b w:val="0"/>
                <w:szCs w:val="24"/>
              </w:rPr>
              <w:t>Number</w:t>
            </w:r>
            <w:r w:rsidR="00064904" w:rsidRPr="000F51DD">
              <w:rPr>
                <w:rFonts w:ascii="Franklin Gothic Medium" w:eastAsia="Times New Roman" w:hAnsi="Franklin Gothic Medium" w:cs="Times New Roman"/>
                <w:b w:val="0"/>
                <w:szCs w:val="24"/>
              </w:rPr>
              <w:t xml:space="preserve"> Reviewed</w:t>
            </w:r>
          </w:p>
        </w:tc>
        <w:tc>
          <w:tcPr>
            <w:tcW w:w="1110" w:type="dxa"/>
            <w:tcBorders>
              <w:top w:val="none" w:sz="0" w:space="0" w:color="auto"/>
              <w:left w:val="none" w:sz="0" w:space="0" w:color="auto"/>
              <w:bottom w:val="single" w:sz="8" w:space="0" w:color="auto"/>
              <w:right w:val="none" w:sz="0" w:space="0" w:color="auto"/>
            </w:tcBorders>
            <w:shd w:val="clear" w:color="auto" w:fill="17365D" w:themeFill="text2" w:themeFillShade="BF"/>
            <w:vAlign w:val="bottom"/>
            <w:hideMark/>
          </w:tcPr>
          <w:p w14:paraId="06643FAE" w14:textId="6DC77B58" w:rsidR="0026297D" w:rsidRDefault="0026297D" w:rsidP="008560E2">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Cs w:val="24"/>
              </w:rPr>
            </w:pPr>
            <w:r>
              <w:rPr>
                <w:rFonts w:ascii="Franklin Gothic Medium" w:eastAsia="Times New Roman" w:hAnsi="Franklin Gothic Medium" w:cs="Times New Roman"/>
                <w:b w:val="0"/>
                <w:szCs w:val="24"/>
              </w:rPr>
              <w:t xml:space="preserve">Percent </w:t>
            </w:r>
          </w:p>
          <w:p w14:paraId="285C49B8" w14:textId="4EEBAA10" w:rsidR="00BC6823" w:rsidRPr="000F51DD" w:rsidRDefault="0026297D" w:rsidP="008560E2">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Cs w:val="24"/>
              </w:rPr>
            </w:pPr>
            <w:r>
              <w:rPr>
                <w:rFonts w:ascii="Franklin Gothic Medium" w:eastAsia="Times New Roman" w:hAnsi="Franklin Gothic Medium" w:cs="Times New Roman"/>
                <w:b w:val="0"/>
                <w:szCs w:val="24"/>
              </w:rPr>
              <w:t>Met</w:t>
            </w:r>
          </w:p>
        </w:tc>
      </w:tr>
      <w:tr w:rsidR="00B21820" w:rsidRPr="00BC6823" w14:paraId="04C2124E" w14:textId="77777777" w:rsidTr="00B21820">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3E0B485B" w14:textId="6F5EF500"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Level of care is reevaluated at least every 365 days and contains all required components for billing.</w:t>
            </w:r>
          </w:p>
        </w:tc>
        <w:tc>
          <w:tcPr>
            <w:tcW w:w="1210" w:type="dxa"/>
            <w:tcBorders>
              <w:left w:val="none" w:sz="0" w:space="0" w:color="auto"/>
              <w:right w:val="none" w:sz="0" w:space="0" w:color="auto"/>
            </w:tcBorders>
            <w:shd w:val="clear" w:color="auto" w:fill="B8CCE4" w:themeFill="accent1" w:themeFillTint="66"/>
            <w:noWrap/>
            <w:vAlign w:val="center"/>
            <w:hideMark/>
          </w:tcPr>
          <w:p w14:paraId="51E3A2F3" w14:textId="3C77CF55"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592</w:t>
            </w:r>
          </w:p>
        </w:tc>
        <w:tc>
          <w:tcPr>
            <w:tcW w:w="1110" w:type="dxa"/>
            <w:tcBorders>
              <w:left w:val="none" w:sz="0" w:space="0" w:color="auto"/>
            </w:tcBorders>
            <w:shd w:val="clear" w:color="auto" w:fill="B8CCE4" w:themeFill="accent1" w:themeFillTint="66"/>
            <w:noWrap/>
            <w:vAlign w:val="center"/>
            <w:hideMark/>
          </w:tcPr>
          <w:p w14:paraId="24EF2097" w14:textId="202ED76A"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94.0%</w:t>
            </w:r>
          </w:p>
        </w:tc>
      </w:tr>
      <w:tr w:rsidR="00B21820" w:rsidRPr="00BC6823" w14:paraId="146B7EB2" w14:textId="77777777" w:rsidTr="00B21820">
        <w:trPr>
          <w:cnfStyle w:val="000000010000" w:firstRow="0" w:lastRow="0" w:firstColumn="0" w:lastColumn="0" w:oddVBand="0" w:evenVBand="0" w:oddHBand="0" w:evenHBand="1"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2444FED3" w14:textId="3AFE27D0"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Level of care is reevaluated at least every 365 days and contains all required components for compliance.</w:t>
            </w:r>
          </w:p>
        </w:tc>
        <w:tc>
          <w:tcPr>
            <w:tcW w:w="1210" w:type="dxa"/>
            <w:tcBorders>
              <w:left w:val="none" w:sz="0" w:space="0" w:color="auto"/>
              <w:bottom w:val="single" w:sz="8" w:space="0" w:color="auto"/>
              <w:right w:val="none" w:sz="0" w:space="0" w:color="auto"/>
            </w:tcBorders>
            <w:noWrap/>
            <w:vAlign w:val="center"/>
            <w:hideMark/>
          </w:tcPr>
          <w:p w14:paraId="05F098E2" w14:textId="74E9C894"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593</w:t>
            </w:r>
          </w:p>
        </w:tc>
        <w:tc>
          <w:tcPr>
            <w:tcW w:w="1110" w:type="dxa"/>
            <w:tcBorders>
              <w:left w:val="none" w:sz="0" w:space="0" w:color="auto"/>
              <w:bottom w:val="single" w:sz="8" w:space="0" w:color="auto"/>
            </w:tcBorders>
            <w:noWrap/>
            <w:vAlign w:val="center"/>
            <w:hideMark/>
          </w:tcPr>
          <w:p w14:paraId="7A25BA5D" w14:textId="4A9B6B53"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94.3%</w:t>
            </w:r>
          </w:p>
        </w:tc>
      </w:tr>
      <w:tr w:rsidR="00B21820" w:rsidRPr="00BC6823" w14:paraId="632D8537" w14:textId="77777777" w:rsidTr="00B21820">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7AE81E58" w14:textId="62CDF6F3"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Level of care is completed accurately using the correct instrument/form.</w:t>
            </w:r>
          </w:p>
        </w:tc>
        <w:tc>
          <w:tcPr>
            <w:tcW w:w="1210" w:type="dxa"/>
            <w:tcBorders>
              <w:left w:val="none" w:sz="0" w:space="0" w:color="auto"/>
              <w:right w:val="none" w:sz="0" w:space="0" w:color="auto"/>
            </w:tcBorders>
            <w:shd w:val="clear" w:color="auto" w:fill="B8CCE4" w:themeFill="accent1" w:themeFillTint="66"/>
            <w:noWrap/>
            <w:vAlign w:val="center"/>
            <w:hideMark/>
          </w:tcPr>
          <w:p w14:paraId="35E11233" w14:textId="5C667CA0"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586</w:t>
            </w:r>
          </w:p>
        </w:tc>
        <w:tc>
          <w:tcPr>
            <w:tcW w:w="1110" w:type="dxa"/>
            <w:tcBorders>
              <w:left w:val="none" w:sz="0" w:space="0" w:color="auto"/>
            </w:tcBorders>
            <w:shd w:val="clear" w:color="auto" w:fill="B8CCE4" w:themeFill="accent1" w:themeFillTint="66"/>
            <w:noWrap/>
            <w:vAlign w:val="center"/>
            <w:hideMark/>
          </w:tcPr>
          <w:p w14:paraId="16840E83" w14:textId="2877BD73"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92.7%</w:t>
            </w:r>
          </w:p>
        </w:tc>
      </w:tr>
      <w:tr w:rsidR="00B21820" w:rsidRPr="00BC6823" w14:paraId="6A622A5B" w14:textId="77777777" w:rsidTr="00B21820">
        <w:trPr>
          <w:cnfStyle w:val="000000010000" w:firstRow="0" w:lastRow="0" w:firstColumn="0" w:lastColumn="0" w:oddVBand="0" w:evenVBand="0" w:oddHBand="0" w:evenHBand="1"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645C6FB6" w14:textId="1EAC60D9"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lastRenderedPageBreak/>
              <w:t>Person receiving services is given a choice of waiver services or institutional care at least annually.</w:t>
            </w:r>
          </w:p>
        </w:tc>
        <w:tc>
          <w:tcPr>
            <w:tcW w:w="1210" w:type="dxa"/>
            <w:tcBorders>
              <w:left w:val="none" w:sz="0" w:space="0" w:color="auto"/>
              <w:bottom w:val="single" w:sz="8" w:space="0" w:color="auto"/>
              <w:right w:val="none" w:sz="0" w:space="0" w:color="auto"/>
            </w:tcBorders>
            <w:noWrap/>
            <w:vAlign w:val="center"/>
            <w:hideMark/>
          </w:tcPr>
          <w:p w14:paraId="49368610" w14:textId="17025B85"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607</w:t>
            </w:r>
          </w:p>
        </w:tc>
        <w:tc>
          <w:tcPr>
            <w:tcW w:w="1110" w:type="dxa"/>
            <w:tcBorders>
              <w:left w:val="none" w:sz="0" w:space="0" w:color="auto"/>
              <w:bottom w:val="single" w:sz="8" w:space="0" w:color="auto"/>
            </w:tcBorders>
            <w:noWrap/>
            <w:vAlign w:val="center"/>
            <w:hideMark/>
          </w:tcPr>
          <w:p w14:paraId="4BC1F1B2" w14:textId="022D7F53"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96.2%</w:t>
            </w:r>
          </w:p>
        </w:tc>
      </w:tr>
      <w:tr w:rsidR="00B21820" w:rsidRPr="00BC6823" w14:paraId="1E7FB98F" w14:textId="77777777" w:rsidTr="00B21820">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52FFC617" w14:textId="197F5A1D"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Plan is updated within 12 months of the person's last Support Plan.</w:t>
            </w:r>
          </w:p>
        </w:tc>
        <w:tc>
          <w:tcPr>
            <w:tcW w:w="1210" w:type="dxa"/>
            <w:tcBorders>
              <w:left w:val="none" w:sz="0" w:space="0" w:color="auto"/>
              <w:right w:val="none" w:sz="0" w:space="0" w:color="auto"/>
            </w:tcBorders>
            <w:shd w:val="clear" w:color="auto" w:fill="B8CCE4" w:themeFill="accent1" w:themeFillTint="66"/>
            <w:noWrap/>
            <w:vAlign w:val="center"/>
            <w:hideMark/>
          </w:tcPr>
          <w:p w14:paraId="395F42D0" w14:textId="3D8F6DAB"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612</w:t>
            </w:r>
          </w:p>
        </w:tc>
        <w:tc>
          <w:tcPr>
            <w:tcW w:w="1110" w:type="dxa"/>
            <w:tcBorders>
              <w:left w:val="none" w:sz="0" w:space="0" w:color="auto"/>
            </w:tcBorders>
            <w:shd w:val="clear" w:color="auto" w:fill="B8CCE4" w:themeFill="accent1" w:themeFillTint="66"/>
            <w:noWrap/>
            <w:vAlign w:val="center"/>
            <w:hideMark/>
          </w:tcPr>
          <w:p w14:paraId="1692F2F7" w14:textId="3B84AA0A"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99.0%</w:t>
            </w:r>
          </w:p>
        </w:tc>
      </w:tr>
      <w:tr w:rsidR="00B21820" w:rsidRPr="00BC6823" w14:paraId="03B4A8E5" w14:textId="77777777" w:rsidTr="00B21820">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24FE75E6" w14:textId="71F68242"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current Annual Report is in the record.</w:t>
            </w:r>
          </w:p>
        </w:tc>
        <w:tc>
          <w:tcPr>
            <w:tcW w:w="1210" w:type="dxa"/>
            <w:tcBorders>
              <w:left w:val="none" w:sz="0" w:space="0" w:color="auto"/>
              <w:bottom w:val="single" w:sz="8" w:space="0" w:color="auto"/>
              <w:right w:val="none" w:sz="0" w:space="0" w:color="auto"/>
            </w:tcBorders>
            <w:noWrap/>
            <w:vAlign w:val="center"/>
            <w:hideMark/>
          </w:tcPr>
          <w:p w14:paraId="50FDAEF4" w14:textId="107F21EE"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533</w:t>
            </w:r>
          </w:p>
        </w:tc>
        <w:tc>
          <w:tcPr>
            <w:tcW w:w="1110" w:type="dxa"/>
            <w:tcBorders>
              <w:left w:val="none" w:sz="0" w:space="0" w:color="auto"/>
              <w:bottom w:val="single" w:sz="8" w:space="0" w:color="auto"/>
            </w:tcBorders>
            <w:noWrap/>
            <w:vAlign w:val="center"/>
            <w:hideMark/>
          </w:tcPr>
          <w:p w14:paraId="2F2D9B89" w14:textId="17A77BE6"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86.2%</w:t>
            </w:r>
          </w:p>
        </w:tc>
      </w:tr>
      <w:tr w:rsidR="00B21820" w:rsidRPr="00BC6823" w14:paraId="30B09B0D" w14:textId="77777777" w:rsidTr="00B21820">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44C00FAA" w14:textId="5FA01ED9"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Plan is updated and revised when warranted by changes in the needs of the person.</w:t>
            </w:r>
          </w:p>
        </w:tc>
        <w:tc>
          <w:tcPr>
            <w:tcW w:w="1210" w:type="dxa"/>
            <w:tcBorders>
              <w:left w:val="none" w:sz="0" w:space="0" w:color="auto"/>
              <w:right w:val="none" w:sz="0" w:space="0" w:color="auto"/>
            </w:tcBorders>
            <w:shd w:val="clear" w:color="auto" w:fill="B8CCE4" w:themeFill="accent1" w:themeFillTint="66"/>
            <w:noWrap/>
            <w:vAlign w:val="center"/>
            <w:hideMark/>
          </w:tcPr>
          <w:p w14:paraId="1725C89F" w14:textId="780100AA"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290</w:t>
            </w:r>
          </w:p>
        </w:tc>
        <w:tc>
          <w:tcPr>
            <w:tcW w:w="1110" w:type="dxa"/>
            <w:tcBorders>
              <w:left w:val="none" w:sz="0" w:space="0" w:color="auto"/>
            </w:tcBorders>
            <w:shd w:val="clear" w:color="auto" w:fill="B8CCE4" w:themeFill="accent1" w:themeFillTint="66"/>
            <w:noWrap/>
            <w:vAlign w:val="center"/>
            <w:hideMark/>
          </w:tcPr>
          <w:p w14:paraId="1F8E49C4" w14:textId="20474E05"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96.7%</w:t>
            </w:r>
          </w:p>
        </w:tc>
      </w:tr>
      <w:tr w:rsidR="00B21820" w:rsidRPr="00BC6823" w14:paraId="348D185C" w14:textId="77777777" w:rsidTr="00B21820">
        <w:trPr>
          <w:cnfStyle w:val="000000010000" w:firstRow="0" w:lastRow="0" w:firstColumn="0" w:lastColumn="0" w:oddVBand="0" w:evenVBand="0" w:oddHBand="0" w:evenHBand="1"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02391A11" w14:textId="27983C29"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WSC documents a copy of the Support Plan is provided to the person or legal representative within 10 days of the Support Plan effective date.</w:t>
            </w:r>
          </w:p>
        </w:tc>
        <w:tc>
          <w:tcPr>
            <w:tcW w:w="1210" w:type="dxa"/>
            <w:tcBorders>
              <w:left w:val="none" w:sz="0" w:space="0" w:color="auto"/>
              <w:bottom w:val="single" w:sz="8" w:space="0" w:color="auto"/>
              <w:right w:val="none" w:sz="0" w:space="0" w:color="auto"/>
            </w:tcBorders>
            <w:noWrap/>
            <w:vAlign w:val="center"/>
            <w:hideMark/>
          </w:tcPr>
          <w:p w14:paraId="63A9B792" w14:textId="1C79B59A"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595</w:t>
            </w:r>
          </w:p>
        </w:tc>
        <w:tc>
          <w:tcPr>
            <w:tcW w:w="1110" w:type="dxa"/>
            <w:tcBorders>
              <w:left w:val="none" w:sz="0" w:space="0" w:color="auto"/>
              <w:bottom w:val="single" w:sz="8" w:space="0" w:color="auto"/>
            </w:tcBorders>
            <w:noWrap/>
            <w:vAlign w:val="center"/>
            <w:hideMark/>
          </w:tcPr>
          <w:p w14:paraId="00F43B21" w14:textId="0A0CAF6F"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94.7%</w:t>
            </w:r>
          </w:p>
        </w:tc>
      </w:tr>
      <w:tr w:rsidR="00B21820" w:rsidRPr="00BC6823" w14:paraId="3502224B" w14:textId="77777777" w:rsidTr="00B21820">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23EC642E" w14:textId="786175DE"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WSC documentation demonstrates a copy of the Support Plan is provided to all service providers within 30 calendar days of the Support Plan effective date.</w:t>
            </w:r>
          </w:p>
        </w:tc>
        <w:tc>
          <w:tcPr>
            <w:tcW w:w="1210" w:type="dxa"/>
            <w:tcBorders>
              <w:left w:val="none" w:sz="0" w:space="0" w:color="auto"/>
              <w:right w:val="none" w:sz="0" w:space="0" w:color="auto"/>
            </w:tcBorders>
            <w:shd w:val="clear" w:color="auto" w:fill="B8CCE4" w:themeFill="accent1" w:themeFillTint="66"/>
            <w:noWrap/>
            <w:vAlign w:val="center"/>
            <w:hideMark/>
          </w:tcPr>
          <w:p w14:paraId="3ECC0720" w14:textId="2099FDA8"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544</w:t>
            </w:r>
          </w:p>
        </w:tc>
        <w:tc>
          <w:tcPr>
            <w:tcW w:w="1110" w:type="dxa"/>
            <w:tcBorders>
              <w:left w:val="none" w:sz="0" w:space="0" w:color="auto"/>
            </w:tcBorders>
            <w:shd w:val="clear" w:color="auto" w:fill="B8CCE4" w:themeFill="accent1" w:themeFillTint="66"/>
            <w:noWrap/>
            <w:vAlign w:val="center"/>
            <w:hideMark/>
          </w:tcPr>
          <w:p w14:paraId="343A209E" w14:textId="25FB0D8F"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89.0%</w:t>
            </w:r>
          </w:p>
        </w:tc>
      </w:tr>
      <w:tr w:rsidR="00B21820" w:rsidRPr="00BC6823" w14:paraId="4D885C25" w14:textId="77777777" w:rsidTr="00B21820">
        <w:trPr>
          <w:cnfStyle w:val="000000010000" w:firstRow="0" w:lastRow="0" w:firstColumn="0" w:lastColumn="0" w:oddVBand="0" w:evenVBand="0" w:oddHBand="0" w:evenHBand="1"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2DEA695E" w14:textId="6DD67491"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Support Plan includes supports and services consistent with assessed needs.</w:t>
            </w:r>
          </w:p>
        </w:tc>
        <w:tc>
          <w:tcPr>
            <w:tcW w:w="1210" w:type="dxa"/>
            <w:tcBorders>
              <w:left w:val="none" w:sz="0" w:space="0" w:color="auto"/>
              <w:bottom w:val="single" w:sz="8" w:space="0" w:color="auto"/>
              <w:right w:val="none" w:sz="0" w:space="0" w:color="auto"/>
            </w:tcBorders>
            <w:noWrap/>
            <w:vAlign w:val="center"/>
            <w:hideMark/>
          </w:tcPr>
          <w:p w14:paraId="14D917FD" w14:textId="69BCC41D"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612</w:t>
            </w:r>
          </w:p>
        </w:tc>
        <w:tc>
          <w:tcPr>
            <w:tcW w:w="1110" w:type="dxa"/>
            <w:tcBorders>
              <w:left w:val="none" w:sz="0" w:space="0" w:color="auto"/>
              <w:bottom w:val="single" w:sz="8" w:space="0" w:color="auto"/>
            </w:tcBorders>
            <w:noWrap/>
            <w:vAlign w:val="center"/>
            <w:hideMark/>
          </w:tcPr>
          <w:p w14:paraId="6779FA68" w14:textId="20816B11"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98.9%</w:t>
            </w:r>
          </w:p>
        </w:tc>
      </w:tr>
      <w:tr w:rsidR="00B21820" w:rsidRPr="00BC6823" w14:paraId="54C2C222" w14:textId="77777777" w:rsidTr="00B21820">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0343D4A8" w14:textId="11FD566C"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Support Plan reflects support and services necessary to address assessed risks.</w:t>
            </w:r>
          </w:p>
        </w:tc>
        <w:tc>
          <w:tcPr>
            <w:tcW w:w="1210" w:type="dxa"/>
            <w:tcBorders>
              <w:left w:val="none" w:sz="0" w:space="0" w:color="auto"/>
              <w:right w:val="none" w:sz="0" w:space="0" w:color="auto"/>
            </w:tcBorders>
            <w:shd w:val="clear" w:color="auto" w:fill="B8CCE4" w:themeFill="accent1" w:themeFillTint="66"/>
            <w:noWrap/>
            <w:vAlign w:val="center"/>
            <w:hideMark/>
          </w:tcPr>
          <w:p w14:paraId="5C41E302" w14:textId="1ED8A277"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599</w:t>
            </w:r>
          </w:p>
        </w:tc>
        <w:tc>
          <w:tcPr>
            <w:tcW w:w="1110" w:type="dxa"/>
            <w:tcBorders>
              <w:left w:val="none" w:sz="0" w:space="0" w:color="auto"/>
            </w:tcBorders>
            <w:shd w:val="clear" w:color="auto" w:fill="B8CCE4" w:themeFill="accent1" w:themeFillTint="66"/>
            <w:noWrap/>
            <w:vAlign w:val="center"/>
            <w:hideMark/>
          </w:tcPr>
          <w:p w14:paraId="66AEA37C" w14:textId="04935ABF"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98.7%</w:t>
            </w:r>
          </w:p>
        </w:tc>
      </w:tr>
      <w:tr w:rsidR="00B21820" w:rsidRPr="00BC6823" w14:paraId="5CB93C22" w14:textId="77777777" w:rsidTr="00B21820">
        <w:trPr>
          <w:cnfStyle w:val="000000010000" w:firstRow="0" w:lastRow="0" w:firstColumn="0" w:lastColumn="0" w:oddVBand="0" w:evenVBand="0" w:oddHBand="0" w:evenHBand="1"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4E9E7661" w14:textId="051EB00C"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Support Plan includes a current Safety Plan.</w:t>
            </w:r>
          </w:p>
        </w:tc>
        <w:tc>
          <w:tcPr>
            <w:tcW w:w="1210" w:type="dxa"/>
            <w:tcBorders>
              <w:left w:val="none" w:sz="0" w:space="0" w:color="auto"/>
              <w:bottom w:val="single" w:sz="8" w:space="0" w:color="auto"/>
              <w:right w:val="none" w:sz="0" w:space="0" w:color="auto"/>
            </w:tcBorders>
            <w:noWrap/>
            <w:vAlign w:val="center"/>
            <w:hideMark/>
          </w:tcPr>
          <w:p w14:paraId="303053E3" w14:textId="2343DB2A"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22</w:t>
            </w:r>
          </w:p>
        </w:tc>
        <w:tc>
          <w:tcPr>
            <w:tcW w:w="1110" w:type="dxa"/>
            <w:tcBorders>
              <w:left w:val="none" w:sz="0" w:space="0" w:color="auto"/>
              <w:bottom w:val="single" w:sz="8" w:space="0" w:color="auto"/>
            </w:tcBorders>
            <w:noWrap/>
            <w:vAlign w:val="center"/>
            <w:hideMark/>
          </w:tcPr>
          <w:p w14:paraId="490EED7A" w14:textId="74A749B4"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95.7%</w:t>
            </w:r>
          </w:p>
        </w:tc>
      </w:tr>
      <w:tr w:rsidR="00B21820" w:rsidRPr="00BC6823" w14:paraId="02260A0C" w14:textId="77777777" w:rsidTr="00B21820">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4944C3E3" w14:textId="3877EB8B"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Support Plan reflects the personal goals/outcomes of the person.</w:t>
            </w:r>
          </w:p>
        </w:tc>
        <w:tc>
          <w:tcPr>
            <w:tcW w:w="1210" w:type="dxa"/>
            <w:tcBorders>
              <w:left w:val="none" w:sz="0" w:space="0" w:color="auto"/>
              <w:right w:val="none" w:sz="0" w:space="0" w:color="auto"/>
            </w:tcBorders>
            <w:shd w:val="clear" w:color="auto" w:fill="B8CCE4" w:themeFill="accent1" w:themeFillTint="66"/>
            <w:noWrap/>
            <w:vAlign w:val="center"/>
            <w:hideMark/>
          </w:tcPr>
          <w:p w14:paraId="6E1BA5A4" w14:textId="735B8750"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615</w:t>
            </w:r>
          </w:p>
        </w:tc>
        <w:tc>
          <w:tcPr>
            <w:tcW w:w="1110" w:type="dxa"/>
            <w:tcBorders>
              <w:left w:val="none" w:sz="0" w:space="0" w:color="auto"/>
            </w:tcBorders>
            <w:shd w:val="clear" w:color="auto" w:fill="B8CCE4" w:themeFill="accent1" w:themeFillTint="66"/>
            <w:noWrap/>
            <w:vAlign w:val="center"/>
            <w:hideMark/>
          </w:tcPr>
          <w:p w14:paraId="35AE7E0A" w14:textId="05721F33"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97.9%</w:t>
            </w:r>
          </w:p>
        </w:tc>
      </w:tr>
      <w:tr w:rsidR="00B21820" w:rsidRPr="00BC6823" w14:paraId="577F303C" w14:textId="77777777" w:rsidTr="00B21820">
        <w:trPr>
          <w:cnfStyle w:val="000000010000" w:firstRow="0" w:lastRow="0" w:firstColumn="0" w:lastColumn="0" w:oddVBand="0" w:evenVBand="0" w:oddHBand="0" w:evenHBand="1"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085C1B9F" w14:textId="37448140"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current Support Plan includes natural, generic, community and paid supports for the person.</w:t>
            </w:r>
          </w:p>
        </w:tc>
        <w:tc>
          <w:tcPr>
            <w:tcW w:w="1210" w:type="dxa"/>
            <w:tcBorders>
              <w:left w:val="none" w:sz="0" w:space="0" w:color="auto"/>
              <w:bottom w:val="single" w:sz="8" w:space="0" w:color="auto"/>
              <w:right w:val="none" w:sz="0" w:space="0" w:color="auto"/>
            </w:tcBorders>
            <w:noWrap/>
            <w:vAlign w:val="center"/>
            <w:hideMark/>
          </w:tcPr>
          <w:p w14:paraId="509C4B26" w14:textId="209F1449"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616</w:t>
            </w:r>
          </w:p>
        </w:tc>
        <w:tc>
          <w:tcPr>
            <w:tcW w:w="1110" w:type="dxa"/>
            <w:tcBorders>
              <w:left w:val="none" w:sz="0" w:space="0" w:color="auto"/>
              <w:bottom w:val="single" w:sz="8" w:space="0" w:color="auto"/>
            </w:tcBorders>
            <w:noWrap/>
            <w:vAlign w:val="center"/>
            <w:hideMark/>
          </w:tcPr>
          <w:p w14:paraId="16FBDDF8" w14:textId="72047805"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97.9%</w:t>
            </w:r>
          </w:p>
        </w:tc>
      </w:tr>
      <w:tr w:rsidR="00B21820" w:rsidRPr="00BC6823" w14:paraId="59F4107E" w14:textId="77777777" w:rsidTr="00B21820">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456A5007" w14:textId="339451D0"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WSC documentation demonstrates current, accurate, and approved Service Authorizations are issued to service provider(s).</w:t>
            </w:r>
          </w:p>
        </w:tc>
        <w:tc>
          <w:tcPr>
            <w:tcW w:w="1210" w:type="dxa"/>
            <w:tcBorders>
              <w:left w:val="none" w:sz="0" w:space="0" w:color="auto"/>
              <w:right w:val="none" w:sz="0" w:space="0" w:color="auto"/>
            </w:tcBorders>
            <w:shd w:val="clear" w:color="auto" w:fill="B8CCE4" w:themeFill="accent1" w:themeFillTint="66"/>
            <w:noWrap/>
            <w:vAlign w:val="center"/>
            <w:hideMark/>
          </w:tcPr>
          <w:p w14:paraId="1A8CFB68" w14:textId="4FC1165D"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603</w:t>
            </w:r>
          </w:p>
        </w:tc>
        <w:tc>
          <w:tcPr>
            <w:tcW w:w="1110" w:type="dxa"/>
            <w:tcBorders>
              <w:left w:val="none" w:sz="0" w:space="0" w:color="auto"/>
            </w:tcBorders>
            <w:shd w:val="clear" w:color="auto" w:fill="B8CCE4" w:themeFill="accent1" w:themeFillTint="66"/>
            <w:noWrap/>
            <w:vAlign w:val="center"/>
            <w:hideMark/>
          </w:tcPr>
          <w:p w14:paraId="2D95769C" w14:textId="05122557"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96.0%</w:t>
            </w:r>
          </w:p>
        </w:tc>
      </w:tr>
      <w:tr w:rsidR="00B21820" w:rsidRPr="00BC6823" w14:paraId="1B1F192C" w14:textId="77777777" w:rsidTr="00B21820">
        <w:trPr>
          <w:cnfStyle w:val="000000010000" w:firstRow="0" w:lastRow="0" w:firstColumn="0" w:lastColumn="0" w:oddVBand="0" w:evenVBand="0" w:oddHBand="0" w:evenHBand="1"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0329991B" w14:textId="5061E9C5"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Coordinator documents efforts to ensure services are delivered in accordance with the service plan, including type, scope, amount, duration, and frequency specified in the Cost Plan.</w:t>
            </w:r>
          </w:p>
        </w:tc>
        <w:tc>
          <w:tcPr>
            <w:tcW w:w="1210" w:type="dxa"/>
            <w:tcBorders>
              <w:left w:val="none" w:sz="0" w:space="0" w:color="auto"/>
              <w:bottom w:val="single" w:sz="8" w:space="0" w:color="auto"/>
              <w:right w:val="none" w:sz="0" w:space="0" w:color="auto"/>
            </w:tcBorders>
            <w:noWrap/>
            <w:vAlign w:val="center"/>
            <w:hideMark/>
          </w:tcPr>
          <w:p w14:paraId="6DE3406D" w14:textId="43D36D19"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551</w:t>
            </w:r>
          </w:p>
        </w:tc>
        <w:tc>
          <w:tcPr>
            <w:tcW w:w="1110" w:type="dxa"/>
            <w:tcBorders>
              <w:left w:val="none" w:sz="0" w:space="0" w:color="auto"/>
              <w:bottom w:val="single" w:sz="8" w:space="0" w:color="auto"/>
            </w:tcBorders>
            <w:noWrap/>
            <w:vAlign w:val="center"/>
            <w:hideMark/>
          </w:tcPr>
          <w:p w14:paraId="422B8877" w14:textId="13A28C81"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89.4%</w:t>
            </w:r>
          </w:p>
        </w:tc>
      </w:tr>
      <w:tr w:rsidR="00B21820" w:rsidRPr="00BC6823" w14:paraId="1BD5F0BA" w14:textId="77777777" w:rsidTr="00B21820">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13155B98" w14:textId="086F9CCA"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Coordinator is in compliance with billing procedures and the Medicaid Waiver Services Agreement.</w:t>
            </w:r>
          </w:p>
        </w:tc>
        <w:tc>
          <w:tcPr>
            <w:tcW w:w="1210" w:type="dxa"/>
            <w:tcBorders>
              <w:left w:val="none" w:sz="0" w:space="0" w:color="auto"/>
              <w:right w:val="none" w:sz="0" w:space="0" w:color="auto"/>
            </w:tcBorders>
            <w:shd w:val="clear" w:color="auto" w:fill="B8CCE4" w:themeFill="accent1" w:themeFillTint="66"/>
            <w:noWrap/>
            <w:vAlign w:val="center"/>
            <w:hideMark/>
          </w:tcPr>
          <w:p w14:paraId="356788F2" w14:textId="159E1E27"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630</w:t>
            </w:r>
          </w:p>
        </w:tc>
        <w:tc>
          <w:tcPr>
            <w:tcW w:w="1110" w:type="dxa"/>
            <w:tcBorders>
              <w:left w:val="none" w:sz="0" w:space="0" w:color="auto"/>
            </w:tcBorders>
            <w:shd w:val="clear" w:color="auto" w:fill="B8CCE4" w:themeFill="accent1" w:themeFillTint="66"/>
            <w:noWrap/>
            <w:vAlign w:val="center"/>
            <w:hideMark/>
          </w:tcPr>
          <w:p w14:paraId="5FFD84A1" w14:textId="4AC6A1FB"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99.8%</w:t>
            </w:r>
          </w:p>
        </w:tc>
      </w:tr>
      <w:tr w:rsidR="00B21820" w:rsidRPr="00BC6823" w14:paraId="157D78F5" w14:textId="77777777" w:rsidTr="00B21820">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7980DA0C" w14:textId="3348DFF9"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Coordinator bills for services only after service</w:t>
            </w:r>
            <w:r>
              <w:rPr>
                <w:rFonts w:asciiTheme="minorHAnsi" w:hAnsiTheme="minorHAnsi" w:cs="Arial"/>
                <w:b w:val="0"/>
                <w:sz w:val="20"/>
                <w:szCs w:val="20"/>
              </w:rPr>
              <w:t>s</w:t>
            </w:r>
            <w:r w:rsidRPr="005774D4">
              <w:rPr>
                <w:rFonts w:asciiTheme="minorHAnsi" w:hAnsiTheme="minorHAnsi" w:cs="Arial"/>
                <w:b w:val="0"/>
                <w:sz w:val="20"/>
                <w:szCs w:val="20"/>
              </w:rPr>
              <w:t xml:space="preserve"> </w:t>
            </w:r>
            <w:r>
              <w:rPr>
                <w:rFonts w:asciiTheme="minorHAnsi" w:hAnsiTheme="minorHAnsi" w:cs="Arial"/>
                <w:b w:val="0"/>
                <w:sz w:val="20"/>
                <w:szCs w:val="20"/>
              </w:rPr>
              <w:t>are</w:t>
            </w:r>
            <w:r w:rsidRPr="005774D4">
              <w:rPr>
                <w:rFonts w:asciiTheme="minorHAnsi" w:hAnsiTheme="minorHAnsi" w:cs="Arial"/>
                <w:b w:val="0"/>
                <w:sz w:val="20"/>
                <w:szCs w:val="20"/>
              </w:rPr>
              <w:t xml:space="preserve"> rendered.</w:t>
            </w:r>
          </w:p>
        </w:tc>
        <w:tc>
          <w:tcPr>
            <w:tcW w:w="1210" w:type="dxa"/>
            <w:tcBorders>
              <w:left w:val="none" w:sz="0" w:space="0" w:color="auto"/>
              <w:bottom w:val="single" w:sz="8" w:space="0" w:color="auto"/>
              <w:right w:val="none" w:sz="0" w:space="0" w:color="auto"/>
            </w:tcBorders>
            <w:noWrap/>
            <w:vAlign w:val="center"/>
            <w:hideMark/>
          </w:tcPr>
          <w:p w14:paraId="5F39ED54" w14:textId="74F80F2D"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602</w:t>
            </w:r>
          </w:p>
        </w:tc>
        <w:tc>
          <w:tcPr>
            <w:tcW w:w="1110" w:type="dxa"/>
            <w:tcBorders>
              <w:left w:val="none" w:sz="0" w:space="0" w:color="auto"/>
              <w:bottom w:val="single" w:sz="8" w:space="0" w:color="auto"/>
            </w:tcBorders>
            <w:noWrap/>
            <w:vAlign w:val="center"/>
            <w:hideMark/>
          </w:tcPr>
          <w:p w14:paraId="4C5289CE" w14:textId="073F63AB"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95.4%</w:t>
            </w:r>
          </w:p>
        </w:tc>
      </w:tr>
      <w:tr w:rsidR="00B21820" w:rsidRPr="00BC6823" w14:paraId="4BE383B0" w14:textId="77777777" w:rsidTr="00B21820">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09960FAC" w14:textId="7BDA0967"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Coordination Progress Notes demonstrate pre-Support Plan planning activities were conducted.</w:t>
            </w:r>
          </w:p>
        </w:tc>
        <w:tc>
          <w:tcPr>
            <w:tcW w:w="1210" w:type="dxa"/>
            <w:tcBorders>
              <w:left w:val="none" w:sz="0" w:space="0" w:color="auto"/>
              <w:right w:val="none" w:sz="0" w:space="0" w:color="auto"/>
            </w:tcBorders>
            <w:shd w:val="clear" w:color="auto" w:fill="B8CCE4" w:themeFill="accent1" w:themeFillTint="66"/>
            <w:noWrap/>
            <w:vAlign w:val="center"/>
            <w:hideMark/>
          </w:tcPr>
          <w:p w14:paraId="5CE3E398" w14:textId="01352D28"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344</w:t>
            </w:r>
          </w:p>
        </w:tc>
        <w:tc>
          <w:tcPr>
            <w:tcW w:w="1110" w:type="dxa"/>
            <w:tcBorders>
              <w:left w:val="none" w:sz="0" w:space="0" w:color="auto"/>
            </w:tcBorders>
            <w:shd w:val="clear" w:color="auto" w:fill="B8CCE4" w:themeFill="accent1" w:themeFillTint="66"/>
            <w:noWrap/>
            <w:vAlign w:val="center"/>
            <w:hideMark/>
          </w:tcPr>
          <w:p w14:paraId="2D9F1B35" w14:textId="7E7F65EE"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84.9%</w:t>
            </w:r>
          </w:p>
        </w:tc>
      </w:tr>
      <w:tr w:rsidR="00B21820" w:rsidRPr="00BC6823" w14:paraId="794938F5" w14:textId="77777777" w:rsidTr="00B21820">
        <w:trPr>
          <w:cnfStyle w:val="000000010000" w:firstRow="0" w:lastRow="0" w:firstColumn="0" w:lastColumn="0" w:oddVBand="0" w:evenVBand="0" w:oddHBand="0" w:evenHBand="1"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723FE30E" w14:textId="1B6A7A8E"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Coordination Progress Notes demonstrate required monthly contact/activities were completed and are in the record.</w:t>
            </w:r>
          </w:p>
        </w:tc>
        <w:tc>
          <w:tcPr>
            <w:tcW w:w="1210" w:type="dxa"/>
            <w:tcBorders>
              <w:left w:val="none" w:sz="0" w:space="0" w:color="auto"/>
              <w:bottom w:val="single" w:sz="8" w:space="0" w:color="auto"/>
              <w:right w:val="none" w:sz="0" w:space="0" w:color="auto"/>
            </w:tcBorders>
            <w:noWrap/>
            <w:vAlign w:val="center"/>
            <w:hideMark/>
          </w:tcPr>
          <w:p w14:paraId="17F69469" w14:textId="71D5016A"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594</w:t>
            </w:r>
          </w:p>
        </w:tc>
        <w:tc>
          <w:tcPr>
            <w:tcW w:w="1110" w:type="dxa"/>
            <w:tcBorders>
              <w:left w:val="none" w:sz="0" w:space="0" w:color="auto"/>
              <w:bottom w:val="single" w:sz="8" w:space="0" w:color="auto"/>
            </w:tcBorders>
            <w:noWrap/>
            <w:vAlign w:val="center"/>
            <w:hideMark/>
          </w:tcPr>
          <w:p w14:paraId="69A85171" w14:textId="1B55E719"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94.1%</w:t>
            </w:r>
          </w:p>
        </w:tc>
      </w:tr>
      <w:tr w:rsidR="00B21820" w:rsidRPr="00BC6823" w14:paraId="2650F1DC" w14:textId="77777777" w:rsidTr="00B21820">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091B1834" w14:textId="1F09F7B7"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For individuals in supported living arrangements Progress Notes demonstrate required activities are covered during each quarterly home visit.</w:t>
            </w:r>
          </w:p>
        </w:tc>
        <w:tc>
          <w:tcPr>
            <w:tcW w:w="1210" w:type="dxa"/>
            <w:tcBorders>
              <w:left w:val="none" w:sz="0" w:space="0" w:color="auto"/>
              <w:right w:val="none" w:sz="0" w:space="0" w:color="auto"/>
            </w:tcBorders>
            <w:shd w:val="clear" w:color="auto" w:fill="B8CCE4" w:themeFill="accent1" w:themeFillTint="66"/>
            <w:noWrap/>
            <w:vAlign w:val="center"/>
            <w:hideMark/>
          </w:tcPr>
          <w:p w14:paraId="6F7C267B" w14:textId="1B7DEEB4"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87</w:t>
            </w:r>
          </w:p>
        </w:tc>
        <w:tc>
          <w:tcPr>
            <w:tcW w:w="1110" w:type="dxa"/>
            <w:tcBorders>
              <w:left w:val="none" w:sz="0" w:space="0" w:color="auto"/>
            </w:tcBorders>
            <w:shd w:val="clear" w:color="auto" w:fill="B8CCE4" w:themeFill="accent1" w:themeFillTint="66"/>
            <w:noWrap/>
            <w:vAlign w:val="center"/>
            <w:hideMark/>
          </w:tcPr>
          <w:p w14:paraId="08DD213E" w14:textId="7CEC0DDC"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91.6%</w:t>
            </w:r>
          </w:p>
        </w:tc>
      </w:tr>
      <w:tr w:rsidR="00B21820" w:rsidRPr="00BC6823" w14:paraId="34C796AE" w14:textId="77777777" w:rsidTr="00B21820">
        <w:trPr>
          <w:cnfStyle w:val="000000010000" w:firstRow="0" w:lastRow="0" w:firstColumn="0" w:lastColumn="0" w:oddVBand="0" w:evenVBand="0" w:oddHBand="0" w:evenHBand="1" w:firstRowFirstColumn="0" w:firstRowLastColumn="0" w:lastRowFirstColumn="0" w:lastRowLastColumn="0"/>
          <w:trHeight w:val="547"/>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0A5B5074" w14:textId="2722862F"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For persons living in Supported Living Arrangements the Support Plan clearly delineates the goals, roles, and responsibilities of each service provider.</w:t>
            </w:r>
          </w:p>
        </w:tc>
        <w:tc>
          <w:tcPr>
            <w:tcW w:w="1210" w:type="dxa"/>
            <w:tcBorders>
              <w:left w:val="none" w:sz="0" w:space="0" w:color="auto"/>
              <w:bottom w:val="single" w:sz="8" w:space="0" w:color="auto"/>
              <w:right w:val="none" w:sz="0" w:space="0" w:color="auto"/>
            </w:tcBorders>
            <w:noWrap/>
            <w:vAlign w:val="center"/>
            <w:hideMark/>
          </w:tcPr>
          <w:p w14:paraId="6C2A2936" w14:textId="5B364DCA"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85</w:t>
            </w:r>
          </w:p>
        </w:tc>
        <w:tc>
          <w:tcPr>
            <w:tcW w:w="1110" w:type="dxa"/>
            <w:tcBorders>
              <w:left w:val="none" w:sz="0" w:space="0" w:color="auto"/>
              <w:bottom w:val="single" w:sz="8" w:space="0" w:color="auto"/>
            </w:tcBorders>
            <w:noWrap/>
            <w:vAlign w:val="center"/>
            <w:hideMark/>
          </w:tcPr>
          <w:p w14:paraId="287BE9DD" w14:textId="07313BC1"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97.7%</w:t>
            </w:r>
          </w:p>
        </w:tc>
      </w:tr>
      <w:tr w:rsidR="00B21820" w:rsidRPr="00BC6823" w14:paraId="017B1C18" w14:textId="77777777" w:rsidTr="00B21820">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none" w:sz="0" w:space="0" w:color="auto"/>
            </w:tcBorders>
            <w:shd w:val="clear" w:color="auto" w:fill="B8CCE4" w:themeFill="accent1" w:themeFillTint="66"/>
            <w:vAlign w:val="center"/>
            <w:hideMark/>
          </w:tcPr>
          <w:p w14:paraId="67EC716B" w14:textId="4F0B0E13"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Coordinator documents efforts to support the person to make informed decisions when choosing waiver services &amp; supports on an ongoing basis.</w:t>
            </w:r>
          </w:p>
        </w:tc>
        <w:tc>
          <w:tcPr>
            <w:tcW w:w="1210" w:type="dxa"/>
            <w:tcBorders>
              <w:left w:val="none" w:sz="0" w:space="0" w:color="auto"/>
              <w:right w:val="none" w:sz="0" w:space="0" w:color="auto"/>
            </w:tcBorders>
            <w:shd w:val="clear" w:color="auto" w:fill="B8CCE4" w:themeFill="accent1" w:themeFillTint="66"/>
            <w:noWrap/>
            <w:vAlign w:val="center"/>
            <w:hideMark/>
          </w:tcPr>
          <w:p w14:paraId="74C7F866" w14:textId="2AB66128"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597</w:t>
            </w:r>
          </w:p>
        </w:tc>
        <w:tc>
          <w:tcPr>
            <w:tcW w:w="1110" w:type="dxa"/>
            <w:tcBorders>
              <w:left w:val="none" w:sz="0" w:space="0" w:color="auto"/>
            </w:tcBorders>
            <w:shd w:val="clear" w:color="auto" w:fill="B8CCE4" w:themeFill="accent1" w:themeFillTint="66"/>
            <w:noWrap/>
            <w:vAlign w:val="center"/>
            <w:hideMark/>
          </w:tcPr>
          <w:p w14:paraId="36915BCA" w14:textId="4A0C581B"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95.2%</w:t>
            </w:r>
          </w:p>
        </w:tc>
      </w:tr>
      <w:tr w:rsidR="00B21820" w:rsidRPr="00BC6823" w14:paraId="5ECA2F26" w14:textId="77777777" w:rsidTr="00B21820">
        <w:trPr>
          <w:cnfStyle w:val="000000010000" w:firstRow="0" w:lastRow="0" w:firstColumn="0" w:lastColumn="0" w:oddVBand="0" w:evenVBand="0" w:oddHBand="0" w:evenHBand="1"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vAlign w:val="center"/>
            <w:hideMark/>
          </w:tcPr>
          <w:p w14:paraId="6AF171AC" w14:textId="1B6AED4D"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Coordinator documents efforts to support the person to make informed decisions when choosing among waiver service providers on an ongoing basis.</w:t>
            </w:r>
          </w:p>
        </w:tc>
        <w:tc>
          <w:tcPr>
            <w:tcW w:w="1210" w:type="dxa"/>
            <w:tcBorders>
              <w:left w:val="none" w:sz="0" w:space="0" w:color="auto"/>
              <w:bottom w:val="single" w:sz="8" w:space="0" w:color="auto"/>
              <w:right w:val="none" w:sz="0" w:space="0" w:color="auto"/>
            </w:tcBorders>
            <w:noWrap/>
            <w:vAlign w:val="center"/>
            <w:hideMark/>
          </w:tcPr>
          <w:p w14:paraId="4BA2D317" w14:textId="5D3D4077"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597</w:t>
            </w:r>
          </w:p>
        </w:tc>
        <w:tc>
          <w:tcPr>
            <w:tcW w:w="1110" w:type="dxa"/>
            <w:tcBorders>
              <w:left w:val="none" w:sz="0" w:space="0" w:color="auto"/>
              <w:bottom w:val="single" w:sz="8" w:space="0" w:color="auto"/>
            </w:tcBorders>
            <w:noWrap/>
            <w:vAlign w:val="center"/>
            <w:hideMark/>
          </w:tcPr>
          <w:p w14:paraId="4088E51C" w14:textId="30557969"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95.2%</w:t>
            </w:r>
          </w:p>
        </w:tc>
      </w:tr>
      <w:tr w:rsidR="00B21820" w:rsidRPr="00BC6823" w14:paraId="01A0AFF6" w14:textId="77777777" w:rsidTr="00B21820">
        <w:trPr>
          <w:cnfStyle w:val="000000100000" w:firstRow="0" w:lastRow="0" w:firstColumn="0" w:lastColumn="0" w:oddVBand="0" w:evenVBand="0" w:oddHBand="1" w:evenHBand="0" w:firstRowFirstColumn="0" w:firstRowLastColumn="0" w:lastRowFirstColumn="0" w:lastRowLastColumn="0"/>
          <w:trHeight w:val="556"/>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none" w:sz="0" w:space="0" w:color="auto"/>
            </w:tcBorders>
            <w:shd w:val="clear" w:color="auto" w:fill="B8CCE4" w:themeFill="accent1" w:themeFillTint="66"/>
            <w:vAlign w:val="center"/>
            <w:hideMark/>
          </w:tcPr>
          <w:p w14:paraId="0D7FA5B1" w14:textId="3C335BE4"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Coordinator documents efforts to assist the person/legal representative to know about rights on an ongoing basis.</w:t>
            </w:r>
          </w:p>
        </w:tc>
        <w:tc>
          <w:tcPr>
            <w:tcW w:w="1210" w:type="dxa"/>
            <w:tcBorders>
              <w:left w:val="none" w:sz="0" w:space="0" w:color="auto"/>
              <w:bottom w:val="single" w:sz="8" w:space="0" w:color="auto"/>
              <w:right w:val="none" w:sz="0" w:space="0" w:color="auto"/>
            </w:tcBorders>
            <w:shd w:val="clear" w:color="auto" w:fill="B8CCE4" w:themeFill="accent1" w:themeFillTint="66"/>
            <w:noWrap/>
            <w:vAlign w:val="center"/>
            <w:hideMark/>
          </w:tcPr>
          <w:p w14:paraId="75042574" w14:textId="0612A382"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608</w:t>
            </w:r>
          </w:p>
        </w:tc>
        <w:tc>
          <w:tcPr>
            <w:tcW w:w="1110" w:type="dxa"/>
            <w:tcBorders>
              <w:left w:val="none" w:sz="0" w:space="0" w:color="auto"/>
              <w:bottom w:val="single" w:sz="8" w:space="0" w:color="auto"/>
            </w:tcBorders>
            <w:shd w:val="clear" w:color="auto" w:fill="B8CCE4" w:themeFill="accent1" w:themeFillTint="66"/>
            <w:noWrap/>
            <w:vAlign w:val="center"/>
            <w:hideMark/>
          </w:tcPr>
          <w:p w14:paraId="3B1DCF26" w14:textId="61C20F42"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B21820">
              <w:rPr>
                <w:rFonts w:ascii="Calibri" w:hAnsi="Calibri"/>
                <w:sz w:val="20"/>
                <w:szCs w:val="20"/>
              </w:rPr>
              <w:t>96.4%</w:t>
            </w:r>
          </w:p>
        </w:tc>
      </w:tr>
      <w:tr w:rsidR="00B21820" w:rsidRPr="000344EB" w14:paraId="7CCA1707" w14:textId="77777777" w:rsidTr="00B21820">
        <w:trPr>
          <w:cnfStyle w:val="000000010000" w:firstRow="0" w:lastRow="0" w:firstColumn="0" w:lastColumn="0" w:oddVBand="0" w:evenVBand="0" w:oddHBand="0" w:evenHBand="1"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6560" w:type="dxa"/>
            <w:tcBorders>
              <w:right w:val="single" w:sz="8" w:space="0" w:color="auto"/>
            </w:tcBorders>
            <w:shd w:val="clear" w:color="auto" w:fill="auto"/>
            <w:vAlign w:val="center"/>
          </w:tcPr>
          <w:p w14:paraId="74AA6B29" w14:textId="492D49B9" w:rsidR="00B21820" w:rsidRPr="005774D4" w:rsidRDefault="00B21820" w:rsidP="00B21820">
            <w:pPr>
              <w:spacing w:line="240" w:lineRule="auto"/>
              <w:rPr>
                <w:rFonts w:asciiTheme="minorHAnsi" w:hAnsiTheme="minorHAnsi" w:cs="Arial"/>
                <w:b w:val="0"/>
                <w:sz w:val="20"/>
                <w:szCs w:val="20"/>
              </w:rPr>
            </w:pPr>
            <w:r w:rsidRPr="005774D4">
              <w:rPr>
                <w:rFonts w:asciiTheme="minorHAnsi" w:hAnsiTheme="minorHAnsi" w:cs="Arial"/>
                <w:b w:val="0"/>
                <w:sz w:val="20"/>
                <w:szCs w:val="20"/>
              </w:rPr>
              <w:t>The Support Coordinator documents efforts to ensure the person's health and health care needs are addressed on an ongoing basis.</w:t>
            </w:r>
          </w:p>
        </w:tc>
        <w:tc>
          <w:tcPr>
            <w:tcW w:w="1210" w:type="dxa"/>
            <w:tcBorders>
              <w:left w:val="single" w:sz="8" w:space="0" w:color="auto"/>
              <w:right w:val="single" w:sz="8" w:space="0" w:color="auto"/>
            </w:tcBorders>
            <w:shd w:val="clear" w:color="auto" w:fill="auto"/>
            <w:noWrap/>
            <w:vAlign w:val="center"/>
          </w:tcPr>
          <w:p w14:paraId="48DE0871" w14:textId="0BF5DC31"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B21820">
              <w:rPr>
                <w:rFonts w:ascii="Calibri" w:hAnsi="Calibri"/>
                <w:sz w:val="20"/>
                <w:szCs w:val="20"/>
              </w:rPr>
              <w:t>595</w:t>
            </w:r>
          </w:p>
        </w:tc>
        <w:tc>
          <w:tcPr>
            <w:tcW w:w="1110" w:type="dxa"/>
            <w:tcBorders>
              <w:left w:val="single" w:sz="8" w:space="0" w:color="auto"/>
            </w:tcBorders>
            <w:shd w:val="clear" w:color="auto" w:fill="auto"/>
            <w:noWrap/>
            <w:vAlign w:val="center"/>
          </w:tcPr>
          <w:p w14:paraId="08F6BD55" w14:textId="799C0C40"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rPr>
            </w:pPr>
            <w:r w:rsidRPr="00B21820">
              <w:rPr>
                <w:rFonts w:ascii="Calibri" w:hAnsi="Calibri"/>
                <w:sz w:val="20"/>
                <w:szCs w:val="20"/>
              </w:rPr>
              <w:t>94.1%</w:t>
            </w:r>
          </w:p>
        </w:tc>
      </w:tr>
      <w:tr w:rsidR="00B21820" w:rsidRPr="00BC6823" w14:paraId="5335D450" w14:textId="77777777" w:rsidTr="00B21820">
        <w:trPr>
          <w:cnfStyle w:val="000000100000" w:firstRow="0" w:lastRow="0" w:firstColumn="0" w:lastColumn="0" w:oddVBand="0" w:evenVBand="0" w:oddHBand="1" w:evenHBand="0" w:firstRowFirstColumn="0" w:firstRowLastColumn="0" w:lastRowFirstColumn="0" w:lastRowLastColumn="0"/>
          <w:trHeight w:val="574"/>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single" w:sz="8" w:space="0" w:color="auto"/>
            </w:tcBorders>
            <w:shd w:val="clear" w:color="auto" w:fill="B8CCE4" w:themeFill="accent1" w:themeFillTint="66"/>
            <w:vAlign w:val="center"/>
          </w:tcPr>
          <w:p w14:paraId="6FE26DBD" w14:textId="20CAC6D0"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Coordinator documents efforts to ensure person's safety needs are addressed on an ongoing basis.</w:t>
            </w:r>
          </w:p>
        </w:tc>
        <w:tc>
          <w:tcPr>
            <w:tcW w:w="1210" w:type="dxa"/>
            <w:tcBorders>
              <w:left w:val="single" w:sz="8" w:space="0" w:color="auto"/>
              <w:bottom w:val="single" w:sz="8" w:space="0" w:color="auto"/>
              <w:right w:val="single" w:sz="8" w:space="0" w:color="auto"/>
            </w:tcBorders>
            <w:shd w:val="clear" w:color="auto" w:fill="B8CCE4" w:themeFill="accent1" w:themeFillTint="66"/>
            <w:noWrap/>
            <w:vAlign w:val="center"/>
          </w:tcPr>
          <w:p w14:paraId="5C98D1C9" w14:textId="709A40D5"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21820">
              <w:rPr>
                <w:rFonts w:ascii="Calibri" w:hAnsi="Calibri"/>
                <w:sz w:val="20"/>
                <w:szCs w:val="20"/>
              </w:rPr>
              <w:t>605</w:t>
            </w:r>
          </w:p>
        </w:tc>
        <w:tc>
          <w:tcPr>
            <w:tcW w:w="1110" w:type="dxa"/>
            <w:tcBorders>
              <w:left w:val="single" w:sz="8" w:space="0" w:color="auto"/>
              <w:bottom w:val="single" w:sz="8" w:space="0" w:color="auto"/>
            </w:tcBorders>
            <w:shd w:val="clear" w:color="auto" w:fill="B8CCE4" w:themeFill="accent1" w:themeFillTint="66"/>
            <w:noWrap/>
            <w:vAlign w:val="center"/>
          </w:tcPr>
          <w:p w14:paraId="6DB4FC09" w14:textId="30597D60"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21820">
              <w:rPr>
                <w:rFonts w:ascii="Calibri" w:hAnsi="Calibri"/>
                <w:sz w:val="20"/>
                <w:szCs w:val="20"/>
              </w:rPr>
              <w:t>96.0%</w:t>
            </w:r>
          </w:p>
        </w:tc>
      </w:tr>
      <w:tr w:rsidR="00B21820" w:rsidRPr="00BC6823" w14:paraId="1467ADFC" w14:textId="77777777" w:rsidTr="00B21820">
        <w:trPr>
          <w:cnfStyle w:val="000000010000" w:firstRow="0" w:lastRow="0" w:firstColumn="0" w:lastColumn="0" w:oddVBand="0" w:evenVBand="0" w:oddHBand="0" w:evenHBand="1" w:firstRowFirstColumn="0" w:firstRowLastColumn="0" w:lastRowFirstColumn="0" w:lastRowLastColumn="0"/>
          <w:trHeight w:val="754"/>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single" w:sz="8" w:space="0" w:color="auto"/>
              <w:right w:val="single" w:sz="8" w:space="0" w:color="auto"/>
            </w:tcBorders>
            <w:shd w:val="clear" w:color="auto" w:fill="auto"/>
            <w:vAlign w:val="center"/>
          </w:tcPr>
          <w:p w14:paraId="531EE23E" w14:textId="289D0545" w:rsidR="00B21820" w:rsidRPr="005774D4" w:rsidRDefault="00B21820" w:rsidP="00B21820">
            <w:pPr>
              <w:spacing w:line="240" w:lineRule="auto"/>
              <w:rPr>
                <w:rFonts w:asciiTheme="minorHAnsi" w:eastAsia="Times New Roman" w:hAnsiTheme="minorHAnsi" w:cs="Times New Roman"/>
                <w:b w:val="0"/>
                <w:color w:val="000000"/>
                <w:sz w:val="20"/>
                <w:szCs w:val="20"/>
              </w:rPr>
            </w:pPr>
            <w:r w:rsidRPr="005774D4">
              <w:rPr>
                <w:rFonts w:asciiTheme="minorHAnsi" w:hAnsiTheme="minorHAnsi" w:cs="Arial"/>
                <w:b w:val="0"/>
                <w:sz w:val="20"/>
                <w:szCs w:val="20"/>
              </w:rPr>
              <w:t>The Support Coordinator has a method in place to document information about the person's history regarding abuse, neglect, and/or exploitation on an ongoing basis.</w:t>
            </w:r>
          </w:p>
        </w:tc>
        <w:tc>
          <w:tcPr>
            <w:tcW w:w="1210" w:type="dxa"/>
            <w:tcBorders>
              <w:left w:val="single" w:sz="8" w:space="0" w:color="auto"/>
              <w:bottom w:val="single" w:sz="8" w:space="0" w:color="auto"/>
              <w:right w:val="single" w:sz="8" w:space="0" w:color="auto"/>
            </w:tcBorders>
            <w:shd w:val="clear" w:color="auto" w:fill="auto"/>
            <w:noWrap/>
            <w:vAlign w:val="center"/>
          </w:tcPr>
          <w:p w14:paraId="62DA54EA" w14:textId="49281329"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B21820">
              <w:rPr>
                <w:rFonts w:ascii="Calibri" w:hAnsi="Calibri"/>
                <w:sz w:val="20"/>
                <w:szCs w:val="20"/>
              </w:rPr>
              <w:t>520</w:t>
            </w:r>
          </w:p>
        </w:tc>
        <w:tc>
          <w:tcPr>
            <w:tcW w:w="1110" w:type="dxa"/>
            <w:tcBorders>
              <w:left w:val="single" w:sz="8" w:space="0" w:color="auto"/>
              <w:bottom w:val="single" w:sz="8" w:space="0" w:color="auto"/>
            </w:tcBorders>
            <w:shd w:val="clear" w:color="auto" w:fill="auto"/>
            <w:noWrap/>
            <w:vAlign w:val="center"/>
          </w:tcPr>
          <w:p w14:paraId="6CF88087" w14:textId="781899C2"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B21820">
              <w:rPr>
                <w:rFonts w:ascii="Calibri" w:hAnsi="Calibri"/>
                <w:sz w:val="20"/>
                <w:szCs w:val="20"/>
              </w:rPr>
              <w:t>90.8%</w:t>
            </w:r>
          </w:p>
        </w:tc>
      </w:tr>
      <w:tr w:rsidR="00B21820" w:rsidRPr="000344EB" w14:paraId="3AE9CFA5" w14:textId="77777777" w:rsidTr="00B21820">
        <w:trPr>
          <w:cnfStyle w:val="000000100000" w:firstRow="0" w:lastRow="0" w:firstColumn="0" w:lastColumn="0" w:oddVBand="0" w:evenVBand="0" w:oddHBand="1" w:evenHBand="0" w:firstRowFirstColumn="0" w:firstRowLastColumn="0" w:lastRowFirstColumn="0" w:lastRowLastColumn="0"/>
          <w:trHeight w:val="754"/>
          <w:jc w:val="center"/>
        </w:trPr>
        <w:tc>
          <w:tcPr>
            <w:cnfStyle w:val="001000000000" w:firstRow="0" w:lastRow="0" w:firstColumn="1" w:lastColumn="0" w:oddVBand="0" w:evenVBand="0" w:oddHBand="0" w:evenHBand="0" w:firstRowFirstColumn="0" w:firstRowLastColumn="0" w:lastRowFirstColumn="0" w:lastRowLastColumn="0"/>
            <w:tcW w:w="6560" w:type="dxa"/>
            <w:tcBorders>
              <w:bottom w:val="double" w:sz="4" w:space="0" w:color="auto"/>
              <w:right w:val="single" w:sz="8" w:space="0" w:color="auto"/>
            </w:tcBorders>
            <w:shd w:val="clear" w:color="auto" w:fill="B8CCE4" w:themeFill="accent1" w:themeFillTint="66"/>
            <w:vAlign w:val="center"/>
          </w:tcPr>
          <w:p w14:paraId="2D427CBE" w14:textId="7D655BB3" w:rsidR="00B21820" w:rsidRPr="005774D4" w:rsidRDefault="00B21820" w:rsidP="00B21820">
            <w:pPr>
              <w:spacing w:line="240" w:lineRule="auto"/>
              <w:rPr>
                <w:rFonts w:asciiTheme="minorHAnsi" w:hAnsiTheme="minorHAnsi" w:cs="Arial"/>
                <w:b w:val="0"/>
                <w:sz w:val="20"/>
                <w:szCs w:val="20"/>
              </w:rPr>
            </w:pPr>
            <w:r w:rsidRPr="005774D4">
              <w:rPr>
                <w:rFonts w:asciiTheme="minorHAnsi" w:hAnsiTheme="minorHAnsi" w:cs="Arial"/>
                <w:b w:val="0"/>
                <w:sz w:val="20"/>
                <w:szCs w:val="20"/>
              </w:rPr>
              <w:t>The Support Coordinator documents efforts to assist the person to define abuse, neglect, and exploitation including how the person would report any incidents on an ongoing basis.</w:t>
            </w:r>
          </w:p>
        </w:tc>
        <w:tc>
          <w:tcPr>
            <w:tcW w:w="1210" w:type="dxa"/>
            <w:tcBorders>
              <w:left w:val="single" w:sz="8" w:space="0" w:color="auto"/>
              <w:bottom w:val="double" w:sz="4" w:space="0" w:color="auto"/>
              <w:right w:val="single" w:sz="8" w:space="0" w:color="auto"/>
            </w:tcBorders>
            <w:shd w:val="clear" w:color="auto" w:fill="B8CCE4" w:themeFill="accent1" w:themeFillTint="66"/>
            <w:noWrap/>
            <w:vAlign w:val="center"/>
          </w:tcPr>
          <w:p w14:paraId="6AB8600F" w14:textId="4FC2F99A"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r w:rsidRPr="00B21820">
              <w:rPr>
                <w:rFonts w:ascii="Calibri" w:hAnsi="Calibri"/>
                <w:sz w:val="20"/>
                <w:szCs w:val="20"/>
              </w:rPr>
              <w:t>562</w:t>
            </w:r>
          </w:p>
        </w:tc>
        <w:tc>
          <w:tcPr>
            <w:tcW w:w="1110" w:type="dxa"/>
            <w:tcBorders>
              <w:left w:val="single" w:sz="8" w:space="0" w:color="auto"/>
              <w:bottom w:val="double" w:sz="4" w:space="0" w:color="auto"/>
            </w:tcBorders>
            <w:shd w:val="clear" w:color="auto" w:fill="B8CCE4" w:themeFill="accent1" w:themeFillTint="66"/>
            <w:noWrap/>
            <w:vAlign w:val="center"/>
          </w:tcPr>
          <w:p w14:paraId="3E4A13E3" w14:textId="23EEFA9A"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b/>
                <w:sz w:val="20"/>
                <w:szCs w:val="20"/>
              </w:rPr>
            </w:pPr>
            <w:r w:rsidRPr="00B21820">
              <w:rPr>
                <w:rFonts w:ascii="Calibri" w:hAnsi="Calibri"/>
                <w:sz w:val="20"/>
                <w:szCs w:val="20"/>
              </w:rPr>
              <w:t>89.2%</w:t>
            </w:r>
          </w:p>
        </w:tc>
      </w:tr>
      <w:tr w:rsidR="00B21820" w:rsidRPr="00BC6823" w14:paraId="2EF8AE45" w14:textId="77777777" w:rsidTr="00B21820">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560" w:type="dxa"/>
            <w:tcBorders>
              <w:top w:val="double" w:sz="4" w:space="0" w:color="auto"/>
              <w:right w:val="none" w:sz="0" w:space="0" w:color="auto"/>
            </w:tcBorders>
            <w:shd w:val="clear" w:color="auto" w:fill="FABF8F" w:themeFill="accent6" w:themeFillTint="99"/>
            <w:vAlign w:val="center"/>
          </w:tcPr>
          <w:p w14:paraId="0C8B2AF7" w14:textId="260F99E7" w:rsidR="00B21820" w:rsidRPr="005774D4" w:rsidRDefault="00B21820" w:rsidP="00B21820">
            <w:pPr>
              <w:spacing w:line="240" w:lineRule="auto"/>
              <w:rPr>
                <w:rFonts w:asciiTheme="minorHAnsi" w:eastAsia="Times New Roman" w:hAnsiTheme="minorHAnsi" w:cs="Times New Roman"/>
                <w:color w:val="000000"/>
                <w:sz w:val="20"/>
                <w:szCs w:val="20"/>
              </w:rPr>
            </w:pPr>
            <w:r w:rsidRPr="005774D4">
              <w:rPr>
                <w:rFonts w:asciiTheme="minorHAnsi" w:eastAsia="Times New Roman" w:hAnsiTheme="minorHAnsi" w:cs="Times New Roman"/>
                <w:color w:val="000000"/>
                <w:sz w:val="20"/>
                <w:szCs w:val="20"/>
              </w:rPr>
              <w:t>Average WSC Record Review Score</w:t>
            </w:r>
          </w:p>
        </w:tc>
        <w:tc>
          <w:tcPr>
            <w:tcW w:w="1210" w:type="dxa"/>
            <w:tcBorders>
              <w:top w:val="double" w:sz="4" w:space="0" w:color="auto"/>
              <w:left w:val="none" w:sz="0" w:space="0" w:color="auto"/>
              <w:right w:val="none" w:sz="0" w:space="0" w:color="auto"/>
            </w:tcBorders>
            <w:shd w:val="clear" w:color="auto" w:fill="FABF8F" w:themeFill="accent6" w:themeFillTint="99"/>
            <w:noWrap/>
            <w:vAlign w:val="center"/>
          </w:tcPr>
          <w:p w14:paraId="51FBFADB" w14:textId="7302A895"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b/>
                <w:color w:val="000000"/>
                <w:sz w:val="20"/>
                <w:szCs w:val="20"/>
              </w:rPr>
            </w:pPr>
            <w:r w:rsidRPr="00B21820">
              <w:rPr>
                <w:rFonts w:ascii="Calibri" w:hAnsi="Calibri"/>
                <w:sz w:val="20"/>
                <w:szCs w:val="20"/>
              </w:rPr>
              <w:t>14996</w:t>
            </w:r>
          </w:p>
        </w:tc>
        <w:tc>
          <w:tcPr>
            <w:tcW w:w="1110" w:type="dxa"/>
            <w:tcBorders>
              <w:top w:val="double" w:sz="4" w:space="0" w:color="auto"/>
              <w:left w:val="none" w:sz="0" w:space="0" w:color="auto"/>
            </w:tcBorders>
            <w:shd w:val="clear" w:color="auto" w:fill="FABF8F" w:themeFill="accent6" w:themeFillTint="99"/>
            <w:noWrap/>
            <w:vAlign w:val="center"/>
          </w:tcPr>
          <w:p w14:paraId="4AD38095" w14:textId="5014DF98"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b/>
                <w:color w:val="000000"/>
                <w:sz w:val="20"/>
                <w:szCs w:val="20"/>
              </w:rPr>
            </w:pPr>
            <w:r w:rsidRPr="00B21820">
              <w:rPr>
                <w:rFonts w:ascii="Calibri" w:hAnsi="Calibri"/>
                <w:sz w:val="20"/>
                <w:szCs w:val="20"/>
              </w:rPr>
              <w:t>94.5%</w:t>
            </w:r>
          </w:p>
        </w:tc>
      </w:tr>
    </w:tbl>
    <w:p w14:paraId="706B7EB7" w14:textId="2204067D" w:rsidR="007C1358" w:rsidRDefault="007C1358" w:rsidP="007C1358">
      <w:pPr>
        <w:spacing w:line="240" w:lineRule="auto"/>
        <w:jc w:val="center"/>
        <w:rPr>
          <w:rFonts w:ascii="Franklin Gothic Medium" w:hAnsi="Franklin Gothic Medium"/>
        </w:rPr>
      </w:pPr>
    </w:p>
    <w:p w14:paraId="7B827ED1" w14:textId="1B3B9270" w:rsidR="00F6367D" w:rsidRDefault="00F6367D">
      <w:pPr>
        <w:spacing w:line="240" w:lineRule="auto"/>
        <w:rPr>
          <w:rFonts w:ascii="Franklin Gothic Medium" w:hAnsi="Franklin Gothic Medium"/>
        </w:rPr>
      </w:pPr>
      <w:r>
        <w:rPr>
          <w:rFonts w:ascii="Franklin Gothic Medium" w:hAnsi="Franklin Gothic Medium"/>
        </w:rPr>
        <w:br w:type="page"/>
      </w:r>
    </w:p>
    <w:p w14:paraId="576D8989" w14:textId="77777777" w:rsidR="00E31E3C" w:rsidRDefault="00E31E3C" w:rsidP="007C1358">
      <w:pPr>
        <w:spacing w:line="240" w:lineRule="auto"/>
        <w:jc w:val="center"/>
        <w:rPr>
          <w:rFonts w:ascii="Franklin Gothic Medium" w:hAnsi="Franklin Gothic Medium"/>
        </w:rPr>
      </w:pPr>
    </w:p>
    <w:p w14:paraId="02F43264" w14:textId="77777777" w:rsidR="000344EB" w:rsidRDefault="000344EB" w:rsidP="007C1358">
      <w:pPr>
        <w:spacing w:line="240" w:lineRule="auto"/>
        <w:jc w:val="center"/>
        <w:rPr>
          <w:rFonts w:ascii="Franklin Gothic Medium" w:hAnsi="Franklin Gothic Medium"/>
        </w:rPr>
      </w:pPr>
    </w:p>
    <w:tbl>
      <w:tblPr>
        <w:tblStyle w:val="MediumShading1-Accent2"/>
        <w:tblW w:w="882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600"/>
        <w:gridCol w:w="1211"/>
        <w:gridCol w:w="1011"/>
      </w:tblGrid>
      <w:tr w:rsidR="0022043F" w:rsidRPr="0022043F" w14:paraId="20D2D2A6" w14:textId="77777777" w:rsidTr="00683B67">
        <w:trPr>
          <w:cnfStyle w:val="100000000000" w:firstRow="1" w:lastRow="0" w:firstColumn="0" w:lastColumn="0" w:oddVBand="0" w:evenVBand="0" w:oddHBand="0" w:evenHBand="0" w:firstRowFirstColumn="0" w:firstRowLastColumn="0" w:lastRowFirstColumn="0" w:lastRowLastColumn="0"/>
          <w:trHeight w:val="367"/>
          <w:tblHeader/>
          <w:jc w:val="center"/>
        </w:trPr>
        <w:tc>
          <w:tcPr>
            <w:cnfStyle w:val="001000000000" w:firstRow="0" w:lastRow="0" w:firstColumn="1" w:lastColumn="0" w:oddVBand="0" w:evenVBand="0" w:oddHBand="0" w:evenHBand="0" w:firstRowFirstColumn="0" w:firstRowLastColumn="0" w:lastRowFirstColumn="0" w:lastRowLastColumn="0"/>
            <w:tcW w:w="8822" w:type="dxa"/>
            <w:gridSpan w:val="3"/>
            <w:tcBorders>
              <w:top w:val="none" w:sz="0" w:space="0" w:color="auto"/>
              <w:left w:val="none" w:sz="0" w:space="0" w:color="auto"/>
              <w:bottom w:val="none" w:sz="0" w:space="0" w:color="auto"/>
              <w:right w:val="none" w:sz="0" w:space="0" w:color="auto"/>
            </w:tcBorders>
            <w:shd w:val="clear" w:color="auto" w:fill="244061" w:themeFill="accent1" w:themeFillShade="80"/>
            <w:vAlign w:val="bottom"/>
            <w:hideMark/>
          </w:tcPr>
          <w:p w14:paraId="3976E242" w14:textId="59EA837D" w:rsidR="0022043F" w:rsidRPr="000F51DD" w:rsidRDefault="0022043F" w:rsidP="002971E6">
            <w:pPr>
              <w:spacing w:line="240" w:lineRule="auto"/>
              <w:jc w:val="center"/>
              <w:rPr>
                <w:rFonts w:ascii="Franklin Gothic Medium" w:eastAsia="Times New Roman" w:hAnsi="Franklin Gothic Medium" w:cs="Times New Roman"/>
                <w:b w:val="0"/>
                <w:szCs w:val="24"/>
              </w:rPr>
            </w:pPr>
            <w:r w:rsidRPr="000F51DD">
              <w:rPr>
                <w:rFonts w:ascii="Franklin Gothic Medium" w:eastAsia="Times New Roman" w:hAnsi="Franklin Gothic Medium" w:cs="Times New Roman"/>
                <w:b w:val="0"/>
                <w:szCs w:val="24"/>
              </w:rPr>
              <w:t>Table 8: CDC+ Consu</w:t>
            </w:r>
            <w:r w:rsidR="001861E4" w:rsidRPr="000F51DD">
              <w:rPr>
                <w:rFonts w:ascii="Franklin Gothic Medium" w:eastAsia="Times New Roman" w:hAnsi="Franklin Gothic Medium" w:cs="Times New Roman"/>
                <w:b w:val="0"/>
                <w:szCs w:val="24"/>
              </w:rPr>
              <w:t xml:space="preserve">ltant Results by </w:t>
            </w:r>
            <w:r w:rsidR="002971E6">
              <w:rPr>
                <w:rFonts w:ascii="Franklin Gothic Medium" w:eastAsia="Times New Roman" w:hAnsi="Franklin Gothic Medium" w:cs="Times New Roman"/>
                <w:b w:val="0"/>
                <w:szCs w:val="24"/>
              </w:rPr>
              <w:t>Standard</w:t>
            </w:r>
          </w:p>
        </w:tc>
      </w:tr>
      <w:tr w:rsidR="0022043F" w:rsidRPr="0022043F" w14:paraId="25A9C285" w14:textId="77777777" w:rsidTr="00683B67">
        <w:trPr>
          <w:cnfStyle w:val="100000000000" w:firstRow="1" w:lastRow="0" w:firstColumn="0" w:lastColumn="0" w:oddVBand="0" w:evenVBand="0" w:oddHBand="0" w:evenHBand="0" w:firstRowFirstColumn="0" w:firstRowLastColumn="0" w:lastRowFirstColumn="0" w:lastRowLastColumn="0"/>
          <w:trHeight w:val="250"/>
          <w:tblHeader/>
          <w:jc w:val="center"/>
        </w:trPr>
        <w:tc>
          <w:tcPr>
            <w:cnfStyle w:val="001000000000" w:firstRow="0" w:lastRow="0" w:firstColumn="1" w:lastColumn="0" w:oddVBand="0" w:evenVBand="0" w:oddHBand="0" w:evenHBand="0" w:firstRowFirstColumn="0" w:firstRowLastColumn="0" w:lastRowFirstColumn="0" w:lastRowLastColumn="0"/>
            <w:tcW w:w="8822" w:type="dxa"/>
            <w:gridSpan w:val="3"/>
            <w:tcBorders>
              <w:top w:val="none" w:sz="0" w:space="0" w:color="auto"/>
              <w:left w:val="none" w:sz="0" w:space="0" w:color="auto"/>
              <w:bottom w:val="none" w:sz="0" w:space="0" w:color="auto"/>
              <w:right w:val="none" w:sz="0" w:space="0" w:color="auto"/>
            </w:tcBorders>
            <w:shd w:val="clear" w:color="auto" w:fill="244061" w:themeFill="accent1" w:themeFillShade="80"/>
            <w:noWrap/>
            <w:vAlign w:val="bottom"/>
            <w:hideMark/>
          </w:tcPr>
          <w:p w14:paraId="52E7E785" w14:textId="2256B0C9" w:rsidR="0022043F" w:rsidRPr="000F51DD" w:rsidRDefault="0022043F" w:rsidP="00A335D6">
            <w:pPr>
              <w:spacing w:line="240" w:lineRule="auto"/>
              <w:jc w:val="center"/>
              <w:rPr>
                <w:rFonts w:ascii="Franklin Gothic Medium" w:eastAsia="Times New Roman" w:hAnsi="Franklin Gothic Medium" w:cs="Times New Roman"/>
                <w:b w:val="0"/>
                <w:szCs w:val="24"/>
              </w:rPr>
            </w:pPr>
            <w:r w:rsidRPr="000F51DD">
              <w:rPr>
                <w:rFonts w:ascii="Franklin Gothic Medium" w:eastAsia="Times New Roman" w:hAnsi="Franklin Gothic Medium" w:cs="Times New Roman"/>
                <w:b w:val="0"/>
                <w:szCs w:val="24"/>
              </w:rPr>
              <w:t xml:space="preserve">January </w:t>
            </w:r>
            <w:r w:rsidR="00185687">
              <w:rPr>
                <w:rFonts w:ascii="Franklin Gothic Medium" w:eastAsia="Times New Roman" w:hAnsi="Franklin Gothic Medium" w:cs="Times New Roman"/>
                <w:b w:val="0"/>
                <w:szCs w:val="24"/>
              </w:rPr>
              <w:t>–</w:t>
            </w:r>
            <w:r w:rsidRPr="000F51DD">
              <w:rPr>
                <w:rFonts w:ascii="Franklin Gothic Medium" w:eastAsia="Times New Roman" w:hAnsi="Franklin Gothic Medium" w:cs="Times New Roman"/>
                <w:b w:val="0"/>
                <w:szCs w:val="24"/>
              </w:rPr>
              <w:t xml:space="preserve"> </w:t>
            </w:r>
            <w:r w:rsidR="00A335D6">
              <w:rPr>
                <w:rFonts w:ascii="Franklin Gothic Medium" w:eastAsia="Times New Roman" w:hAnsi="Franklin Gothic Medium" w:cs="Times New Roman"/>
                <w:b w:val="0"/>
                <w:szCs w:val="24"/>
              </w:rPr>
              <w:t>June</w:t>
            </w:r>
            <w:r w:rsidR="00185687">
              <w:rPr>
                <w:rFonts w:ascii="Franklin Gothic Medium" w:eastAsia="Times New Roman" w:hAnsi="Franklin Gothic Medium" w:cs="Times New Roman"/>
                <w:b w:val="0"/>
                <w:szCs w:val="24"/>
              </w:rPr>
              <w:t xml:space="preserve"> 2016</w:t>
            </w:r>
          </w:p>
        </w:tc>
      </w:tr>
      <w:tr w:rsidR="0022043F" w:rsidRPr="0022043F" w14:paraId="2EC12113" w14:textId="77777777" w:rsidTr="00F11175">
        <w:trPr>
          <w:cnfStyle w:val="100000000000" w:firstRow="1" w:lastRow="0" w:firstColumn="0" w:lastColumn="0" w:oddVBand="0" w:evenVBand="0" w:oddHBand="0" w:evenHBand="0" w:firstRowFirstColumn="0" w:firstRowLastColumn="0" w:lastRowFirstColumn="0" w:lastRowLastColumn="0"/>
          <w:trHeight w:val="403"/>
          <w:tblHeader/>
          <w:jc w:val="center"/>
        </w:trPr>
        <w:tc>
          <w:tcPr>
            <w:cnfStyle w:val="001000000000" w:firstRow="0" w:lastRow="0" w:firstColumn="1" w:lastColumn="0" w:oddVBand="0" w:evenVBand="0" w:oddHBand="0" w:evenHBand="0" w:firstRowFirstColumn="0" w:firstRowLastColumn="0" w:lastRowFirstColumn="0" w:lastRowLastColumn="0"/>
            <w:tcW w:w="6600" w:type="dxa"/>
            <w:tcBorders>
              <w:top w:val="none" w:sz="0" w:space="0" w:color="auto"/>
              <w:left w:val="none" w:sz="0" w:space="0" w:color="auto"/>
              <w:bottom w:val="single" w:sz="8" w:space="0" w:color="auto"/>
              <w:right w:val="none" w:sz="0" w:space="0" w:color="auto"/>
            </w:tcBorders>
            <w:shd w:val="clear" w:color="auto" w:fill="244061" w:themeFill="accent1" w:themeFillShade="80"/>
            <w:vAlign w:val="bottom"/>
            <w:hideMark/>
          </w:tcPr>
          <w:p w14:paraId="7C981CB0" w14:textId="77777777" w:rsidR="0022043F" w:rsidRPr="000F51DD" w:rsidRDefault="0022043F" w:rsidP="0022043F">
            <w:pPr>
              <w:spacing w:line="240" w:lineRule="auto"/>
              <w:jc w:val="center"/>
              <w:rPr>
                <w:rFonts w:ascii="Franklin Gothic Medium" w:eastAsia="Times New Roman" w:hAnsi="Franklin Gothic Medium" w:cs="Times New Roman"/>
                <w:b w:val="0"/>
                <w:szCs w:val="24"/>
              </w:rPr>
            </w:pPr>
            <w:r w:rsidRPr="000F51DD">
              <w:rPr>
                <w:rFonts w:ascii="Franklin Gothic Medium" w:eastAsia="Times New Roman" w:hAnsi="Franklin Gothic Medium" w:cs="Times New Roman"/>
                <w:b w:val="0"/>
                <w:szCs w:val="24"/>
              </w:rPr>
              <w:t>Standard</w:t>
            </w:r>
          </w:p>
        </w:tc>
        <w:tc>
          <w:tcPr>
            <w:tcW w:w="1211" w:type="dxa"/>
            <w:tcBorders>
              <w:top w:val="none" w:sz="0" w:space="0" w:color="auto"/>
              <w:left w:val="none" w:sz="0" w:space="0" w:color="auto"/>
              <w:bottom w:val="single" w:sz="8" w:space="0" w:color="auto"/>
              <w:right w:val="none" w:sz="0" w:space="0" w:color="auto"/>
            </w:tcBorders>
            <w:shd w:val="clear" w:color="auto" w:fill="244061" w:themeFill="accent1" w:themeFillShade="80"/>
            <w:vAlign w:val="bottom"/>
            <w:hideMark/>
          </w:tcPr>
          <w:p w14:paraId="72918ADD" w14:textId="601BDD1E" w:rsidR="0022043F" w:rsidRPr="000F51DD" w:rsidRDefault="0022043F" w:rsidP="0022043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Cs w:val="24"/>
              </w:rPr>
            </w:pPr>
            <w:r w:rsidRPr="000F51DD">
              <w:rPr>
                <w:rFonts w:ascii="Franklin Gothic Medium" w:eastAsia="Times New Roman" w:hAnsi="Franklin Gothic Medium" w:cs="Times New Roman"/>
                <w:b w:val="0"/>
                <w:szCs w:val="24"/>
              </w:rPr>
              <w:t>Number</w:t>
            </w:r>
            <w:r w:rsidR="00064904" w:rsidRPr="000F51DD">
              <w:rPr>
                <w:rFonts w:ascii="Franklin Gothic Medium" w:eastAsia="Times New Roman" w:hAnsi="Franklin Gothic Medium" w:cs="Times New Roman"/>
                <w:b w:val="0"/>
                <w:szCs w:val="24"/>
              </w:rPr>
              <w:t xml:space="preserve"> Reviewed</w:t>
            </w:r>
          </w:p>
        </w:tc>
        <w:tc>
          <w:tcPr>
            <w:tcW w:w="1011" w:type="dxa"/>
            <w:tcBorders>
              <w:top w:val="none" w:sz="0" w:space="0" w:color="auto"/>
              <w:left w:val="none" w:sz="0" w:space="0" w:color="auto"/>
              <w:bottom w:val="single" w:sz="8" w:space="0" w:color="auto"/>
              <w:right w:val="none" w:sz="0" w:space="0" w:color="auto"/>
            </w:tcBorders>
            <w:shd w:val="clear" w:color="auto" w:fill="244061" w:themeFill="accent1" w:themeFillShade="80"/>
            <w:vAlign w:val="bottom"/>
            <w:hideMark/>
          </w:tcPr>
          <w:p w14:paraId="548934F3" w14:textId="77777777" w:rsidR="0022043F" w:rsidRPr="000F51DD" w:rsidRDefault="0022043F" w:rsidP="0022043F">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Cs w:val="24"/>
              </w:rPr>
            </w:pPr>
            <w:r w:rsidRPr="000F51DD">
              <w:rPr>
                <w:rFonts w:ascii="Franklin Gothic Medium" w:eastAsia="Times New Roman" w:hAnsi="Franklin Gothic Medium" w:cs="Times New Roman"/>
                <w:b w:val="0"/>
                <w:szCs w:val="24"/>
              </w:rPr>
              <w:t>Percent Met</w:t>
            </w:r>
          </w:p>
        </w:tc>
      </w:tr>
      <w:tr w:rsidR="00B21820" w:rsidRPr="001861E4" w14:paraId="76DB0C80" w14:textId="77777777" w:rsidTr="00B21820">
        <w:trPr>
          <w:cnfStyle w:val="000000100000" w:firstRow="0" w:lastRow="0" w:firstColumn="0" w:lastColumn="0" w:oddVBand="0" w:evenVBand="0" w:oddHBand="1" w:evenHBand="0"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421EA4BA" w14:textId="1FB02D6D"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Level of care is reevaluated at least every 365 days and contains all required components for billing.</w:t>
            </w:r>
          </w:p>
        </w:tc>
        <w:tc>
          <w:tcPr>
            <w:tcW w:w="1211" w:type="dxa"/>
            <w:tcBorders>
              <w:left w:val="none" w:sz="0" w:space="0" w:color="auto"/>
              <w:right w:val="none" w:sz="0" w:space="0" w:color="auto"/>
            </w:tcBorders>
            <w:shd w:val="clear" w:color="auto" w:fill="B8CCE4" w:themeFill="accent1" w:themeFillTint="66"/>
            <w:vAlign w:val="center"/>
            <w:hideMark/>
          </w:tcPr>
          <w:p w14:paraId="2CA250B5" w14:textId="4EA356A6"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150</w:t>
            </w:r>
          </w:p>
        </w:tc>
        <w:tc>
          <w:tcPr>
            <w:tcW w:w="1011" w:type="dxa"/>
            <w:tcBorders>
              <w:left w:val="none" w:sz="0" w:space="0" w:color="auto"/>
            </w:tcBorders>
            <w:shd w:val="clear" w:color="auto" w:fill="B8CCE4" w:themeFill="accent1" w:themeFillTint="66"/>
            <w:vAlign w:val="center"/>
            <w:hideMark/>
          </w:tcPr>
          <w:p w14:paraId="69FF0120" w14:textId="0FFFD68A"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99.3%</w:t>
            </w:r>
          </w:p>
        </w:tc>
      </w:tr>
      <w:tr w:rsidR="00B21820" w:rsidRPr="001861E4" w14:paraId="71AFEE4B" w14:textId="77777777" w:rsidTr="00B21820">
        <w:trPr>
          <w:cnfStyle w:val="000000010000" w:firstRow="0" w:lastRow="0" w:firstColumn="0" w:lastColumn="0" w:oddVBand="0" w:evenVBand="0" w:oddHBand="0" w:evenHBand="1"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4C7B8F92" w14:textId="5E01833E"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Level of care is reevaluated at least every 365 days and contains all required components for compliance.</w:t>
            </w:r>
          </w:p>
        </w:tc>
        <w:tc>
          <w:tcPr>
            <w:tcW w:w="1211" w:type="dxa"/>
            <w:tcBorders>
              <w:left w:val="none" w:sz="0" w:space="0" w:color="auto"/>
              <w:bottom w:val="single" w:sz="8" w:space="0" w:color="auto"/>
              <w:right w:val="none" w:sz="0" w:space="0" w:color="auto"/>
            </w:tcBorders>
            <w:vAlign w:val="center"/>
            <w:hideMark/>
          </w:tcPr>
          <w:p w14:paraId="3B3FC4A8" w14:textId="068469F8"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148</w:t>
            </w:r>
          </w:p>
        </w:tc>
        <w:tc>
          <w:tcPr>
            <w:tcW w:w="1011" w:type="dxa"/>
            <w:tcBorders>
              <w:left w:val="none" w:sz="0" w:space="0" w:color="auto"/>
              <w:bottom w:val="single" w:sz="8" w:space="0" w:color="auto"/>
            </w:tcBorders>
            <w:vAlign w:val="center"/>
            <w:hideMark/>
          </w:tcPr>
          <w:p w14:paraId="18683B19" w14:textId="16DD4B7E"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98.7%</w:t>
            </w:r>
          </w:p>
        </w:tc>
      </w:tr>
      <w:tr w:rsidR="00B21820" w:rsidRPr="001861E4" w14:paraId="7CDB022B" w14:textId="77777777" w:rsidTr="00B21820">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0555A6A4" w14:textId="73C765EC"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Level of care is completed accurately using the correct instrument/form.</w:t>
            </w:r>
          </w:p>
        </w:tc>
        <w:tc>
          <w:tcPr>
            <w:tcW w:w="1211" w:type="dxa"/>
            <w:tcBorders>
              <w:left w:val="none" w:sz="0" w:space="0" w:color="auto"/>
              <w:right w:val="none" w:sz="0" w:space="0" w:color="auto"/>
            </w:tcBorders>
            <w:shd w:val="clear" w:color="auto" w:fill="B8CCE4" w:themeFill="accent1" w:themeFillTint="66"/>
            <w:vAlign w:val="center"/>
            <w:hideMark/>
          </w:tcPr>
          <w:p w14:paraId="41E68A90" w14:textId="71FCC831"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142</w:t>
            </w:r>
          </w:p>
        </w:tc>
        <w:tc>
          <w:tcPr>
            <w:tcW w:w="1011" w:type="dxa"/>
            <w:tcBorders>
              <w:left w:val="none" w:sz="0" w:space="0" w:color="auto"/>
            </w:tcBorders>
            <w:shd w:val="clear" w:color="auto" w:fill="B8CCE4" w:themeFill="accent1" w:themeFillTint="66"/>
            <w:vAlign w:val="center"/>
            <w:hideMark/>
          </w:tcPr>
          <w:p w14:paraId="445E9DDD" w14:textId="4AA55A83"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94.0%</w:t>
            </w:r>
          </w:p>
        </w:tc>
      </w:tr>
      <w:tr w:rsidR="00B21820" w:rsidRPr="001861E4" w14:paraId="3D62C0DC" w14:textId="77777777" w:rsidTr="00B21820">
        <w:trPr>
          <w:cnfStyle w:val="000000010000" w:firstRow="0" w:lastRow="0" w:firstColumn="0" w:lastColumn="0" w:oddVBand="0" w:evenVBand="0" w:oddHBand="0" w:evenHBand="1"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78EF387C" w14:textId="6696CF01"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Person receiving services is given a choice of waiver services or institutional care at least annually.</w:t>
            </w:r>
          </w:p>
        </w:tc>
        <w:tc>
          <w:tcPr>
            <w:tcW w:w="1211" w:type="dxa"/>
            <w:tcBorders>
              <w:left w:val="none" w:sz="0" w:space="0" w:color="auto"/>
              <w:bottom w:val="single" w:sz="8" w:space="0" w:color="auto"/>
              <w:right w:val="none" w:sz="0" w:space="0" w:color="auto"/>
            </w:tcBorders>
            <w:vAlign w:val="center"/>
            <w:hideMark/>
          </w:tcPr>
          <w:p w14:paraId="0C56D979" w14:textId="1BF91794"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149</w:t>
            </w:r>
          </w:p>
        </w:tc>
        <w:tc>
          <w:tcPr>
            <w:tcW w:w="1011" w:type="dxa"/>
            <w:tcBorders>
              <w:left w:val="none" w:sz="0" w:space="0" w:color="auto"/>
              <w:bottom w:val="single" w:sz="8" w:space="0" w:color="auto"/>
            </w:tcBorders>
            <w:vAlign w:val="center"/>
            <w:hideMark/>
          </w:tcPr>
          <w:p w14:paraId="7AE1A423" w14:textId="2A0F0430"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98.7%</w:t>
            </w:r>
          </w:p>
        </w:tc>
      </w:tr>
      <w:tr w:rsidR="00B21820" w:rsidRPr="001861E4" w14:paraId="1E544DA1" w14:textId="77777777" w:rsidTr="00B21820">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108D9237" w14:textId="127996F9"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Support Plan is updated within 12 months of the person's last Support Plan.</w:t>
            </w:r>
          </w:p>
        </w:tc>
        <w:tc>
          <w:tcPr>
            <w:tcW w:w="1211" w:type="dxa"/>
            <w:tcBorders>
              <w:left w:val="none" w:sz="0" w:space="0" w:color="auto"/>
              <w:right w:val="none" w:sz="0" w:space="0" w:color="auto"/>
            </w:tcBorders>
            <w:shd w:val="clear" w:color="auto" w:fill="B8CCE4" w:themeFill="accent1" w:themeFillTint="66"/>
            <w:vAlign w:val="center"/>
            <w:hideMark/>
          </w:tcPr>
          <w:p w14:paraId="222EF6BD" w14:textId="00C88F1A"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148</w:t>
            </w:r>
          </w:p>
        </w:tc>
        <w:tc>
          <w:tcPr>
            <w:tcW w:w="1011" w:type="dxa"/>
            <w:tcBorders>
              <w:left w:val="none" w:sz="0" w:space="0" w:color="auto"/>
            </w:tcBorders>
            <w:shd w:val="clear" w:color="auto" w:fill="B8CCE4" w:themeFill="accent1" w:themeFillTint="66"/>
            <w:vAlign w:val="center"/>
            <w:hideMark/>
          </w:tcPr>
          <w:p w14:paraId="7EBC7152" w14:textId="45995C81"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99.3%</w:t>
            </w:r>
          </w:p>
        </w:tc>
      </w:tr>
      <w:tr w:rsidR="00B21820" w:rsidRPr="001861E4" w14:paraId="44665D04" w14:textId="77777777" w:rsidTr="00B21820">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2332D01D" w14:textId="26926554"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current Annual Report is in the record.</w:t>
            </w:r>
          </w:p>
        </w:tc>
        <w:tc>
          <w:tcPr>
            <w:tcW w:w="1211" w:type="dxa"/>
            <w:tcBorders>
              <w:left w:val="none" w:sz="0" w:space="0" w:color="auto"/>
              <w:bottom w:val="single" w:sz="8" w:space="0" w:color="auto"/>
              <w:right w:val="none" w:sz="0" w:space="0" w:color="auto"/>
            </w:tcBorders>
            <w:vAlign w:val="center"/>
            <w:hideMark/>
          </w:tcPr>
          <w:p w14:paraId="6F66ABF8" w14:textId="3EFD6D4B"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132</w:t>
            </w:r>
          </w:p>
        </w:tc>
        <w:tc>
          <w:tcPr>
            <w:tcW w:w="1011" w:type="dxa"/>
            <w:tcBorders>
              <w:left w:val="none" w:sz="0" w:space="0" w:color="auto"/>
              <w:bottom w:val="single" w:sz="8" w:space="0" w:color="auto"/>
            </w:tcBorders>
            <w:vAlign w:val="center"/>
            <w:hideMark/>
          </w:tcPr>
          <w:p w14:paraId="50E03537" w14:textId="690F9DC1"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89.2%</w:t>
            </w:r>
          </w:p>
        </w:tc>
      </w:tr>
      <w:tr w:rsidR="00B21820" w:rsidRPr="001861E4" w14:paraId="4C0E6CCE" w14:textId="77777777" w:rsidTr="00B21820">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260B3AB8" w14:textId="34279735"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Support Plan is updated and revised when warranted by changes in the needs.</w:t>
            </w:r>
          </w:p>
        </w:tc>
        <w:tc>
          <w:tcPr>
            <w:tcW w:w="1211" w:type="dxa"/>
            <w:tcBorders>
              <w:left w:val="none" w:sz="0" w:space="0" w:color="auto"/>
              <w:right w:val="none" w:sz="0" w:space="0" w:color="auto"/>
            </w:tcBorders>
            <w:shd w:val="clear" w:color="auto" w:fill="B8CCE4" w:themeFill="accent1" w:themeFillTint="66"/>
            <w:vAlign w:val="center"/>
            <w:hideMark/>
          </w:tcPr>
          <w:p w14:paraId="17D87DA3" w14:textId="583C64F8"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60</w:t>
            </w:r>
          </w:p>
        </w:tc>
        <w:tc>
          <w:tcPr>
            <w:tcW w:w="1011" w:type="dxa"/>
            <w:tcBorders>
              <w:left w:val="none" w:sz="0" w:space="0" w:color="auto"/>
            </w:tcBorders>
            <w:shd w:val="clear" w:color="auto" w:fill="B8CCE4" w:themeFill="accent1" w:themeFillTint="66"/>
            <w:vAlign w:val="center"/>
            <w:hideMark/>
          </w:tcPr>
          <w:p w14:paraId="6758930E" w14:textId="640346DD"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100.0%</w:t>
            </w:r>
          </w:p>
        </w:tc>
      </w:tr>
      <w:tr w:rsidR="00B21820" w:rsidRPr="001861E4" w14:paraId="70AE152C" w14:textId="77777777" w:rsidTr="00B21820">
        <w:trPr>
          <w:cnfStyle w:val="000000010000" w:firstRow="0" w:lastRow="0" w:firstColumn="0" w:lastColumn="0" w:oddVBand="0" w:evenVBand="0" w:oddHBand="0" w:evenHBand="1"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60710A2D" w14:textId="2C572976"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Consultant documents the Support Plan is provided to the person or the legal representative, within 10 days of the Support Plan effective date.</w:t>
            </w:r>
          </w:p>
        </w:tc>
        <w:tc>
          <w:tcPr>
            <w:tcW w:w="1211" w:type="dxa"/>
            <w:tcBorders>
              <w:left w:val="none" w:sz="0" w:space="0" w:color="auto"/>
              <w:bottom w:val="single" w:sz="8" w:space="0" w:color="auto"/>
              <w:right w:val="none" w:sz="0" w:space="0" w:color="auto"/>
            </w:tcBorders>
            <w:vAlign w:val="center"/>
            <w:hideMark/>
          </w:tcPr>
          <w:p w14:paraId="6BA05D67" w14:textId="79EB7EC0"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148</w:t>
            </w:r>
          </w:p>
        </w:tc>
        <w:tc>
          <w:tcPr>
            <w:tcW w:w="1011" w:type="dxa"/>
            <w:tcBorders>
              <w:left w:val="none" w:sz="0" w:space="0" w:color="auto"/>
              <w:bottom w:val="single" w:sz="8" w:space="0" w:color="auto"/>
            </w:tcBorders>
            <w:vAlign w:val="center"/>
            <w:hideMark/>
          </w:tcPr>
          <w:p w14:paraId="022C1855" w14:textId="420F7DD7"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100.0%</w:t>
            </w:r>
          </w:p>
        </w:tc>
      </w:tr>
      <w:tr w:rsidR="00B21820" w:rsidRPr="001861E4" w14:paraId="20F31213" w14:textId="77777777" w:rsidTr="00B21820">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616F1DD7" w14:textId="65B0558E"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Consultant documentation demonstrates a copy of the Support Plan is provided to all service providers within 30 calendar days of the Support Plan effective date.</w:t>
            </w:r>
          </w:p>
        </w:tc>
        <w:tc>
          <w:tcPr>
            <w:tcW w:w="1211" w:type="dxa"/>
            <w:tcBorders>
              <w:left w:val="none" w:sz="0" w:space="0" w:color="auto"/>
              <w:right w:val="none" w:sz="0" w:space="0" w:color="auto"/>
            </w:tcBorders>
            <w:shd w:val="clear" w:color="auto" w:fill="B8CCE4" w:themeFill="accent1" w:themeFillTint="66"/>
            <w:vAlign w:val="center"/>
            <w:hideMark/>
          </w:tcPr>
          <w:p w14:paraId="7ED89E3D" w14:textId="3A6614A6"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114</w:t>
            </w:r>
          </w:p>
        </w:tc>
        <w:tc>
          <w:tcPr>
            <w:tcW w:w="1011" w:type="dxa"/>
            <w:tcBorders>
              <w:left w:val="none" w:sz="0" w:space="0" w:color="auto"/>
            </w:tcBorders>
            <w:shd w:val="clear" w:color="auto" w:fill="B8CCE4" w:themeFill="accent1" w:themeFillTint="66"/>
            <w:vAlign w:val="center"/>
            <w:hideMark/>
          </w:tcPr>
          <w:p w14:paraId="573B81E5" w14:textId="335E0DD9"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95.8%</w:t>
            </w:r>
          </w:p>
        </w:tc>
      </w:tr>
      <w:tr w:rsidR="00B21820" w:rsidRPr="001861E4" w14:paraId="0C29D0AE" w14:textId="77777777" w:rsidTr="00B21820">
        <w:trPr>
          <w:cnfStyle w:val="000000010000" w:firstRow="0" w:lastRow="0" w:firstColumn="0" w:lastColumn="0" w:oddVBand="0" w:evenVBand="0" w:oddHBand="0" w:evenHBand="1"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28091B40" w14:textId="45A8A076"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Support Plan includes supports and services consistent with assessed needs.</w:t>
            </w:r>
          </w:p>
        </w:tc>
        <w:tc>
          <w:tcPr>
            <w:tcW w:w="1211" w:type="dxa"/>
            <w:tcBorders>
              <w:left w:val="none" w:sz="0" w:space="0" w:color="auto"/>
              <w:bottom w:val="single" w:sz="8" w:space="0" w:color="auto"/>
              <w:right w:val="none" w:sz="0" w:space="0" w:color="auto"/>
            </w:tcBorders>
            <w:vAlign w:val="center"/>
            <w:hideMark/>
          </w:tcPr>
          <w:p w14:paraId="00673082" w14:textId="2D7CF95E"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144</w:t>
            </w:r>
          </w:p>
        </w:tc>
        <w:tc>
          <w:tcPr>
            <w:tcW w:w="1011" w:type="dxa"/>
            <w:tcBorders>
              <w:left w:val="none" w:sz="0" w:space="0" w:color="auto"/>
              <w:bottom w:val="single" w:sz="8" w:space="0" w:color="auto"/>
            </w:tcBorders>
            <w:vAlign w:val="center"/>
            <w:hideMark/>
          </w:tcPr>
          <w:p w14:paraId="11BC9EEE" w14:textId="307F083A"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99.3%</w:t>
            </w:r>
          </w:p>
        </w:tc>
      </w:tr>
      <w:tr w:rsidR="00B21820" w:rsidRPr="001861E4" w14:paraId="117BA537" w14:textId="77777777" w:rsidTr="00B21820">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3B37583E" w14:textId="62E47933"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Support Plan reflects support and services necessary to address assessed risks.</w:t>
            </w:r>
          </w:p>
        </w:tc>
        <w:tc>
          <w:tcPr>
            <w:tcW w:w="1211" w:type="dxa"/>
            <w:tcBorders>
              <w:left w:val="none" w:sz="0" w:space="0" w:color="auto"/>
              <w:right w:val="none" w:sz="0" w:space="0" w:color="auto"/>
            </w:tcBorders>
            <w:shd w:val="clear" w:color="auto" w:fill="B8CCE4" w:themeFill="accent1" w:themeFillTint="66"/>
            <w:vAlign w:val="center"/>
            <w:hideMark/>
          </w:tcPr>
          <w:p w14:paraId="554114ED" w14:textId="795DA3BA"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142</w:t>
            </w:r>
          </w:p>
        </w:tc>
        <w:tc>
          <w:tcPr>
            <w:tcW w:w="1011" w:type="dxa"/>
            <w:tcBorders>
              <w:left w:val="none" w:sz="0" w:space="0" w:color="auto"/>
            </w:tcBorders>
            <w:shd w:val="clear" w:color="auto" w:fill="B8CCE4" w:themeFill="accent1" w:themeFillTint="66"/>
            <w:vAlign w:val="center"/>
            <w:hideMark/>
          </w:tcPr>
          <w:p w14:paraId="3CCCA250" w14:textId="120DC649"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100.0%</w:t>
            </w:r>
          </w:p>
        </w:tc>
      </w:tr>
      <w:tr w:rsidR="00B21820" w:rsidRPr="001861E4" w14:paraId="58D96EB9" w14:textId="77777777" w:rsidTr="00B21820">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4F7DF3C4" w14:textId="362FC402"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Support Plan includes a current Safety Plan.</w:t>
            </w:r>
          </w:p>
        </w:tc>
        <w:tc>
          <w:tcPr>
            <w:tcW w:w="1211" w:type="dxa"/>
            <w:tcBorders>
              <w:left w:val="none" w:sz="0" w:space="0" w:color="auto"/>
              <w:bottom w:val="single" w:sz="8" w:space="0" w:color="auto"/>
              <w:right w:val="none" w:sz="0" w:space="0" w:color="auto"/>
            </w:tcBorders>
            <w:vAlign w:val="center"/>
            <w:hideMark/>
          </w:tcPr>
          <w:p w14:paraId="2DFD764E" w14:textId="06DA16BC"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2</w:t>
            </w:r>
          </w:p>
        </w:tc>
        <w:tc>
          <w:tcPr>
            <w:tcW w:w="1011" w:type="dxa"/>
            <w:tcBorders>
              <w:left w:val="none" w:sz="0" w:space="0" w:color="auto"/>
              <w:bottom w:val="single" w:sz="8" w:space="0" w:color="auto"/>
            </w:tcBorders>
            <w:vAlign w:val="center"/>
            <w:hideMark/>
          </w:tcPr>
          <w:p w14:paraId="6FB0487A" w14:textId="5890DB59"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100.0%</w:t>
            </w:r>
          </w:p>
        </w:tc>
      </w:tr>
      <w:tr w:rsidR="00B21820" w:rsidRPr="001861E4" w14:paraId="6E173571" w14:textId="77777777" w:rsidTr="00B2182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28799988" w14:textId="19F3F504"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Support Plan reflects the personal goals of the person.</w:t>
            </w:r>
          </w:p>
        </w:tc>
        <w:tc>
          <w:tcPr>
            <w:tcW w:w="1211" w:type="dxa"/>
            <w:tcBorders>
              <w:left w:val="none" w:sz="0" w:space="0" w:color="auto"/>
              <w:right w:val="none" w:sz="0" w:space="0" w:color="auto"/>
            </w:tcBorders>
            <w:shd w:val="clear" w:color="auto" w:fill="B8CCE4" w:themeFill="accent1" w:themeFillTint="66"/>
            <w:vAlign w:val="center"/>
            <w:hideMark/>
          </w:tcPr>
          <w:p w14:paraId="5C03C694" w14:textId="3AD661FB"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149</w:t>
            </w:r>
          </w:p>
        </w:tc>
        <w:tc>
          <w:tcPr>
            <w:tcW w:w="1011" w:type="dxa"/>
            <w:tcBorders>
              <w:left w:val="none" w:sz="0" w:space="0" w:color="auto"/>
            </w:tcBorders>
            <w:shd w:val="clear" w:color="auto" w:fill="B8CCE4" w:themeFill="accent1" w:themeFillTint="66"/>
            <w:vAlign w:val="center"/>
            <w:hideMark/>
          </w:tcPr>
          <w:p w14:paraId="17E6033F" w14:textId="4E55BA5F"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99.3%</w:t>
            </w:r>
          </w:p>
        </w:tc>
      </w:tr>
      <w:tr w:rsidR="00B21820" w:rsidRPr="001861E4" w14:paraId="0EF2245E" w14:textId="77777777" w:rsidTr="00B21820">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0B6A1AAD" w14:textId="53A0AA20"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current Support Plan includes natural, generic, community and paid supports for the person.</w:t>
            </w:r>
          </w:p>
        </w:tc>
        <w:tc>
          <w:tcPr>
            <w:tcW w:w="1211" w:type="dxa"/>
            <w:tcBorders>
              <w:left w:val="none" w:sz="0" w:space="0" w:color="auto"/>
              <w:bottom w:val="single" w:sz="8" w:space="0" w:color="auto"/>
              <w:right w:val="none" w:sz="0" w:space="0" w:color="auto"/>
            </w:tcBorders>
            <w:vAlign w:val="center"/>
            <w:hideMark/>
          </w:tcPr>
          <w:p w14:paraId="008E249C" w14:textId="0CCA7FDE"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148</w:t>
            </w:r>
          </w:p>
        </w:tc>
        <w:tc>
          <w:tcPr>
            <w:tcW w:w="1011" w:type="dxa"/>
            <w:tcBorders>
              <w:left w:val="none" w:sz="0" w:space="0" w:color="auto"/>
              <w:bottom w:val="single" w:sz="8" w:space="0" w:color="auto"/>
            </w:tcBorders>
            <w:vAlign w:val="center"/>
            <w:hideMark/>
          </w:tcPr>
          <w:p w14:paraId="681F2C44" w14:textId="1B0A58A4"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99.3%</w:t>
            </w:r>
          </w:p>
        </w:tc>
      </w:tr>
      <w:tr w:rsidR="00B21820" w:rsidRPr="001861E4" w14:paraId="1A185711" w14:textId="77777777" w:rsidTr="00B21820">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7A69EC28" w14:textId="08C36462"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Services are delivered in accordance with the Cost Plan.</w:t>
            </w:r>
          </w:p>
        </w:tc>
        <w:tc>
          <w:tcPr>
            <w:tcW w:w="1211" w:type="dxa"/>
            <w:tcBorders>
              <w:left w:val="none" w:sz="0" w:space="0" w:color="auto"/>
              <w:right w:val="none" w:sz="0" w:space="0" w:color="auto"/>
            </w:tcBorders>
            <w:shd w:val="clear" w:color="auto" w:fill="B8CCE4" w:themeFill="accent1" w:themeFillTint="66"/>
            <w:vAlign w:val="center"/>
            <w:hideMark/>
          </w:tcPr>
          <w:p w14:paraId="4C95BBB5" w14:textId="0A06620D"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151</w:t>
            </w:r>
          </w:p>
        </w:tc>
        <w:tc>
          <w:tcPr>
            <w:tcW w:w="1011" w:type="dxa"/>
            <w:tcBorders>
              <w:left w:val="none" w:sz="0" w:space="0" w:color="auto"/>
            </w:tcBorders>
            <w:shd w:val="clear" w:color="auto" w:fill="B8CCE4" w:themeFill="accent1" w:themeFillTint="66"/>
            <w:vAlign w:val="center"/>
            <w:hideMark/>
          </w:tcPr>
          <w:p w14:paraId="274EEE4A" w14:textId="4D904B68"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100.0%</w:t>
            </w:r>
          </w:p>
        </w:tc>
      </w:tr>
      <w:tr w:rsidR="00B21820" w:rsidRPr="001861E4" w14:paraId="61E4C69C" w14:textId="77777777" w:rsidTr="00B21820">
        <w:trPr>
          <w:cnfStyle w:val="000000010000" w:firstRow="0" w:lastRow="0" w:firstColumn="0" w:lastColumn="0" w:oddVBand="0" w:evenVBand="0" w:oddHBand="0" w:evenHBand="1"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32D0D3E9" w14:textId="5F9099A0"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Consultant is in compliance with billing procedures and the Medicaid Waiver Services Agreement.</w:t>
            </w:r>
          </w:p>
        </w:tc>
        <w:tc>
          <w:tcPr>
            <w:tcW w:w="1211" w:type="dxa"/>
            <w:tcBorders>
              <w:left w:val="none" w:sz="0" w:space="0" w:color="auto"/>
              <w:bottom w:val="single" w:sz="8" w:space="0" w:color="auto"/>
              <w:right w:val="none" w:sz="0" w:space="0" w:color="auto"/>
            </w:tcBorders>
            <w:vAlign w:val="center"/>
            <w:hideMark/>
          </w:tcPr>
          <w:p w14:paraId="105E55FB" w14:textId="1317F358"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150</w:t>
            </w:r>
          </w:p>
        </w:tc>
        <w:tc>
          <w:tcPr>
            <w:tcW w:w="1011" w:type="dxa"/>
            <w:tcBorders>
              <w:left w:val="none" w:sz="0" w:space="0" w:color="auto"/>
              <w:bottom w:val="single" w:sz="8" w:space="0" w:color="auto"/>
            </w:tcBorders>
            <w:vAlign w:val="center"/>
            <w:hideMark/>
          </w:tcPr>
          <w:p w14:paraId="0E154AD7" w14:textId="485FFB90"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100.0%</w:t>
            </w:r>
          </w:p>
        </w:tc>
      </w:tr>
      <w:tr w:rsidR="00B21820" w:rsidRPr="001861E4" w14:paraId="2788DB07" w14:textId="77777777" w:rsidTr="00B21820">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20A44AD5" w14:textId="3E8F483B"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Consultant bills for services only after service is rendered</w:t>
            </w:r>
          </w:p>
        </w:tc>
        <w:tc>
          <w:tcPr>
            <w:tcW w:w="1211" w:type="dxa"/>
            <w:tcBorders>
              <w:left w:val="none" w:sz="0" w:space="0" w:color="auto"/>
              <w:right w:val="none" w:sz="0" w:space="0" w:color="auto"/>
            </w:tcBorders>
            <w:shd w:val="clear" w:color="auto" w:fill="B8CCE4" w:themeFill="accent1" w:themeFillTint="66"/>
            <w:vAlign w:val="center"/>
            <w:hideMark/>
          </w:tcPr>
          <w:p w14:paraId="59D78007" w14:textId="08966734"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149</w:t>
            </w:r>
          </w:p>
        </w:tc>
        <w:tc>
          <w:tcPr>
            <w:tcW w:w="1011" w:type="dxa"/>
            <w:tcBorders>
              <w:left w:val="none" w:sz="0" w:space="0" w:color="auto"/>
            </w:tcBorders>
            <w:shd w:val="clear" w:color="auto" w:fill="B8CCE4" w:themeFill="accent1" w:themeFillTint="66"/>
            <w:vAlign w:val="center"/>
            <w:hideMark/>
          </w:tcPr>
          <w:p w14:paraId="3B5784A7" w14:textId="1F39F79D"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98.7%</w:t>
            </w:r>
          </w:p>
        </w:tc>
      </w:tr>
      <w:tr w:rsidR="00B21820" w:rsidRPr="001861E4" w14:paraId="36734C02" w14:textId="77777777" w:rsidTr="00B21820">
        <w:trPr>
          <w:cnfStyle w:val="000000010000" w:firstRow="0" w:lastRow="0" w:firstColumn="0" w:lastColumn="0" w:oddVBand="0" w:evenVBand="0" w:oddHBand="0" w:evenHBand="1" w:firstRowFirstColumn="0" w:firstRowLastColumn="0" w:lastRowFirstColumn="0" w:lastRowLastColumn="0"/>
          <w:trHeight w:val="394"/>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484765A6" w14:textId="66C9633F"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Participant Monthly Review forms &amp; Progress Notes reflecting required monthly contact/activities are filed in the Participant's record prior to billing each month.</w:t>
            </w:r>
          </w:p>
        </w:tc>
        <w:tc>
          <w:tcPr>
            <w:tcW w:w="1211" w:type="dxa"/>
            <w:tcBorders>
              <w:left w:val="none" w:sz="0" w:space="0" w:color="auto"/>
              <w:bottom w:val="single" w:sz="8" w:space="0" w:color="auto"/>
              <w:right w:val="none" w:sz="0" w:space="0" w:color="auto"/>
            </w:tcBorders>
            <w:vAlign w:val="center"/>
            <w:hideMark/>
          </w:tcPr>
          <w:p w14:paraId="76135D6E" w14:textId="72E59BB0"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149</w:t>
            </w:r>
          </w:p>
        </w:tc>
        <w:tc>
          <w:tcPr>
            <w:tcW w:w="1011" w:type="dxa"/>
            <w:tcBorders>
              <w:left w:val="none" w:sz="0" w:space="0" w:color="auto"/>
              <w:bottom w:val="single" w:sz="8" w:space="0" w:color="auto"/>
            </w:tcBorders>
            <w:vAlign w:val="center"/>
            <w:hideMark/>
          </w:tcPr>
          <w:p w14:paraId="5FF433C7" w14:textId="2CE8E5C3"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98.7%</w:t>
            </w:r>
          </w:p>
        </w:tc>
      </w:tr>
      <w:tr w:rsidR="00B21820" w:rsidRPr="001861E4" w14:paraId="2BCB185A" w14:textId="77777777" w:rsidTr="00B21820">
        <w:trPr>
          <w:cnfStyle w:val="000000100000" w:firstRow="0" w:lastRow="0" w:firstColumn="0" w:lastColumn="0" w:oddVBand="0" w:evenVBand="0" w:oddHBand="1"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0037C617" w14:textId="51152F55"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Consultant documents efforts to assist the person/legal representative to know about rights on an ongoing basis.</w:t>
            </w:r>
          </w:p>
        </w:tc>
        <w:tc>
          <w:tcPr>
            <w:tcW w:w="1211" w:type="dxa"/>
            <w:tcBorders>
              <w:left w:val="none" w:sz="0" w:space="0" w:color="auto"/>
              <w:right w:val="none" w:sz="0" w:space="0" w:color="auto"/>
            </w:tcBorders>
            <w:shd w:val="clear" w:color="auto" w:fill="B8CCE4" w:themeFill="accent1" w:themeFillTint="66"/>
            <w:vAlign w:val="center"/>
            <w:hideMark/>
          </w:tcPr>
          <w:p w14:paraId="76B72044" w14:textId="43706544"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145</w:t>
            </w:r>
          </w:p>
        </w:tc>
        <w:tc>
          <w:tcPr>
            <w:tcW w:w="1011" w:type="dxa"/>
            <w:tcBorders>
              <w:left w:val="none" w:sz="0" w:space="0" w:color="auto"/>
            </w:tcBorders>
            <w:shd w:val="clear" w:color="auto" w:fill="B8CCE4" w:themeFill="accent1" w:themeFillTint="66"/>
            <w:vAlign w:val="center"/>
            <w:hideMark/>
          </w:tcPr>
          <w:p w14:paraId="6A5DCE95" w14:textId="28E33D1D"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96.0%</w:t>
            </w:r>
          </w:p>
        </w:tc>
      </w:tr>
      <w:tr w:rsidR="00B21820" w:rsidRPr="001861E4" w14:paraId="55902888" w14:textId="77777777" w:rsidTr="00B21820">
        <w:trPr>
          <w:cnfStyle w:val="000000010000" w:firstRow="0" w:lastRow="0" w:firstColumn="0" w:lastColumn="0" w:oddVBand="0" w:evenVBand="0" w:oddHBand="0" w:evenHBand="1" w:firstRowFirstColumn="0" w:firstRowLastColumn="0" w:lastRowFirstColumn="0" w:lastRowLastColumn="0"/>
          <w:trHeight w:val="448"/>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2971EF97" w14:textId="2412C018"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Consultant documents efforts to ensure the person's health and health care needs are addressed on an ongoing basis.</w:t>
            </w:r>
          </w:p>
        </w:tc>
        <w:tc>
          <w:tcPr>
            <w:tcW w:w="1211" w:type="dxa"/>
            <w:tcBorders>
              <w:left w:val="none" w:sz="0" w:space="0" w:color="auto"/>
              <w:bottom w:val="single" w:sz="8" w:space="0" w:color="auto"/>
              <w:right w:val="none" w:sz="0" w:space="0" w:color="auto"/>
            </w:tcBorders>
            <w:vAlign w:val="center"/>
            <w:hideMark/>
          </w:tcPr>
          <w:p w14:paraId="130144DB" w14:textId="5F45C307"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141</w:t>
            </w:r>
          </w:p>
        </w:tc>
        <w:tc>
          <w:tcPr>
            <w:tcW w:w="1011" w:type="dxa"/>
            <w:tcBorders>
              <w:left w:val="none" w:sz="0" w:space="0" w:color="auto"/>
              <w:bottom w:val="single" w:sz="8" w:space="0" w:color="auto"/>
            </w:tcBorders>
            <w:vAlign w:val="center"/>
            <w:hideMark/>
          </w:tcPr>
          <w:p w14:paraId="32BB4699" w14:textId="4E3F4549"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93.4%</w:t>
            </w:r>
          </w:p>
        </w:tc>
      </w:tr>
      <w:tr w:rsidR="00B21820" w:rsidRPr="001861E4" w14:paraId="0FFDAC68" w14:textId="77777777" w:rsidTr="00B21820">
        <w:trPr>
          <w:cnfStyle w:val="000000100000" w:firstRow="0" w:lastRow="0" w:firstColumn="0" w:lastColumn="0" w:oddVBand="0" w:evenVBand="0" w:oddHBand="1" w:evenHBand="0" w:firstRowFirstColumn="0" w:firstRowLastColumn="0" w:lastRowFirstColumn="0" w:lastRowLastColumn="0"/>
          <w:trHeight w:val="466"/>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166FD827" w14:textId="405ACE41"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Consultant documents efforts to ensure the person's safety needs are addressed on an ongoing basis.</w:t>
            </w:r>
          </w:p>
        </w:tc>
        <w:tc>
          <w:tcPr>
            <w:tcW w:w="1211" w:type="dxa"/>
            <w:tcBorders>
              <w:left w:val="none" w:sz="0" w:space="0" w:color="auto"/>
              <w:right w:val="none" w:sz="0" w:space="0" w:color="auto"/>
            </w:tcBorders>
            <w:shd w:val="clear" w:color="auto" w:fill="B8CCE4" w:themeFill="accent1" w:themeFillTint="66"/>
            <w:vAlign w:val="center"/>
            <w:hideMark/>
          </w:tcPr>
          <w:p w14:paraId="5BC4157A" w14:textId="1CE01882"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143</w:t>
            </w:r>
          </w:p>
        </w:tc>
        <w:tc>
          <w:tcPr>
            <w:tcW w:w="1011" w:type="dxa"/>
            <w:tcBorders>
              <w:left w:val="none" w:sz="0" w:space="0" w:color="auto"/>
            </w:tcBorders>
            <w:shd w:val="clear" w:color="auto" w:fill="B8CCE4" w:themeFill="accent1" w:themeFillTint="66"/>
            <w:vAlign w:val="center"/>
            <w:hideMark/>
          </w:tcPr>
          <w:p w14:paraId="0C78C3D6" w14:textId="4484FFF9"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94.7%</w:t>
            </w:r>
          </w:p>
        </w:tc>
      </w:tr>
      <w:tr w:rsidR="00B21820" w:rsidRPr="001861E4" w14:paraId="32F1181F" w14:textId="77777777" w:rsidTr="00B21820">
        <w:trPr>
          <w:cnfStyle w:val="000000010000" w:firstRow="0" w:lastRow="0" w:firstColumn="0" w:lastColumn="0" w:oddVBand="0" w:evenVBand="0" w:oddHBand="0" w:evenHBand="1" w:firstRowFirstColumn="0" w:firstRowLastColumn="0" w:lastRowFirstColumn="0" w:lastRowLastColumn="0"/>
          <w:trHeight w:val="637"/>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11CBC616" w14:textId="1D8D53EC"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Consultant has a method in place to document information about the person's history regarding abuse, neglect, and/or exploitation on an ongoing basis.</w:t>
            </w:r>
          </w:p>
        </w:tc>
        <w:tc>
          <w:tcPr>
            <w:tcW w:w="1211" w:type="dxa"/>
            <w:tcBorders>
              <w:left w:val="none" w:sz="0" w:space="0" w:color="auto"/>
              <w:bottom w:val="single" w:sz="8" w:space="0" w:color="auto"/>
              <w:right w:val="none" w:sz="0" w:space="0" w:color="auto"/>
            </w:tcBorders>
            <w:vAlign w:val="center"/>
            <w:hideMark/>
          </w:tcPr>
          <w:p w14:paraId="517AE53A" w14:textId="2D172474"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121</w:t>
            </w:r>
          </w:p>
        </w:tc>
        <w:tc>
          <w:tcPr>
            <w:tcW w:w="1011" w:type="dxa"/>
            <w:tcBorders>
              <w:left w:val="none" w:sz="0" w:space="0" w:color="auto"/>
              <w:bottom w:val="single" w:sz="8" w:space="0" w:color="auto"/>
            </w:tcBorders>
            <w:vAlign w:val="center"/>
            <w:hideMark/>
          </w:tcPr>
          <w:p w14:paraId="72B8B47D" w14:textId="49AC6D7F"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95.3%</w:t>
            </w:r>
          </w:p>
        </w:tc>
      </w:tr>
      <w:tr w:rsidR="00B21820" w:rsidRPr="001861E4" w14:paraId="217F7841" w14:textId="77777777" w:rsidTr="00B21820">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663728B6" w14:textId="46621C3C"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Consultant documents efforts to assist the person to define abuse, neglect, and exploitation including how the person would report any incidents on an ongoing basis.</w:t>
            </w:r>
          </w:p>
        </w:tc>
        <w:tc>
          <w:tcPr>
            <w:tcW w:w="1211" w:type="dxa"/>
            <w:tcBorders>
              <w:left w:val="none" w:sz="0" w:space="0" w:color="auto"/>
              <w:right w:val="none" w:sz="0" w:space="0" w:color="auto"/>
            </w:tcBorders>
            <w:shd w:val="clear" w:color="auto" w:fill="B8CCE4" w:themeFill="accent1" w:themeFillTint="66"/>
            <w:vAlign w:val="center"/>
            <w:hideMark/>
          </w:tcPr>
          <w:p w14:paraId="6D21CAF2" w14:textId="270DB141"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134</w:t>
            </w:r>
          </w:p>
        </w:tc>
        <w:tc>
          <w:tcPr>
            <w:tcW w:w="1011" w:type="dxa"/>
            <w:tcBorders>
              <w:left w:val="none" w:sz="0" w:space="0" w:color="auto"/>
            </w:tcBorders>
            <w:shd w:val="clear" w:color="auto" w:fill="B8CCE4" w:themeFill="accent1" w:themeFillTint="66"/>
            <w:vAlign w:val="center"/>
            <w:hideMark/>
          </w:tcPr>
          <w:p w14:paraId="44739748" w14:textId="208ECECC"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88.7%</w:t>
            </w:r>
          </w:p>
        </w:tc>
      </w:tr>
      <w:tr w:rsidR="00B21820" w:rsidRPr="001861E4" w14:paraId="3857DEAC" w14:textId="77777777" w:rsidTr="00B21820">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323519F3" w14:textId="3DF8AA5E"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Completed/signed Participant-Consultant Agreement is in the record.</w:t>
            </w:r>
          </w:p>
        </w:tc>
        <w:tc>
          <w:tcPr>
            <w:tcW w:w="1211" w:type="dxa"/>
            <w:tcBorders>
              <w:left w:val="none" w:sz="0" w:space="0" w:color="auto"/>
              <w:bottom w:val="single" w:sz="8" w:space="0" w:color="auto"/>
              <w:right w:val="none" w:sz="0" w:space="0" w:color="auto"/>
            </w:tcBorders>
            <w:vAlign w:val="center"/>
            <w:hideMark/>
          </w:tcPr>
          <w:p w14:paraId="3A314BEE" w14:textId="1AD866EB"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149</w:t>
            </w:r>
          </w:p>
        </w:tc>
        <w:tc>
          <w:tcPr>
            <w:tcW w:w="1011" w:type="dxa"/>
            <w:tcBorders>
              <w:left w:val="none" w:sz="0" w:space="0" w:color="auto"/>
              <w:bottom w:val="single" w:sz="8" w:space="0" w:color="auto"/>
            </w:tcBorders>
            <w:vAlign w:val="center"/>
            <w:hideMark/>
          </w:tcPr>
          <w:p w14:paraId="103ABC56" w14:textId="0CEB8773"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98.7%</w:t>
            </w:r>
          </w:p>
        </w:tc>
      </w:tr>
      <w:tr w:rsidR="00B21820" w:rsidRPr="001861E4" w14:paraId="095F00FF" w14:textId="77777777" w:rsidTr="00B21820">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1E064580" w14:textId="778030EA"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Completed/signed CDC+ Consent Form is in the record.</w:t>
            </w:r>
          </w:p>
        </w:tc>
        <w:tc>
          <w:tcPr>
            <w:tcW w:w="1211" w:type="dxa"/>
            <w:tcBorders>
              <w:left w:val="none" w:sz="0" w:space="0" w:color="auto"/>
              <w:right w:val="none" w:sz="0" w:space="0" w:color="auto"/>
            </w:tcBorders>
            <w:shd w:val="clear" w:color="auto" w:fill="B8CCE4" w:themeFill="accent1" w:themeFillTint="66"/>
            <w:vAlign w:val="center"/>
            <w:hideMark/>
          </w:tcPr>
          <w:p w14:paraId="71A5113E" w14:textId="2A2D3D13"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149</w:t>
            </w:r>
          </w:p>
        </w:tc>
        <w:tc>
          <w:tcPr>
            <w:tcW w:w="1011" w:type="dxa"/>
            <w:tcBorders>
              <w:left w:val="none" w:sz="0" w:space="0" w:color="auto"/>
            </w:tcBorders>
            <w:shd w:val="clear" w:color="auto" w:fill="B8CCE4" w:themeFill="accent1" w:themeFillTint="66"/>
            <w:vAlign w:val="center"/>
            <w:hideMark/>
          </w:tcPr>
          <w:p w14:paraId="64937E3E" w14:textId="4A529FA5"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98.7%</w:t>
            </w:r>
          </w:p>
        </w:tc>
      </w:tr>
      <w:tr w:rsidR="00B21820" w:rsidRPr="001861E4" w14:paraId="7AFB210F" w14:textId="77777777" w:rsidTr="00B21820">
        <w:trPr>
          <w:cnfStyle w:val="000000010000" w:firstRow="0" w:lastRow="0" w:firstColumn="0" w:lastColumn="0" w:oddVBand="0" w:evenVBand="0" w:oddHBand="0" w:evenHBand="1"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1CB5DC67" w14:textId="4C2F4DBA"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Completed/signed Participant-Representative Agreement is in the record.</w:t>
            </w:r>
          </w:p>
        </w:tc>
        <w:tc>
          <w:tcPr>
            <w:tcW w:w="1211" w:type="dxa"/>
            <w:tcBorders>
              <w:left w:val="none" w:sz="0" w:space="0" w:color="auto"/>
              <w:bottom w:val="single" w:sz="8" w:space="0" w:color="auto"/>
              <w:right w:val="none" w:sz="0" w:space="0" w:color="auto"/>
            </w:tcBorders>
            <w:vAlign w:val="center"/>
            <w:hideMark/>
          </w:tcPr>
          <w:p w14:paraId="07D523E1" w14:textId="067D8CFD"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149</w:t>
            </w:r>
          </w:p>
        </w:tc>
        <w:tc>
          <w:tcPr>
            <w:tcW w:w="1011" w:type="dxa"/>
            <w:tcBorders>
              <w:left w:val="none" w:sz="0" w:space="0" w:color="auto"/>
              <w:bottom w:val="single" w:sz="8" w:space="0" w:color="auto"/>
            </w:tcBorders>
            <w:vAlign w:val="center"/>
            <w:hideMark/>
          </w:tcPr>
          <w:p w14:paraId="16CE14A8" w14:textId="3BE6E635"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99.3%</w:t>
            </w:r>
          </w:p>
        </w:tc>
      </w:tr>
      <w:tr w:rsidR="00B21820" w:rsidRPr="001861E4" w14:paraId="6366B7DB" w14:textId="77777777" w:rsidTr="00B21820">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0F3026DA" w14:textId="337DC189"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All applicable completed/signed Purchasing Plans are in the record.</w:t>
            </w:r>
          </w:p>
        </w:tc>
        <w:tc>
          <w:tcPr>
            <w:tcW w:w="1211" w:type="dxa"/>
            <w:tcBorders>
              <w:left w:val="none" w:sz="0" w:space="0" w:color="auto"/>
              <w:right w:val="none" w:sz="0" w:space="0" w:color="auto"/>
            </w:tcBorders>
            <w:shd w:val="clear" w:color="auto" w:fill="B8CCE4" w:themeFill="accent1" w:themeFillTint="66"/>
            <w:vAlign w:val="center"/>
            <w:hideMark/>
          </w:tcPr>
          <w:p w14:paraId="454F29F9" w14:textId="217CC388"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148</w:t>
            </w:r>
          </w:p>
        </w:tc>
        <w:tc>
          <w:tcPr>
            <w:tcW w:w="1011" w:type="dxa"/>
            <w:tcBorders>
              <w:left w:val="none" w:sz="0" w:space="0" w:color="auto"/>
            </w:tcBorders>
            <w:shd w:val="clear" w:color="auto" w:fill="B8CCE4" w:themeFill="accent1" w:themeFillTint="66"/>
            <w:vAlign w:val="center"/>
            <w:hideMark/>
          </w:tcPr>
          <w:p w14:paraId="090A18D1" w14:textId="4589B295"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98.0%</w:t>
            </w:r>
          </w:p>
        </w:tc>
      </w:tr>
      <w:tr w:rsidR="00B21820" w:rsidRPr="001861E4" w14:paraId="3B4DFF5A" w14:textId="77777777" w:rsidTr="00B21820">
        <w:trPr>
          <w:cnfStyle w:val="000000010000" w:firstRow="0" w:lastRow="0" w:firstColumn="0" w:lastColumn="0" w:oddVBand="0" w:evenVBand="0" w:oddHBand="0" w:evenHBand="1"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76A833A8" w14:textId="4F2160CA"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Purchasing Plan reflects the goals/needs outlined in Participant's Support Plan.</w:t>
            </w:r>
          </w:p>
        </w:tc>
        <w:tc>
          <w:tcPr>
            <w:tcW w:w="1211" w:type="dxa"/>
            <w:tcBorders>
              <w:left w:val="none" w:sz="0" w:space="0" w:color="auto"/>
              <w:bottom w:val="single" w:sz="8" w:space="0" w:color="auto"/>
              <w:right w:val="none" w:sz="0" w:space="0" w:color="auto"/>
            </w:tcBorders>
            <w:vAlign w:val="center"/>
            <w:hideMark/>
          </w:tcPr>
          <w:p w14:paraId="2DD2B1D6" w14:textId="3CB5B338"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150</w:t>
            </w:r>
          </w:p>
        </w:tc>
        <w:tc>
          <w:tcPr>
            <w:tcW w:w="1011" w:type="dxa"/>
            <w:tcBorders>
              <w:left w:val="none" w:sz="0" w:space="0" w:color="auto"/>
              <w:bottom w:val="single" w:sz="8" w:space="0" w:color="auto"/>
            </w:tcBorders>
            <w:vAlign w:val="center"/>
            <w:hideMark/>
          </w:tcPr>
          <w:p w14:paraId="06FD37B0" w14:textId="73A246D5"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100.0%</w:t>
            </w:r>
          </w:p>
        </w:tc>
      </w:tr>
      <w:tr w:rsidR="00B21820" w:rsidRPr="001861E4" w14:paraId="30D1A012" w14:textId="77777777" w:rsidTr="00B21820">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3A4A042D" w14:textId="39E6E3E0"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All applicable completed/signed Quick Updates are in the Record.</w:t>
            </w:r>
          </w:p>
        </w:tc>
        <w:tc>
          <w:tcPr>
            <w:tcW w:w="1211" w:type="dxa"/>
            <w:tcBorders>
              <w:left w:val="none" w:sz="0" w:space="0" w:color="auto"/>
              <w:right w:val="none" w:sz="0" w:space="0" w:color="auto"/>
            </w:tcBorders>
            <w:shd w:val="clear" w:color="auto" w:fill="B8CCE4" w:themeFill="accent1" w:themeFillTint="66"/>
            <w:vAlign w:val="center"/>
            <w:hideMark/>
          </w:tcPr>
          <w:p w14:paraId="448EFC14" w14:textId="76708641"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59</w:t>
            </w:r>
          </w:p>
        </w:tc>
        <w:tc>
          <w:tcPr>
            <w:tcW w:w="1011" w:type="dxa"/>
            <w:tcBorders>
              <w:left w:val="none" w:sz="0" w:space="0" w:color="auto"/>
            </w:tcBorders>
            <w:shd w:val="clear" w:color="auto" w:fill="B8CCE4" w:themeFill="accent1" w:themeFillTint="66"/>
            <w:vAlign w:val="center"/>
            <w:hideMark/>
          </w:tcPr>
          <w:p w14:paraId="3C695AEA" w14:textId="5B993B8E"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100.0%</w:t>
            </w:r>
          </w:p>
        </w:tc>
      </w:tr>
      <w:tr w:rsidR="00B21820" w:rsidRPr="001861E4" w14:paraId="4E34D7B9" w14:textId="77777777" w:rsidTr="00B21820">
        <w:trPr>
          <w:cnfStyle w:val="000000010000" w:firstRow="0" w:lastRow="0" w:firstColumn="0" w:lastColumn="0" w:oddVBand="0" w:evenVBand="0" w:oddHBand="0" w:evenHBand="1"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74F69CF1" w14:textId="6D060BC0"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Participant's Information Update form is completed and submitted to Regional/Area CDC+ liaison as needed.</w:t>
            </w:r>
          </w:p>
        </w:tc>
        <w:tc>
          <w:tcPr>
            <w:tcW w:w="1211" w:type="dxa"/>
            <w:tcBorders>
              <w:left w:val="none" w:sz="0" w:space="0" w:color="auto"/>
              <w:bottom w:val="single" w:sz="8" w:space="0" w:color="auto"/>
              <w:right w:val="none" w:sz="0" w:space="0" w:color="auto"/>
            </w:tcBorders>
            <w:vAlign w:val="center"/>
            <w:hideMark/>
          </w:tcPr>
          <w:p w14:paraId="33EFB18D" w14:textId="1C6C278D"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70</w:t>
            </w:r>
          </w:p>
        </w:tc>
        <w:tc>
          <w:tcPr>
            <w:tcW w:w="1011" w:type="dxa"/>
            <w:tcBorders>
              <w:left w:val="none" w:sz="0" w:space="0" w:color="auto"/>
              <w:bottom w:val="single" w:sz="8" w:space="0" w:color="auto"/>
            </w:tcBorders>
            <w:vAlign w:val="center"/>
            <w:hideMark/>
          </w:tcPr>
          <w:p w14:paraId="0D7B4C90" w14:textId="40A1D08D"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97.2%</w:t>
            </w:r>
          </w:p>
        </w:tc>
      </w:tr>
      <w:tr w:rsidR="00B21820" w:rsidRPr="001861E4" w14:paraId="64411A34" w14:textId="77777777" w:rsidTr="00B21820">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5C44C2E0" w14:textId="6F1A8A11"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When correctly completed/submitted by the Participant/CDC+ Representative, Consultant submits Purchasing Plans by the 10th of the month.</w:t>
            </w:r>
          </w:p>
        </w:tc>
        <w:tc>
          <w:tcPr>
            <w:tcW w:w="1211" w:type="dxa"/>
            <w:tcBorders>
              <w:left w:val="none" w:sz="0" w:space="0" w:color="auto"/>
              <w:right w:val="none" w:sz="0" w:space="0" w:color="auto"/>
            </w:tcBorders>
            <w:shd w:val="clear" w:color="auto" w:fill="B8CCE4" w:themeFill="accent1" w:themeFillTint="66"/>
            <w:vAlign w:val="center"/>
            <w:hideMark/>
          </w:tcPr>
          <w:p w14:paraId="54F4F014" w14:textId="65E70643"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135</w:t>
            </w:r>
          </w:p>
        </w:tc>
        <w:tc>
          <w:tcPr>
            <w:tcW w:w="1011" w:type="dxa"/>
            <w:tcBorders>
              <w:left w:val="none" w:sz="0" w:space="0" w:color="auto"/>
            </w:tcBorders>
            <w:shd w:val="clear" w:color="auto" w:fill="B8CCE4" w:themeFill="accent1" w:themeFillTint="66"/>
            <w:vAlign w:val="center"/>
            <w:hideMark/>
          </w:tcPr>
          <w:p w14:paraId="53AB0DE6" w14:textId="64983A2C"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97.1%</w:t>
            </w:r>
          </w:p>
        </w:tc>
      </w:tr>
      <w:tr w:rsidR="00B21820" w:rsidRPr="001861E4" w14:paraId="124DF104" w14:textId="77777777" w:rsidTr="00B21820">
        <w:trPr>
          <w:cnfStyle w:val="000000010000" w:firstRow="0" w:lastRow="0" w:firstColumn="0" w:lastColumn="0" w:oddVBand="0" w:evenVBand="0" w:oddHBand="0" w:evenHBand="1"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30971B14" w14:textId="34FF9E6D"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Consultant provides technical assistance to Participant as necessary to meet Participant's and Representative's needs.</w:t>
            </w:r>
          </w:p>
        </w:tc>
        <w:tc>
          <w:tcPr>
            <w:tcW w:w="1211" w:type="dxa"/>
            <w:tcBorders>
              <w:left w:val="none" w:sz="0" w:space="0" w:color="auto"/>
              <w:bottom w:val="single" w:sz="8" w:space="0" w:color="auto"/>
              <w:right w:val="none" w:sz="0" w:space="0" w:color="auto"/>
            </w:tcBorders>
            <w:vAlign w:val="center"/>
            <w:hideMark/>
          </w:tcPr>
          <w:p w14:paraId="2FF68E1B" w14:textId="7D22903A"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142</w:t>
            </w:r>
          </w:p>
        </w:tc>
        <w:tc>
          <w:tcPr>
            <w:tcW w:w="1011" w:type="dxa"/>
            <w:tcBorders>
              <w:left w:val="none" w:sz="0" w:space="0" w:color="auto"/>
              <w:bottom w:val="single" w:sz="8" w:space="0" w:color="auto"/>
            </w:tcBorders>
            <w:vAlign w:val="center"/>
            <w:hideMark/>
          </w:tcPr>
          <w:p w14:paraId="20B6725C" w14:textId="5FFF1D2C"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98.6%</w:t>
            </w:r>
          </w:p>
        </w:tc>
      </w:tr>
      <w:tr w:rsidR="00B21820" w:rsidRPr="001861E4" w14:paraId="4865ED49" w14:textId="77777777" w:rsidTr="00B2182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5323E5C4" w14:textId="52A0343C"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Consultant has taken action to correct any overspending by the Participant.</w:t>
            </w:r>
          </w:p>
        </w:tc>
        <w:tc>
          <w:tcPr>
            <w:tcW w:w="1211" w:type="dxa"/>
            <w:tcBorders>
              <w:left w:val="none" w:sz="0" w:space="0" w:color="auto"/>
              <w:right w:val="none" w:sz="0" w:space="0" w:color="auto"/>
            </w:tcBorders>
            <w:shd w:val="clear" w:color="auto" w:fill="B8CCE4" w:themeFill="accent1" w:themeFillTint="66"/>
            <w:vAlign w:val="center"/>
            <w:hideMark/>
          </w:tcPr>
          <w:p w14:paraId="23327CB4" w14:textId="32CCB361"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11</w:t>
            </w:r>
          </w:p>
        </w:tc>
        <w:tc>
          <w:tcPr>
            <w:tcW w:w="1011" w:type="dxa"/>
            <w:tcBorders>
              <w:left w:val="none" w:sz="0" w:space="0" w:color="auto"/>
            </w:tcBorders>
            <w:shd w:val="clear" w:color="auto" w:fill="B8CCE4" w:themeFill="accent1" w:themeFillTint="66"/>
            <w:vAlign w:val="center"/>
            <w:hideMark/>
          </w:tcPr>
          <w:p w14:paraId="62E6B977" w14:textId="148BB354"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100.0%</w:t>
            </w:r>
          </w:p>
        </w:tc>
      </w:tr>
      <w:tr w:rsidR="00B21820" w:rsidRPr="001861E4" w14:paraId="24CE39C8" w14:textId="77777777" w:rsidTr="00B21820">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094CE84F" w14:textId="78A9C4EC"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If applicable, Consultant initiates Corrective Action.</w:t>
            </w:r>
          </w:p>
        </w:tc>
        <w:tc>
          <w:tcPr>
            <w:tcW w:w="1211" w:type="dxa"/>
            <w:tcBorders>
              <w:left w:val="none" w:sz="0" w:space="0" w:color="auto"/>
              <w:bottom w:val="single" w:sz="8" w:space="0" w:color="auto"/>
              <w:right w:val="none" w:sz="0" w:space="0" w:color="auto"/>
            </w:tcBorders>
            <w:vAlign w:val="center"/>
            <w:hideMark/>
          </w:tcPr>
          <w:p w14:paraId="6678C98E" w14:textId="07DADD42"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5</w:t>
            </w:r>
          </w:p>
        </w:tc>
        <w:tc>
          <w:tcPr>
            <w:tcW w:w="1011" w:type="dxa"/>
            <w:tcBorders>
              <w:left w:val="none" w:sz="0" w:space="0" w:color="auto"/>
              <w:bottom w:val="single" w:sz="8" w:space="0" w:color="auto"/>
            </w:tcBorders>
            <w:vAlign w:val="center"/>
            <w:hideMark/>
          </w:tcPr>
          <w:p w14:paraId="42D948E4" w14:textId="6E986100"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83.3%</w:t>
            </w:r>
          </w:p>
        </w:tc>
      </w:tr>
      <w:tr w:rsidR="00B21820" w:rsidRPr="001861E4" w14:paraId="1B72CCF4" w14:textId="77777777" w:rsidTr="00B21820">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6600" w:type="dxa"/>
            <w:tcBorders>
              <w:right w:val="none" w:sz="0" w:space="0" w:color="auto"/>
            </w:tcBorders>
            <w:shd w:val="clear" w:color="auto" w:fill="B8CCE4" w:themeFill="accent1" w:themeFillTint="66"/>
            <w:vAlign w:val="center"/>
            <w:hideMark/>
          </w:tcPr>
          <w:p w14:paraId="168B772A" w14:textId="1935481E"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Completed/signed Corrective Action Plan is in the record.</w:t>
            </w:r>
          </w:p>
        </w:tc>
        <w:tc>
          <w:tcPr>
            <w:tcW w:w="1211" w:type="dxa"/>
            <w:tcBorders>
              <w:left w:val="none" w:sz="0" w:space="0" w:color="auto"/>
              <w:right w:val="none" w:sz="0" w:space="0" w:color="auto"/>
            </w:tcBorders>
            <w:shd w:val="clear" w:color="auto" w:fill="B8CCE4" w:themeFill="accent1" w:themeFillTint="66"/>
            <w:vAlign w:val="center"/>
            <w:hideMark/>
          </w:tcPr>
          <w:p w14:paraId="7F674100" w14:textId="10BE4943"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3</w:t>
            </w:r>
          </w:p>
        </w:tc>
        <w:tc>
          <w:tcPr>
            <w:tcW w:w="1011" w:type="dxa"/>
            <w:tcBorders>
              <w:left w:val="none" w:sz="0" w:space="0" w:color="auto"/>
            </w:tcBorders>
            <w:shd w:val="clear" w:color="auto" w:fill="B8CCE4" w:themeFill="accent1" w:themeFillTint="66"/>
            <w:vAlign w:val="center"/>
            <w:hideMark/>
          </w:tcPr>
          <w:p w14:paraId="3735866D" w14:textId="6BCEB1D4"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75.0%</w:t>
            </w:r>
          </w:p>
        </w:tc>
      </w:tr>
      <w:tr w:rsidR="00B21820" w:rsidRPr="001861E4" w14:paraId="73FA11F4" w14:textId="77777777" w:rsidTr="00B21820">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single" w:sz="8" w:space="0" w:color="auto"/>
              <w:right w:val="none" w:sz="0" w:space="0" w:color="auto"/>
            </w:tcBorders>
            <w:vAlign w:val="center"/>
            <w:hideMark/>
          </w:tcPr>
          <w:p w14:paraId="1E2D7FD0" w14:textId="485DA84F"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If applicable, an approved Corrective Action Plan is being followed.</w:t>
            </w:r>
          </w:p>
        </w:tc>
        <w:tc>
          <w:tcPr>
            <w:tcW w:w="1211" w:type="dxa"/>
            <w:tcBorders>
              <w:left w:val="none" w:sz="0" w:space="0" w:color="auto"/>
              <w:bottom w:val="single" w:sz="8" w:space="0" w:color="auto"/>
              <w:right w:val="none" w:sz="0" w:space="0" w:color="auto"/>
            </w:tcBorders>
            <w:vAlign w:val="center"/>
            <w:hideMark/>
          </w:tcPr>
          <w:p w14:paraId="528D19DD" w14:textId="68093414"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B21820">
              <w:rPr>
                <w:rFonts w:ascii="Calibri" w:hAnsi="Calibri"/>
                <w:sz w:val="20"/>
                <w:szCs w:val="20"/>
              </w:rPr>
              <w:t>3</w:t>
            </w:r>
          </w:p>
        </w:tc>
        <w:tc>
          <w:tcPr>
            <w:tcW w:w="1011" w:type="dxa"/>
            <w:tcBorders>
              <w:left w:val="none" w:sz="0" w:space="0" w:color="auto"/>
              <w:bottom w:val="single" w:sz="8" w:space="0" w:color="auto"/>
            </w:tcBorders>
            <w:vAlign w:val="center"/>
            <w:hideMark/>
          </w:tcPr>
          <w:p w14:paraId="0A26222F" w14:textId="12B1AEF2"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highlight w:val="yellow"/>
              </w:rPr>
            </w:pPr>
            <w:r w:rsidRPr="00B21820">
              <w:rPr>
                <w:rFonts w:ascii="Calibri" w:hAnsi="Calibri"/>
                <w:sz w:val="20"/>
                <w:szCs w:val="20"/>
              </w:rPr>
              <w:t>100.0%</w:t>
            </w:r>
          </w:p>
        </w:tc>
      </w:tr>
      <w:tr w:rsidR="00B21820" w:rsidRPr="001861E4" w14:paraId="5736E03D" w14:textId="77777777" w:rsidTr="00B21820">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600" w:type="dxa"/>
            <w:tcBorders>
              <w:bottom w:val="double" w:sz="4" w:space="0" w:color="auto"/>
              <w:right w:val="single" w:sz="8" w:space="0" w:color="auto"/>
            </w:tcBorders>
            <w:shd w:val="clear" w:color="auto" w:fill="B8CCE4" w:themeFill="accent1" w:themeFillTint="66"/>
            <w:vAlign w:val="center"/>
          </w:tcPr>
          <w:p w14:paraId="3C1A2DEF" w14:textId="7B589D45" w:rsidR="00B21820" w:rsidRPr="005774D4" w:rsidRDefault="00B21820" w:rsidP="00B21820">
            <w:pPr>
              <w:spacing w:line="240" w:lineRule="auto"/>
              <w:rPr>
                <w:rFonts w:asciiTheme="minorHAnsi" w:eastAsia="Times New Roman" w:hAnsiTheme="minorHAnsi" w:cs="Times New Roman"/>
                <w:b w:val="0"/>
                <w:sz w:val="20"/>
                <w:szCs w:val="20"/>
              </w:rPr>
            </w:pPr>
            <w:r w:rsidRPr="005774D4">
              <w:rPr>
                <w:rFonts w:asciiTheme="minorHAnsi" w:hAnsiTheme="minorHAnsi" w:cs="Arial"/>
                <w:b w:val="0"/>
                <w:sz w:val="20"/>
                <w:szCs w:val="20"/>
              </w:rPr>
              <w:t>The Emergency Backup Plan is in the record and is reviewed annually.</w:t>
            </w:r>
          </w:p>
        </w:tc>
        <w:tc>
          <w:tcPr>
            <w:tcW w:w="1211" w:type="dxa"/>
            <w:tcBorders>
              <w:left w:val="single" w:sz="8" w:space="0" w:color="auto"/>
              <w:bottom w:val="double" w:sz="4" w:space="0" w:color="auto"/>
              <w:right w:val="single" w:sz="8" w:space="0" w:color="auto"/>
            </w:tcBorders>
            <w:shd w:val="clear" w:color="auto" w:fill="B8CCE4" w:themeFill="accent1" w:themeFillTint="66"/>
            <w:vAlign w:val="center"/>
          </w:tcPr>
          <w:p w14:paraId="5360FEF1" w14:textId="700B0A07"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21820">
              <w:rPr>
                <w:rFonts w:ascii="Calibri" w:hAnsi="Calibri"/>
                <w:sz w:val="20"/>
                <w:szCs w:val="20"/>
              </w:rPr>
              <w:t>142</w:t>
            </w:r>
          </w:p>
        </w:tc>
        <w:tc>
          <w:tcPr>
            <w:tcW w:w="1011" w:type="dxa"/>
            <w:tcBorders>
              <w:left w:val="single" w:sz="8" w:space="0" w:color="auto"/>
              <w:bottom w:val="double" w:sz="4" w:space="0" w:color="auto"/>
            </w:tcBorders>
            <w:shd w:val="clear" w:color="auto" w:fill="B8CCE4" w:themeFill="accent1" w:themeFillTint="66"/>
            <w:vAlign w:val="center"/>
          </w:tcPr>
          <w:p w14:paraId="4B214A94" w14:textId="19AB6C0D" w:rsidR="00B21820" w:rsidRPr="00B21820" w:rsidRDefault="00B21820" w:rsidP="00B21820">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B21820">
              <w:rPr>
                <w:rFonts w:ascii="Calibri" w:hAnsi="Calibri"/>
                <w:sz w:val="20"/>
                <w:szCs w:val="20"/>
              </w:rPr>
              <w:t>96.6%</w:t>
            </w:r>
          </w:p>
        </w:tc>
      </w:tr>
      <w:tr w:rsidR="00B21820" w:rsidRPr="00792474" w14:paraId="38390C57" w14:textId="77777777" w:rsidTr="00B21820">
        <w:trPr>
          <w:cnfStyle w:val="000000010000" w:firstRow="0" w:lastRow="0" w:firstColumn="0" w:lastColumn="0" w:oddVBand="0" w:evenVBand="0" w:oddHBand="0" w:evenHBand="1"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6600" w:type="dxa"/>
            <w:tcBorders>
              <w:top w:val="double" w:sz="4" w:space="0" w:color="auto"/>
              <w:right w:val="none" w:sz="0" w:space="0" w:color="auto"/>
            </w:tcBorders>
            <w:shd w:val="clear" w:color="auto" w:fill="FABF8F" w:themeFill="accent6" w:themeFillTint="99"/>
            <w:noWrap/>
            <w:vAlign w:val="center"/>
            <w:hideMark/>
          </w:tcPr>
          <w:p w14:paraId="5B8FB646" w14:textId="5726A9C6" w:rsidR="00B21820" w:rsidRPr="005774D4" w:rsidRDefault="00B21820" w:rsidP="00B21820">
            <w:pPr>
              <w:spacing w:line="240" w:lineRule="auto"/>
              <w:rPr>
                <w:rFonts w:asciiTheme="minorHAnsi" w:eastAsia="Times New Roman" w:hAnsiTheme="minorHAnsi" w:cs="Times New Roman"/>
                <w:sz w:val="20"/>
                <w:szCs w:val="20"/>
              </w:rPr>
            </w:pPr>
            <w:r>
              <w:rPr>
                <w:rFonts w:asciiTheme="minorHAnsi" w:hAnsiTheme="minorHAnsi" w:cs="Arial"/>
                <w:sz w:val="20"/>
                <w:szCs w:val="20"/>
              </w:rPr>
              <w:t xml:space="preserve">Average </w:t>
            </w:r>
            <w:r w:rsidRPr="005774D4">
              <w:rPr>
                <w:rFonts w:asciiTheme="minorHAnsi" w:hAnsiTheme="minorHAnsi" w:cs="Arial"/>
                <w:sz w:val="20"/>
                <w:szCs w:val="20"/>
              </w:rPr>
              <w:t>CDC+ Consultant Result</w:t>
            </w:r>
          </w:p>
        </w:tc>
        <w:tc>
          <w:tcPr>
            <w:tcW w:w="1211" w:type="dxa"/>
            <w:tcBorders>
              <w:top w:val="double" w:sz="4" w:space="0" w:color="auto"/>
              <w:left w:val="none" w:sz="0" w:space="0" w:color="auto"/>
              <w:right w:val="none" w:sz="0" w:space="0" w:color="auto"/>
            </w:tcBorders>
            <w:shd w:val="clear" w:color="auto" w:fill="FABF8F" w:themeFill="accent6" w:themeFillTint="99"/>
            <w:vAlign w:val="center"/>
            <w:hideMark/>
          </w:tcPr>
          <w:p w14:paraId="33508634" w14:textId="4DD24898"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b/>
                <w:sz w:val="20"/>
                <w:szCs w:val="20"/>
              </w:rPr>
            </w:pPr>
            <w:r w:rsidRPr="00B21820">
              <w:rPr>
                <w:rFonts w:ascii="Calibri" w:hAnsi="Calibri"/>
                <w:b/>
                <w:sz w:val="20"/>
                <w:szCs w:val="20"/>
              </w:rPr>
              <w:t>4,374</w:t>
            </w:r>
          </w:p>
        </w:tc>
        <w:tc>
          <w:tcPr>
            <w:tcW w:w="1011" w:type="dxa"/>
            <w:tcBorders>
              <w:top w:val="double" w:sz="4" w:space="0" w:color="auto"/>
              <w:left w:val="none" w:sz="0" w:space="0" w:color="auto"/>
            </w:tcBorders>
            <w:shd w:val="clear" w:color="auto" w:fill="FABF8F" w:themeFill="accent6" w:themeFillTint="99"/>
            <w:vAlign w:val="center"/>
            <w:hideMark/>
          </w:tcPr>
          <w:p w14:paraId="33394C83" w14:textId="497F38F5" w:rsidR="00B21820" w:rsidRPr="00B21820" w:rsidRDefault="00B21820" w:rsidP="00B21820">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b/>
                <w:sz w:val="20"/>
                <w:szCs w:val="20"/>
              </w:rPr>
            </w:pPr>
            <w:r w:rsidRPr="00B21820">
              <w:rPr>
                <w:rFonts w:ascii="Calibri" w:hAnsi="Calibri"/>
                <w:b/>
                <w:sz w:val="20"/>
                <w:szCs w:val="20"/>
              </w:rPr>
              <w:t>97.5%</w:t>
            </w:r>
          </w:p>
        </w:tc>
      </w:tr>
    </w:tbl>
    <w:p w14:paraId="2E78E550" w14:textId="77777777" w:rsidR="005C0428" w:rsidRPr="00F554D3" w:rsidRDefault="005C0428" w:rsidP="007C1358">
      <w:pPr>
        <w:spacing w:line="240" w:lineRule="auto"/>
        <w:jc w:val="center"/>
        <w:rPr>
          <w:rFonts w:ascii="Franklin Gothic Medium" w:hAnsi="Franklin Gothic Medium"/>
        </w:rPr>
      </w:pPr>
    </w:p>
    <w:p w14:paraId="7D7D0AAB" w14:textId="77777777" w:rsidR="00566C90" w:rsidRPr="00571578" w:rsidRDefault="00566C90" w:rsidP="001B6245">
      <w:pPr>
        <w:pStyle w:val="Heading3"/>
      </w:pPr>
      <w:bookmarkStart w:id="46" w:name="_Toc369864690"/>
      <w:bookmarkStart w:id="47" w:name="_Toc459080641"/>
      <w:r w:rsidRPr="00571578">
        <w:lastRenderedPageBreak/>
        <w:t>CDC+ Representative (CDC-R)</w:t>
      </w:r>
      <w:bookmarkEnd w:id="46"/>
      <w:bookmarkEnd w:id="47"/>
    </w:p>
    <w:p w14:paraId="3AAA9A66" w14:textId="06EFAB15" w:rsidR="0059139D" w:rsidRPr="00B135AB" w:rsidRDefault="00566C90" w:rsidP="00566C90">
      <w:pPr>
        <w:rPr>
          <w:highlight w:val="magenta"/>
        </w:rPr>
      </w:pPr>
      <w:r w:rsidRPr="008A733B">
        <w:t xml:space="preserve">CDC+ participants have a Representative (the participant is sometimes also the Representative), who helps with the “business” aspect of the program:  such as hiring providers, completing and submitting timesheets, </w:t>
      </w:r>
      <w:r w:rsidR="002971E6">
        <w:t>and</w:t>
      </w:r>
      <w:r w:rsidRPr="00727AAF">
        <w:t xml:space="preserve"> paying providers.  This is a non-paid position and is most often filled by a family member</w:t>
      </w:r>
      <w:r>
        <w:t xml:space="preserve">.  Delmarva reviewers monitor the Representative’s records to help determine if the Representative is complying with CDC+ standards and </w:t>
      </w:r>
      <w:r w:rsidR="002971E6">
        <w:t>other</w:t>
      </w:r>
      <w:r>
        <w:t xml:space="preserve"> requirements.  </w:t>
      </w:r>
      <w:r w:rsidR="00D94EAF">
        <w:t xml:space="preserve">Participants may decline to </w:t>
      </w:r>
      <w:r w:rsidR="00D94EAF" w:rsidRPr="002B75BE">
        <w:t xml:space="preserve">participate in the CDC+ PCR process.  However, the Representative for the person still receives a review.  </w:t>
      </w:r>
      <w:r w:rsidR="004A5850">
        <w:t>Between January and June 2016, 271 CDC+ Representatives were reviewed</w:t>
      </w:r>
      <w:r w:rsidR="004A5850" w:rsidRPr="009A440C">
        <w:t>.</w:t>
      </w:r>
      <w:r w:rsidR="004A5850">
        <w:t xml:space="preserve">  </w:t>
      </w:r>
      <w:r w:rsidRPr="002B75BE">
        <w:t xml:space="preserve">CDC-R results </w:t>
      </w:r>
      <w:r w:rsidR="004A5850">
        <w:t>are</w:t>
      </w:r>
      <w:r w:rsidRPr="002B75BE">
        <w:t xml:space="preserve"> presented </w:t>
      </w:r>
      <w:r w:rsidR="00D94EAF" w:rsidRPr="002B75BE">
        <w:t xml:space="preserve">by region in </w:t>
      </w:r>
      <w:r w:rsidR="004A5850">
        <w:t>Table 9</w:t>
      </w:r>
      <w:r w:rsidR="00C43D28">
        <w:t xml:space="preserve"> and </w:t>
      </w:r>
      <w:r w:rsidR="00D94EAF" w:rsidRPr="002B75BE">
        <w:t>by standard in Table 10</w:t>
      </w:r>
      <w:r w:rsidRPr="002B75BE">
        <w:t xml:space="preserve">.  </w:t>
      </w:r>
      <w:r w:rsidR="004A5850">
        <w:t xml:space="preserve"> </w:t>
      </w:r>
    </w:p>
    <w:p w14:paraId="4BDCC533" w14:textId="77777777" w:rsidR="00034511" w:rsidRPr="002B75BE" w:rsidRDefault="00034511" w:rsidP="00034511"/>
    <w:p w14:paraId="6F860BFE" w14:textId="09B7C8A4" w:rsidR="00034511" w:rsidRDefault="00034511" w:rsidP="00646181">
      <w:pPr>
        <w:pStyle w:val="ListParagraph"/>
        <w:numPr>
          <w:ilvl w:val="0"/>
          <w:numId w:val="14"/>
        </w:numPr>
      </w:pPr>
      <w:r w:rsidRPr="002B75BE">
        <w:t xml:space="preserve">On average, Representatives reviewed </w:t>
      </w:r>
      <w:r w:rsidR="00FD30B4">
        <w:t>to date in 2016</w:t>
      </w:r>
      <w:r w:rsidRPr="002B75BE">
        <w:t xml:space="preserve"> showed </w:t>
      </w:r>
      <w:r w:rsidR="00D33D32">
        <w:t>92.</w:t>
      </w:r>
      <w:r w:rsidR="00C43D28">
        <w:t>5</w:t>
      </w:r>
      <w:r w:rsidR="002C1B54">
        <w:t xml:space="preserve"> percent compliance</w:t>
      </w:r>
      <w:r w:rsidR="00C43D28">
        <w:t xml:space="preserve"> (Percent Met)</w:t>
      </w:r>
      <w:r w:rsidR="002C1B54">
        <w:t>.</w:t>
      </w:r>
    </w:p>
    <w:p w14:paraId="3382FA21" w14:textId="42C291FD" w:rsidR="00C43D28" w:rsidRPr="002B75BE" w:rsidRDefault="00C43D28" w:rsidP="00646181">
      <w:pPr>
        <w:pStyle w:val="ListParagraph"/>
        <w:numPr>
          <w:ilvl w:val="0"/>
          <w:numId w:val="14"/>
        </w:numPr>
      </w:pPr>
      <w:r>
        <w:t>The number of reviews completed in each region is relatively small and comparisons across regions should be made with caution.</w:t>
      </w:r>
    </w:p>
    <w:p w14:paraId="14591295" w14:textId="697A492B" w:rsidR="002C1B54" w:rsidRDefault="00D33D32" w:rsidP="00646181">
      <w:pPr>
        <w:pStyle w:val="ListParagraph"/>
        <w:numPr>
          <w:ilvl w:val="0"/>
          <w:numId w:val="14"/>
        </w:numPr>
      </w:pPr>
      <w:r>
        <w:t>To date, Representatives were least likely to have documentation supporting reconciliation of monthly statements (</w:t>
      </w:r>
      <w:r w:rsidR="007E68F4">
        <w:t>81.9</w:t>
      </w:r>
      <w:r>
        <w:t>%)</w:t>
      </w:r>
      <w:r w:rsidR="007E68F4">
        <w:t xml:space="preserve"> or background screening (81.6%)</w:t>
      </w:r>
      <w:r>
        <w:t xml:space="preserve">. </w:t>
      </w:r>
      <w:r w:rsidR="008C50D5">
        <w:t xml:space="preserve"> </w:t>
      </w:r>
    </w:p>
    <w:p w14:paraId="3D67741F" w14:textId="77777777" w:rsidR="00C43D28" w:rsidRDefault="00C43D28" w:rsidP="007E68F4">
      <w:pPr>
        <w:pStyle w:val="ListParagraph"/>
      </w:pPr>
    </w:p>
    <w:p w14:paraId="756CFCC5" w14:textId="77777777" w:rsidR="00CD4754" w:rsidRDefault="00CD4754" w:rsidP="007E68F4">
      <w:pPr>
        <w:pStyle w:val="ListParagraph"/>
      </w:pPr>
    </w:p>
    <w:tbl>
      <w:tblPr>
        <w:tblStyle w:val="MediumShading1-Accent5"/>
        <w:tblW w:w="5429" w:type="dxa"/>
        <w:jc w:val="center"/>
        <w:tblLook w:val="04A0" w:firstRow="1" w:lastRow="0" w:firstColumn="1" w:lastColumn="0" w:noHBand="0" w:noVBand="1"/>
      </w:tblPr>
      <w:tblGrid>
        <w:gridCol w:w="1988"/>
        <w:gridCol w:w="993"/>
        <w:gridCol w:w="1384"/>
        <w:gridCol w:w="1109"/>
      </w:tblGrid>
      <w:tr w:rsidR="00CD4754" w:rsidRPr="00CD4754" w14:paraId="1F88F600" w14:textId="77777777" w:rsidTr="00CD475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5429" w:type="dxa"/>
            <w:gridSpan w:val="4"/>
            <w:shd w:val="clear" w:color="auto" w:fill="215868" w:themeFill="accent5" w:themeFillShade="80"/>
            <w:noWrap/>
            <w:vAlign w:val="bottom"/>
            <w:hideMark/>
          </w:tcPr>
          <w:p w14:paraId="719FEE61" w14:textId="77777777" w:rsidR="00CD4754" w:rsidRPr="00CD4754" w:rsidRDefault="00CD4754" w:rsidP="00CD4754">
            <w:pPr>
              <w:spacing w:line="240" w:lineRule="auto"/>
              <w:jc w:val="center"/>
              <w:rPr>
                <w:rFonts w:ascii="Franklin Gothic Medium" w:eastAsia="Times New Roman" w:hAnsi="Franklin Gothic Medium" w:cs="Arial"/>
                <w:b w:val="0"/>
                <w:sz w:val="22"/>
              </w:rPr>
            </w:pPr>
            <w:r w:rsidRPr="00CD4754">
              <w:rPr>
                <w:rFonts w:ascii="Franklin Gothic Medium" w:eastAsia="Times New Roman" w:hAnsi="Franklin Gothic Medium" w:cs="Arial"/>
                <w:b w:val="0"/>
                <w:sz w:val="22"/>
              </w:rPr>
              <w:t>Table 9:  CDC+ Representative Results by Region</w:t>
            </w:r>
          </w:p>
        </w:tc>
      </w:tr>
      <w:tr w:rsidR="00CD4754" w:rsidRPr="00CD4754" w14:paraId="40A54B3E" w14:textId="77777777" w:rsidTr="00CD4754">
        <w:trPr>
          <w:cnfStyle w:val="000000100000" w:firstRow="0" w:lastRow="0" w:firstColumn="0" w:lastColumn="0" w:oddVBand="0" w:evenVBand="0" w:oddHBand="1" w:evenHBand="0" w:firstRowFirstColumn="0" w:firstRowLastColumn="0" w:lastRowFirstColumn="0" w:lastRowLastColumn="0"/>
          <w:trHeight w:val="360"/>
          <w:jc w:val="center"/>
        </w:trPr>
        <w:tc>
          <w:tcPr>
            <w:cnfStyle w:val="001000000000" w:firstRow="0" w:lastRow="0" w:firstColumn="1" w:lastColumn="0" w:oddVBand="0" w:evenVBand="0" w:oddHBand="0" w:evenHBand="0" w:firstRowFirstColumn="0" w:firstRowLastColumn="0" w:lastRowFirstColumn="0" w:lastRowLastColumn="0"/>
            <w:tcW w:w="5429" w:type="dxa"/>
            <w:gridSpan w:val="4"/>
            <w:tcBorders>
              <w:bottom w:val="single" w:sz="8" w:space="0" w:color="78C0D4" w:themeColor="accent5" w:themeTint="BF"/>
            </w:tcBorders>
            <w:shd w:val="clear" w:color="auto" w:fill="215868" w:themeFill="accent5" w:themeFillShade="80"/>
            <w:vAlign w:val="bottom"/>
            <w:hideMark/>
          </w:tcPr>
          <w:p w14:paraId="64523417" w14:textId="77777777" w:rsidR="00CD4754" w:rsidRPr="00CD4754" w:rsidRDefault="00CD4754" w:rsidP="00CD4754">
            <w:pPr>
              <w:spacing w:line="240" w:lineRule="auto"/>
              <w:jc w:val="center"/>
              <w:rPr>
                <w:rFonts w:ascii="Franklin Gothic Medium" w:eastAsia="Times New Roman" w:hAnsi="Franklin Gothic Medium" w:cs="Arial"/>
                <w:b w:val="0"/>
                <w:color w:val="FFFFFF" w:themeColor="background1"/>
                <w:sz w:val="22"/>
              </w:rPr>
            </w:pPr>
            <w:r w:rsidRPr="00CD4754">
              <w:rPr>
                <w:rFonts w:ascii="Franklin Gothic Medium" w:eastAsia="Times New Roman" w:hAnsi="Franklin Gothic Medium" w:cs="Arial"/>
                <w:b w:val="0"/>
                <w:color w:val="FFFFFF" w:themeColor="background1"/>
                <w:sz w:val="22"/>
              </w:rPr>
              <w:t>January - June 2016</w:t>
            </w:r>
          </w:p>
        </w:tc>
      </w:tr>
      <w:tr w:rsidR="00CD4754" w:rsidRPr="00CD4754" w14:paraId="11E18465" w14:textId="77777777" w:rsidTr="00CD4754">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1988" w:type="dxa"/>
            <w:shd w:val="clear" w:color="auto" w:fill="215868" w:themeFill="accent5" w:themeFillShade="80"/>
            <w:vAlign w:val="bottom"/>
            <w:hideMark/>
          </w:tcPr>
          <w:p w14:paraId="20447127" w14:textId="77777777" w:rsidR="00CD4754" w:rsidRPr="00CD4754" w:rsidRDefault="00CD4754" w:rsidP="00CD4754">
            <w:pPr>
              <w:spacing w:line="240" w:lineRule="auto"/>
              <w:rPr>
                <w:rFonts w:ascii="Franklin Gothic Medium" w:eastAsia="Times New Roman" w:hAnsi="Franklin Gothic Medium" w:cs="Arial"/>
                <w:b w:val="0"/>
                <w:color w:val="FFFFFF" w:themeColor="background1"/>
                <w:sz w:val="22"/>
              </w:rPr>
            </w:pPr>
            <w:r w:rsidRPr="00CD4754">
              <w:rPr>
                <w:rFonts w:ascii="Franklin Gothic Medium" w:eastAsia="Times New Roman" w:hAnsi="Franklin Gothic Medium" w:cs="Arial"/>
                <w:b w:val="0"/>
                <w:color w:val="FFFFFF" w:themeColor="background1"/>
                <w:sz w:val="22"/>
              </w:rPr>
              <w:t xml:space="preserve">Region </w:t>
            </w:r>
          </w:p>
        </w:tc>
        <w:tc>
          <w:tcPr>
            <w:tcW w:w="948" w:type="dxa"/>
            <w:shd w:val="clear" w:color="auto" w:fill="215868" w:themeFill="accent5" w:themeFillShade="80"/>
            <w:vAlign w:val="bottom"/>
            <w:hideMark/>
          </w:tcPr>
          <w:p w14:paraId="7CB5A0A8" w14:textId="6B095155"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Franklin Gothic Medium" w:eastAsia="Times New Roman" w:hAnsi="Franklin Gothic Medium" w:cs="Times New Roman"/>
                <w:color w:val="FFFFFF" w:themeColor="background1"/>
                <w:sz w:val="22"/>
              </w:rPr>
            </w:pPr>
            <w:r w:rsidRPr="00CD4754">
              <w:rPr>
                <w:rFonts w:ascii="Franklin Gothic Medium" w:eastAsia="Times New Roman" w:hAnsi="Franklin Gothic Medium" w:cs="Times New Roman"/>
                <w:color w:val="FFFFFF" w:themeColor="background1"/>
                <w:sz w:val="22"/>
              </w:rPr>
              <w:t># of Reviews</w:t>
            </w:r>
          </w:p>
        </w:tc>
        <w:tc>
          <w:tcPr>
            <w:tcW w:w="1384" w:type="dxa"/>
            <w:shd w:val="clear" w:color="auto" w:fill="215868" w:themeFill="accent5" w:themeFillShade="80"/>
            <w:vAlign w:val="bottom"/>
            <w:hideMark/>
          </w:tcPr>
          <w:p w14:paraId="5EE155C6" w14:textId="77777777"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Franklin Gothic Medium" w:eastAsia="Times New Roman" w:hAnsi="Franklin Gothic Medium" w:cs="Times New Roman"/>
                <w:color w:val="FFFFFF" w:themeColor="background1"/>
                <w:sz w:val="22"/>
              </w:rPr>
            </w:pPr>
            <w:r w:rsidRPr="00CD4754">
              <w:rPr>
                <w:rFonts w:ascii="Franklin Gothic Medium" w:eastAsia="Times New Roman" w:hAnsi="Franklin Gothic Medium" w:cs="Times New Roman"/>
                <w:color w:val="FFFFFF" w:themeColor="background1"/>
                <w:sz w:val="22"/>
              </w:rPr>
              <w:t>Weighted Score</w:t>
            </w:r>
          </w:p>
        </w:tc>
        <w:tc>
          <w:tcPr>
            <w:tcW w:w="1109" w:type="dxa"/>
            <w:shd w:val="clear" w:color="auto" w:fill="215868" w:themeFill="accent5" w:themeFillShade="80"/>
            <w:vAlign w:val="bottom"/>
            <w:hideMark/>
          </w:tcPr>
          <w:p w14:paraId="05A479CE" w14:textId="77777777"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Franklin Gothic Medium" w:eastAsia="Times New Roman" w:hAnsi="Franklin Gothic Medium" w:cs="Times New Roman"/>
                <w:color w:val="FFFFFF" w:themeColor="background1"/>
                <w:sz w:val="22"/>
              </w:rPr>
            </w:pPr>
            <w:r w:rsidRPr="00CD4754">
              <w:rPr>
                <w:rFonts w:ascii="Franklin Gothic Medium" w:eastAsia="Times New Roman" w:hAnsi="Franklin Gothic Medium" w:cs="Times New Roman"/>
                <w:color w:val="FFFFFF" w:themeColor="background1"/>
                <w:sz w:val="22"/>
              </w:rPr>
              <w:t>Percent Met</w:t>
            </w:r>
          </w:p>
        </w:tc>
      </w:tr>
      <w:tr w:rsidR="00CD4754" w:rsidRPr="00CD4754" w14:paraId="4B50C8B7" w14:textId="77777777" w:rsidTr="00CD47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8" w:type="dxa"/>
            <w:noWrap/>
            <w:vAlign w:val="bottom"/>
            <w:hideMark/>
          </w:tcPr>
          <w:p w14:paraId="13A0BEC8" w14:textId="77777777" w:rsidR="00CD4754" w:rsidRPr="00CD4754" w:rsidRDefault="00CD4754" w:rsidP="00CD4754">
            <w:pPr>
              <w:spacing w:line="240" w:lineRule="auto"/>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Northwest</w:t>
            </w:r>
          </w:p>
        </w:tc>
        <w:tc>
          <w:tcPr>
            <w:tcW w:w="948" w:type="dxa"/>
            <w:noWrap/>
            <w:vAlign w:val="bottom"/>
            <w:hideMark/>
          </w:tcPr>
          <w:p w14:paraId="18C3B8F4"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29</w:t>
            </w:r>
          </w:p>
        </w:tc>
        <w:tc>
          <w:tcPr>
            <w:tcW w:w="1384" w:type="dxa"/>
            <w:noWrap/>
            <w:vAlign w:val="bottom"/>
            <w:hideMark/>
          </w:tcPr>
          <w:p w14:paraId="279B2842"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91.4%</w:t>
            </w:r>
          </w:p>
        </w:tc>
        <w:tc>
          <w:tcPr>
            <w:tcW w:w="1109" w:type="dxa"/>
            <w:noWrap/>
            <w:vAlign w:val="bottom"/>
            <w:hideMark/>
          </w:tcPr>
          <w:p w14:paraId="066427A0"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89.8%</w:t>
            </w:r>
          </w:p>
        </w:tc>
      </w:tr>
      <w:tr w:rsidR="00CD4754" w:rsidRPr="00CD4754" w14:paraId="428B753F" w14:textId="77777777" w:rsidTr="00CD47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8" w:type="dxa"/>
            <w:noWrap/>
            <w:vAlign w:val="bottom"/>
            <w:hideMark/>
          </w:tcPr>
          <w:p w14:paraId="7530F908" w14:textId="77777777" w:rsidR="00CD4754" w:rsidRPr="00CD4754" w:rsidRDefault="00CD4754" w:rsidP="00CD4754">
            <w:pPr>
              <w:spacing w:line="240" w:lineRule="auto"/>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Northeast</w:t>
            </w:r>
          </w:p>
        </w:tc>
        <w:tc>
          <w:tcPr>
            <w:tcW w:w="948" w:type="dxa"/>
            <w:noWrap/>
            <w:vAlign w:val="bottom"/>
            <w:hideMark/>
          </w:tcPr>
          <w:p w14:paraId="72CE9EF7" w14:textId="77777777"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45</w:t>
            </w:r>
          </w:p>
        </w:tc>
        <w:tc>
          <w:tcPr>
            <w:tcW w:w="1384" w:type="dxa"/>
            <w:noWrap/>
            <w:vAlign w:val="bottom"/>
            <w:hideMark/>
          </w:tcPr>
          <w:p w14:paraId="7BB55BB1" w14:textId="77777777"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92.6%</w:t>
            </w:r>
          </w:p>
        </w:tc>
        <w:tc>
          <w:tcPr>
            <w:tcW w:w="1109" w:type="dxa"/>
            <w:noWrap/>
            <w:vAlign w:val="bottom"/>
            <w:hideMark/>
          </w:tcPr>
          <w:p w14:paraId="778BA024" w14:textId="77777777"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92.2%</w:t>
            </w:r>
          </w:p>
        </w:tc>
      </w:tr>
      <w:tr w:rsidR="00CD4754" w:rsidRPr="00CD4754" w14:paraId="4E7C220D" w14:textId="77777777" w:rsidTr="00CD47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8" w:type="dxa"/>
            <w:noWrap/>
            <w:vAlign w:val="bottom"/>
            <w:hideMark/>
          </w:tcPr>
          <w:p w14:paraId="7B1DC893" w14:textId="77777777" w:rsidR="00CD4754" w:rsidRPr="00CD4754" w:rsidRDefault="00CD4754" w:rsidP="00CD4754">
            <w:pPr>
              <w:spacing w:line="240" w:lineRule="auto"/>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Central</w:t>
            </w:r>
          </w:p>
        </w:tc>
        <w:tc>
          <w:tcPr>
            <w:tcW w:w="948" w:type="dxa"/>
            <w:noWrap/>
            <w:vAlign w:val="bottom"/>
            <w:hideMark/>
          </w:tcPr>
          <w:p w14:paraId="40A4B5AD"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67</w:t>
            </w:r>
          </w:p>
        </w:tc>
        <w:tc>
          <w:tcPr>
            <w:tcW w:w="1384" w:type="dxa"/>
            <w:noWrap/>
            <w:vAlign w:val="bottom"/>
            <w:hideMark/>
          </w:tcPr>
          <w:p w14:paraId="09DA7482"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93.7%</w:t>
            </w:r>
          </w:p>
        </w:tc>
        <w:tc>
          <w:tcPr>
            <w:tcW w:w="1109" w:type="dxa"/>
            <w:noWrap/>
            <w:vAlign w:val="bottom"/>
            <w:hideMark/>
          </w:tcPr>
          <w:p w14:paraId="1CB45DB8"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93.1%</w:t>
            </w:r>
          </w:p>
        </w:tc>
      </w:tr>
      <w:tr w:rsidR="00CD4754" w:rsidRPr="00CD4754" w14:paraId="110FB29B" w14:textId="77777777" w:rsidTr="00CD47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8" w:type="dxa"/>
            <w:noWrap/>
            <w:vAlign w:val="bottom"/>
            <w:hideMark/>
          </w:tcPr>
          <w:p w14:paraId="0B332E22" w14:textId="77777777" w:rsidR="00CD4754" w:rsidRPr="00CD4754" w:rsidRDefault="00CD4754" w:rsidP="00CD4754">
            <w:pPr>
              <w:spacing w:line="240" w:lineRule="auto"/>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Suncoast</w:t>
            </w:r>
          </w:p>
        </w:tc>
        <w:tc>
          <w:tcPr>
            <w:tcW w:w="948" w:type="dxa"/>
            <w:noWrap/>
            <w:vAlign w:val="bottom"/>
            <w:hideMark/>
          </w:tcPr>
          <w:p w14:paraId="457D86EC" w14:textId="77777777"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55</w:t>
            </w:r>
          </w:p>
        </w:tc>
        <w:tc>
          <w:tcPr>
            <w:tcW w:w="1384" w:type="dxa"/>
            <w:noWrap/>
            <w:vAlign w:val="bottom"/>
            <w:hideMark/>
          </w:tcPr>
          <w:p w14:paraId="7BADEAE4" w14:textId="77777777"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92.8%</w:t>
            </w:r>
          </w:p>
        </w:tc>
        <w:tc>
          <w:tcPr>
            <w:tcW w:w="1109" w:type="dxa"/>
            <w:noWrap/>
            <w:vAlign w:val="bottom"/>
            <w:hideMark/>
          </w:tcPr>
          <w:p w14:paraId="5A1920E4" w14:textId="77777777"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91.8%</w:t>
            </w:r>
          </w:p>
        </w:tc>
      </w:tr>
      <w:tr w:rsidR="00CD4754" w:rsidRPr="00CD4754" w14:paraId="174B97EA" w14:textId="77777777" w:rsidTr="00CD47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8" w:type="dxa"/>
            <w:tcBorders>
              <w:bottom w:val="single" w:sz="8" w:space="0" w:color="78C0D4" w:themeColor="accent5" w:themeTint="BF"/>
            </w:tcBorders>
            <w:noWrap/>
            <w:vAlign w:val="bottom"/>
            <w:hideMark/>
          </w:tcPr>
          <w:p w14:paraId="2243ADBE" w14:textId="77777777" w:rsidR="00CD4754" w:rsidRPr="00CD4754" w:rsidRDefault="00CD4754" w:rsidP="00CD4754">
            <w:pPr>
              <w:spacing w:line="240" w:lineRule="auto"/>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Southeast</w:t>
            </w:r>
          </w:p>
        </w:tc>
        <w:tc>
          <w:tcPr>
            <w:tcW w:w="948" w:type="dxa"/>
            <w:tcBorders>
              <w:bottom w:val="single" w:sz="8" w:space="0" w:color="78C0D4" w:themeColor="accent5" w:themeTint="BF"/>
            </w:tcBorders>
            <w:noWrap/>
            <w:vAlign w:val="bottom"/>
            <w:hideMark/>
          </w:tcPr>
          <w:p w14:paraId="196D05CD"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39</w:t>
            </w:r>
          </w:p>
        </w:tc>
        <w:tc>
          <w:tcPr>
            <w:tcW w:w="1384" w:type="dxa"/>
            <w:tcBorders>
              <w:bottom w:val="single" w:sz="8" w:space="0" w:color="78C0D4" w:themeColor="accent5" w:themeTint="BF"/>
            </w:tcBorders>
            <w:noWrap/>
            <w:vAlign w:val="bottom"/>
            <w:hideMark/>
          </w:tcPr>
          <w:p w14:paraId="068450A9"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92.8%</w:t>
            </w:r>
          </w:p>
        </w:tc>
        <w:tc>
          <w:tcPr>
            <w:tcW w:w="1109" w:type="dxa"/>
            <w:tcBorders>
              <w:bottom w:val="single" w:sz="8" w:space="0" w:color="78C0D4" w:themeColor="accent5" w:themeTint="BF"/>
            </w:tcBorders>
            <w:noWrap/>
            <w:vAlign w:val="bottom"/>
            <w:hideMark/>
          </w:tcPr>
          <w:p w14:paraId="1D1705F0"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92.4%</w:t>
            </w:r>
          </w:p>
        </w:tc>
      </w:tr>
      <w:tr w:rsidR="00CD4754" w:rsidRPr="00CD4754" w14:paraId="3332D11E" w14:textId="77777777" w:rsidTr="00CD475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8" w:type="dxa"/>
            <w:tcBorders>
              <w:bottom w:val="double" w:sz="4" w:space="0" w:color="auto"/>
            </w:tcBorders>
            <w:noWrap/>
            <w:vAlign w:val="bottom"/>
            <w:hideMark/>
          </w:tcPr>
          <w:p w14:paraId="4A0FA9AC" w14:textId="77777777" w:rsidR="00CD4754" w:rsidRPr="00CD4754" w:rsidRDefault="00CD4754" w:rsidP="00CD4754">
            <w:pPr>
              <w:spacing w:line="240" w:lineRule="auto"/>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Southern</w:t>
            </w:r>
          </w:p>
        </w:tc>
        <w:tc>
          <w:tcPr>
            <w:tcW w:w="948" w:type="dxa"/>
            <w:tcBorders>
              <w:bottom w:val="double" w:sz="4" w:space="0" w:color="auto"/>
            </w:tcBorders>
            <w:noWrap/>
            <w:vAlign w:val="bottom"/>
            <w:hideMark/>
          </w:tcPr>
          <w:p w14:paraId="55ED1821" w14:textId="77777777"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36</w:t>
            </w:r>
          </w:p>
        </w:tc>
        <w:tc>
          <w:tcPr>
            <w:tcW w:w="1384" w:type="dxa"/>
            <w:tcBorders>
              <w:bottom w:val="double" w:sz="4" w:space="0" w:color="auto"/>
            </w:tcBorders>
            <w:noWrap/>
            <w:vAlign w:val="bottom"/>
            <w:hideMark/>
          </w:tcPr>
          <w:p w14:paraId="03C3925E" w14:textId="77777777"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95.6%</w:t>
            </w:r>
          </w:p>
        </w:tc>
        <w:tc>
          <w:tcPr>
            <w:tcW w:w="1109" w:type="dxa"/>
            <w:tcBorders>
              <w:bottom w:val="double" w:sz="4" w:space="0" w:color="auto"/>
            </w:tcBorders>
            <w:noWrap/>
            <w:vAlign w:val="bottom"/>
            <w:hideMark/>
          </w:tcPr>
          <w:p w14:paraId="00D2D49A" w14:textId="77777777" w:rsidR="00CD4754" w:rsidRPr="00CD4754"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94.9%</w:t>
            </w:r>
          </w:p>
        </w:tc>
      </w:tr>
      <w:tr w:rsidR="00CD4754" w:rsidRPr="00CD4754" w14:paraId="2FEEC0F3" w14:textId="77777777" w:rsidTr="00CD475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8" w:type="dxa"/>
            <w:tcBorders>
              <w:top w:val="double" w:sz="4" w:space="0" w:color="auto"/>
            </w:tcBorders>
            <w:noWrap/>
            <w:vAlign w:val="bottom"/>
            <w:hideMark/>
          </w:tcPr>
          <w:p w14:paraId="3F8D3614" w14:textId="77777777" w:rsidR="00CD4754" w:rsidRPr="00CD4754" w:rsidRDefault="00CD4754" w:rsidP="00CD4754">
            <w:pPr>
              <w:spacing w:line="240" w:lineRule="auto"/>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State</w:t>
            </w:r>
          </w:p>
        </w:tc>
        <w:tc>
          <w:tcPr>
            <w:tcW w:w="948" w:type="dxa"/>
            <w:tcBorders>
              <w:top w:val="double" w:sz="4" w:space="0" w:color="auto"/>
            </w:tcBorders>
            <w:noWrap/>
            <w:vAlign w:val="bottom"/>
            <w:hideMark/>
          </w:tcPr>
          <w:p w14:paraId="27607BDD"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271</w:t>
            </w:r>
          </w:p>
        </w:tc>
        <w:tc>
          <w:tcPr>
            <w:tcW w:w="1384" w:type="dxa"/>
            <w:tcBorders>
              <w:top w:val="double" w:sz="4" w:space="0" w:color="auto"/>
            </w:tcBorders>
            <w:noWrap/>
            <w:vAlign w:val="bottom"/>
            <w:hideMark/>
          </w:tcPr>
          <w:p w14:paraId="3B7CA04E"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93.2%</w:t>
            </w:r>
          </w:p>
        </w:tc>
        <w:tc>
          <w:tcPr>
            <w:tcW w:w="1109" w:type="dxa"/>
            <w:tcBorders>
              <w:top w:val="double" w:sz="4" w:space="0" w:color="auto"/>
            </w:tcBorders>
            <w:noWrap/>
            <w:vAlign w:val="bottom"/>
            <w:hideMark/>
          </w:tcPr>
          <w:p w14:paraId="371EB411" w14:textId="77777777" w:rsidR="00CD4754" w:rsidRPr="00CD4754"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CD4754">
              <w:rPr>
                <w:rFonts w:ascii="Calibri" w:eastAsia="Times New Roman" w:hAnsi="Calibri" w:cs="Times New Roman"/>
                <w:color w:val="000000"/>
                <w:sz w:val="20"/>
                <w:szCs w:val="20"/>
              </w:rPr>
              <w:t>92.5%</w:t>
            </w:r>
          </w:p>
        </w:tc>
      </w:tr>
    </w:tbl>
    <w:p w14:paraId="430A9549" w14:textId="77777777" w:rsidR="00CD4754" w:rsidRDefault="00CD4754" w:rsidP="00566C90">
      <w:pPr>
        <w:spacing w:line="240" w:lineRule="auto"/>
      </w:pPr>
    </w:p>
    <w:p w14:paraId="080DDDF3" w14:textId="77777777" w:rsidR="00CD4754" w:rsidRDefault="00CD4754" w:rsidP="00566C90">
      <w:pPr>
        <w:spacing w:line="240" w:lineRule="auto"/>
      </w:pPr>
    </w:p>
    <w:tbl>
      <w:tblPr>
        <w:tblStyle w:val="MediumShading1-Accent5"/>
        <w:tblW w:w="8041" w:type="dxa"/>
        <w:jc w:val="center"/>
        <w:tblLook w:val="04A0" w:firstRow="1" w:lastRow="0" w:firstColumn="1" w:lastColumn="0" w:noHBand="0" w:noVBand="1"/>
      </w:tblPr>
      <w:tblGrid>
        <w:gridCol w:w="5820"/>
        <w:gridCol w:w="1210"/>
        <w:gridCol w:w="1011"/>
      </w:tblGrid>
      <w:tr w:rsidR="00D162A0" w:rsidRPr="00D162A0" w14:paraId="04D221C1" w14:textId="77777777" w:rsidTr="00CD4754">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8041" w:type="dxa"/>
            <w:gridSpan w:val="3"/>
            <w:shd w:val="clear" w:color="auto" w:fill="215868" w:themeFill="accent5" w:themeFillShade="80"/>
            <w:vAlign w:val="bottom"/>
            <w:hideMark/>
          </w:tcPr>
          <w:p w14:paraId="2A9A844C" w14:textId="1FA079EF" w:rsidR="00D162A0" w:rsidRPr="00CD4754" w:rsidRDefault="00D162A0" w:rsidP="003A4227">
            <w:pPr>
              <w:spacing w:line="240" w:lineRule="auto"/>
              <w:jc w:val="center"/>
              <w:rPr>
                <w:rFonts w:ascii="Franklin Gothic Medium" w:eastAsia="Times New Roman" w:hAnsi="Franklin Gothic Medium" w:cs="Times New Roman"/>
                <w:b w:val="0"/>
                <w:color w:val="FFFFFF"/>
                <w:sz w:val="22"/>
              </w:rPr>
            </w:pPr>
            <w:r w:rsidRPr="00CD4754">
              <w:rPr>
                <w:rFonts w:ascii="Franklin Gothic Medium" w:eastAsia="Times New Roman" w:hAnsi="Franklin Gothic Medium" w:cs="Times New Roman"/>
                <w:b w:val="0"/>
                <w:color w:val="FFFFFF"/>
                <w:sz w:val="22"/>
              </w:rPr>
              <w:t xml:space="preserve">Table </w:t>
            </w:r>
            <w:r w:rsidR="003A4227" w:rsidRPr="00CD4754">
              <w:rPr>
                <w:rFonts w:ascii="Franklin Gothic Medium" w:eastAsia="Times New Roman" w:hAnsi="Franklin Gothic Medium" w:cs="Times New Roman"/>
                <w:b w:val="0"/>
                <w:color w:val="FFFFFF"/>
                <w:sz w:val="22"/>
              </w:rPr>
              <w:t>10</w:t>
            </w:r>
            <w:r w:rsidRPr="00CD4754">
              <w:rPr>
                <w:rFonts w:ascii="Franklin Gothic Medium" w:eastAsia="Times New Roman" w:hAnsi="Franklin Gothic Medium" w:cs="Times New Roman"/>
                <w:b w:val="0"/>
                <w:color w:val="FFFFFF"/>
                <w:sz w:val="22"/>
              </w:rPr>
              <w:t>: CDC+ Representative Results by Standard</w:t>
            </w:r>
          </w:p>
        </w:tc>
      </w:tr>
      <w:tr w:rsidR="00D162A0" w:rsidRPr="00D162A0" w14:paraId="328C9F13" w14:textId="77777777" w:rsidTr="00201631">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8041" w:type="dxa"/>
            <w:gridSpan w:val="3"/>
            <w:shd w:val="clear" w:color="auto" w:fill="215868" w:themeFill="accent5" w:themeFillShade="80"/>
            <w:noWrap/>
            <w:vAlign w:val="bottom"/>
            <w:hideMark/>
          </w:tcPr>
          <w:p w14:paraId="0C65A58C" w14:textId="5632CBAE" w:rsidR="00D162A0" w:rsidRPr="00CD4754" w:rsidRDefault="00D162A0" w:rsidP="00CD4754">
            <w:pPr>
              <w:spacing w:line="240" w:lineRule="auto"/>
              <w:jc w:val="center"/>
              <w:rPr>
                <w:rFonts w:ascii="Franklin Gothic Medium" w:eastAsia="Times New Roman" w:hAnsi="Franklin Gothic Medium" w:cs="Times New Roman"/>
                <w:b w:val="0"/>
                <w:sz w:val="22"/>
              </w:rPr>
            </w:pPr>
            <w:r w:rsidRPr="00CD4754">
              <w:rPr>
                <w:rFonts w:ascii="Franklin Gothic Medium" w:eastAsia="Times New Roman" w:hAnsi="Franklin Gothic Medium" w:cs="Times New Roman"/>
                <w:b w:val="0"/>
                <w:sz w:val="22"/>
              </w:rPr>
              <w:t xml:space="preserve">January </w:t>
            </w:r>
            <w:r w:rsidR="004B7525" w:rsidRPr="00CD4754">
              <w:rPr>
                <w:rFonts w:ascii="Franklin Gothic Medium" w:eastAsia="Times New Roman" w:hAnsi="Franklin Gothic Medium" w:cs="Times New Roman"/>
                <w:b w:val="0"/>
                <w:sz w:val="22"/>
              </w:rPr>
              <w:t>–</w:t>
            </w:r>
            <w:r w:rsidRPr="00CD4754">
              <w:rPr>
                <w:rFonts w:ascii="Franklin Gothic Medium" w:eastAsia="Times New Roman" w:hAnsi="Franklin Gothic Medium" w:cs="Times New Roman"/>
                <w:b w:val="0"/>
                <w:sz w:val="22"/>
              </w:rPr>
              <w:t xml:space="preserve"> </w:t>
            </w:r>
            <w:r w:rsidR="00CD4754">
              <w:rPr>
                <w:rFonts w:ascii="Franklin Gothic Medium" w:eastAsia="Times New Roman" w:hAnsi="Franklin Gothic Medium" w:cs="Times New Roman"/>
                <w:b w:val="0"/>
                <w:sz w:val="22"/>
              </w:rPr>
              <w:t xml:space="preserve">June </w:t>
            </w:r>
            <w:r w:rsidR="004B7525" w:rsidRPr="00CD4754">
              <w:rPr>
                <w:rFonts w:ascii="Franklin Gothic Medium" w:eastAsia="Times New Roman" w:hAnsi="Franklin Gothic Medium" w:cs="Times New Roman"/>
                <w:b w:val="0"/>
                <w:sz w:val="22"/>
              </w:rPr>
              <w:t>2016</w:t>
            </w:r>
          </w:p>
        </w:tc>
      </w:tr>
      <w:tr w:rsidR="00D162A0" w:rsidRPr="00D162A0" w14:paraId="07CC7C0E" w14:textId="77777777" w:rsidTr="00654C34">
        <w:trPr>
          <w:cnfStyle w:val="100000000000" w:firstRow="1" w:lastRow="0" w:firstColumn="0" w:lastColumn="0" w:oddVBand="0" w:evenVBand="0" w:oddHBand="0" w:evenHBand="0" w:firstRowFirstColumn="0" w:firstRowLastColumn="0" w:lastRowFirstColumn="0" w:lastRowLastColumn="0"/>
          <w:trHeight w:val="570"/>
          <w:tblHeader/>
          <w:jc w:val="center"/>
        </w:trPr>
        <w:tc>
          <w:tcPr>
            <w:cnfStyle w:val="001000000000" w:firstRow="0" w:lastRow="0" w:firstColumn="1" w:lastColumn="0" w:oddVBand="0" w:evenVBand="0" w:oddHBand="0" w:evenHBand="0" w:firstRowFirstColumn="0" w:firstRowLastColumn="0" w:lastRowFirstColumn="0" w:lastRowLastColumn="0"/>
            <w:tcW w:w="5820" w:type="dxa"/>
            <w:shd w:val="clear" w:color="auto" w:fill="215868" w:themeFill="accent5" w:themeFillShade="80"/>
            <w:noWrap/>
            <w:vAlign w:val="bottom"/>
            <w:hideMark/>
          </w:tcPr>
          <w:p w14:paraId="57BF685E" w14:textId="77777777" w:rsidR="00D162A0" w:rsidRPr="00CD4754" w:rsidRDefault="00D162A0" w:rsidP="00D162A0">
            <w:pPr>
              <w:spacing w:line="240" w:lineRule="auto"/>
              <w:rPr>
                <w:rFonts w:ascii="Franklin Gothic Medium" w:eastAsia="Times New Roman" w:hAnsi="Franklin Gothic Medium" w:cs="Times New Roman"/>
                <w:b w:val="0"/>
                <w:color w:val="FFFFFF"/>
                <w:sz w:val="22"/>
              </w:rPr>
            </w:pPr>
            <w:r w:rsidRPr="00CD4754">
              <w:rPr>
                <w:rFonts w:ascii="Franklin Gothic Medium" w:eastAsia="Times New Roman" w:hAnsi="Franklin Gothic Medium" w:cs="Times New Roman"/>
                <w:b w:val="0"/>
                <w:color w:val="FFFFFF"/>
                <w:sz w:val="22"/>
              </w:rPr>
              <w:t>Standard</w:t>
            </w:r>
          </w:p>
        </w:tc>
        <w:tc>
          <w:tcPr>
            <w:tcW w:w="1210" w:type="dxa"/>
            <w:shd w:val="clear" w:color="auto" w:fill="215868" w:themeFill="accent5" w:themeFillShade="80"/>
            <w:noWrap/>
            <w:vAlign w:val="bottom"/>
            <w:hideMark/>
          </w:tcPr>
          <w:p w14:paraId="128C2D29" w14:textId="77777777" w:rsidR="00D162A0" w:rsidRPr="00CD4754" w:rsidRDefault="00D162A0" w:rsidP="00D162A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bCs w:val="0"/>
                <w:color w:val="FFFFFF"/>
                <w:sz w:val="22"/>
              </w:rPr>
            </w:pPr>
            <w:r w:rsidRPr="00CD4754">
              <w:rPr>
                <w:rFonts w:ascii="Franklin Gothic Medium" w:eastAsia="Times New Roman" w:hAnsi="Franklin Gothic Medium" w:cs="Times New Roman"/>
                <w:b w:val="0"/>
                <w:color w:val="FFFFFF"/>
                <w:sz w:val="22"/>
              </w:rPr>
              <w:t>Number</w:t>
            </w:r>
          </w:p>
          <w:p w14:paraId="6513B2C7" w14:textId="26AD3ABD" w:rsidR="00D162A0" w:rsidRPr="00CD4754" w:rsidRDefault="00D162A0" w:rsidP="00D162A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color w:val="FFFFFF"/>
                <w:sz w:val="22"/>
              </w:rPr>
            </w:pPr>
            <w:r w:rsidRPr="00CD4754">
              <w:rPr>
                <w:rFonts w:ascii="Franklin Gothic Medium" w:eastAsia="Times New Roman" w:hAnsi="Franklin Gothic Medium" w:cs="Times New Roman"/>
                <w:b w:val="0"/>
                <w:bCs w:val="0"/>
                <w:color w:val="FFFFFF"/>
                <w:sz w:val="22"/>
              </w:rPr>
              <w:t>Reviewed</w:t>
            </w:r>
          </w:p>
        </w:tc>
        <w:tc>
          <w:tcPr>
            <w:tcW w:w="1011" w:type="dxa"/>
            <w:shd w:val="clear" w:color="auto" w:fill="215868" w:themeFill="accent5" w:themeFillShade="80"/>
            <w:vAlign w:val="bottom"/>
            <w:hideMark/>
          </w:tcPr>
          <w:p w14:paraId="3FBE6F9C" w14:textId="77777777" w:rsidR="00D162A0" w:rsidRPr="00CD4754" w:rsidRDefault="00D162A0" w:rsidP="00D162A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color w:val="FFFFFF"/>
                <w:sz w:val="22"/>
              </w:rPr>
            </w:pPr>
            <w:r w:rsidRPr="00CD4754">
              <w:rPr>
                <w:rFonts w:ascii="Franklin Gothic Medium" w:eastAsia="Times New Roman" w:hAnsi="Franklin Gothic Medium" w:cs="Times New Roman"/>
                <w:b w:val="0"/>
                <w:color w:val="FFFFFF"/>
                <w:sz w:val="22"/>
              </w:rPr>
              <w:t>Percent Met</w:t>
            </w:r>
          </w:p>
        </w:tc>
      </w:tr>
      <w:tr w:rsidR="00CD4754" w:rsidRPr="00D162A0" w14:paraId="3E5A8ECF" w14:textId="77777777" w:rsidTr="00C43D28">
        <w:trPr>
          <w:cnfStyle w:val="000000100000" w:firstRow="0" w:lastRow="0" w:firstColumn="0" w:lastColumn="0" w:oddVBand="0" w:evenVBand="0" w:oddHBand="1" w:evenHBand="0"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5A9E4614" w14:textId="11CDEC80"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Complete and signed Participant/ Representative Agreement is available for review.</w:t>
            </w:r>
          </w:p>
        </w:tc>
        <w:tc>
          <w:tcPr>
            <w:tcW w:w="1210" w:type="dxa"/>
            <w:vAlign w:val="center"/>
            <w:hideMark/>
          </w:tcPr>
          <w:p w14:paraId="04F36621" w14:textId="78179BB8"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268</w:t>
            </w:r>
          </w:p>
        </w:tc>
        <w:tc>
          <w:tcPr>
            <w:tcW w:w="1011" w:type="dxa"/>
            <w:vAlign w:val="center"/>
            <w:hideMark/>
          </w:tcPr>
          <w:p w14:paraId="08A1B2F1" w14:textId="5800C149"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96.3%</w:t>
            </w:r>
          </w:p>
        </w:tc>
      </w:tr>
      <w:tr w:rsidR="00CD4754" w:rsidRPr="00D162A0" w14:paraId="51F0A9D4" w14:textId="77777777" w:rsidTr="00C43D28">
        <w:trPr>
          <w:cnfStyle w:val="000000010000" w:firstRow="0" w:lastRow="0" w:firstColumn="0" w:lastColumn="0" w:oddVBand="0" w:evenVBand="0" w:oddHBand="0" w:evenHBand="1"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33256B13" w14:textId="2447149D" w:rsidR="00CD4754" w:rsidRPr="00C43D28" w:rsidRDefault="00CD4754" w:rsidP="004D6555">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 xml:space="preserve">Accurate </w:t>
            </w:r>
            <w:r w:rsidR="004D6555">
              <w:rPr>
                <w:rFonts w:asciiTheme="minorHAnsi" w:hAnsiTheme="minorHAnsi"/>
                <w:b w:val="0"/>
                <w:color w:val="000000"/>
                <w:sz w:val="20"/>
                <w:szCs w:val="20"/>
              </w:rPr>
              <w:t>signed and approved t</w:t>
            </w:r>
            <w:r w:rsidRPr="00C43D28">
              <w:rPr>
                <w:rFonts w:asciiTheme="minorHAnsi" w:hAnsiTheme="minorHAnsi"/>
                <w:b w:val="0"/>
                <w:color w:val="000000"/>
                <w:sz w:val="20"/>
                <w:szCs w:val="20"/>
              </w:rPr>
              <w:t>imesheets for all Directly Hired Employees (DHE) are available for review.</w:t>
            </w:r>
          </w:p>
        </w:tc>
        <w:tc>
          <w:tcPr>
            <w:tcW w:w="1210" w:type="dxa"/>
            <w:vAlign w:val="center"/>
            <w:hideMark/>
          </w:tcPr>
          <w:p w14:paraId="3D898381" w14:textId="22481527"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256</w:t>
            </w:r>
          </w:p>
        </w:tc>
        <w:tc>
          <w:tcPr>
            <w:tcW w:w="1011" w:type="dxa"/>
            <w:vAlign w:val="center"/>
            <w:hideMark/>
          </w:tcPr>
          <w:p w14:paraId="5F86D044" w14:textId="03E1AAF7"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86.3%</w:t>
            </w:r>
          </w:p>
        </w:tc>
      </w:tr>
      <w:tr w:rsidR="00CD4754" w:rsidRPr="00D162A0" w14:paraId="3AFC0674" w14:textId="77777777" w:rsidTr="00C43D2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18AFFDCA" w14:textId="71020762"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Signed and approved Invoices for Vendor Payments are available for review.</w:t>
            </w:r>
          </w:p>
        </w:tc>
        <w:tc>
          <w:tcPr>
            <w:tcW w:w="1210" w:type="dxa"/>
            <w:vAlign w:val="center"/>
            <w:hideMark/>
          </w:tcPr>
          <w:p w14:paraId="32A7E4B5" w14:textId="57BCF1EB"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149</w:t>
            </w:r>
          </w:p>
        </w:tc>
        <w:tc>
          <w:tcPr>
            <w:tcW w:w="1011" w:type="dxa"/>
            <w:vAlign w:val="center"/>
            <w:hideMark/>
          </w:tcPr>
          <w:p w14:paraId="6DFDC1AD" w14:textId="51AD08E1"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93.3%</w:t>
            </w:r>
          </w:p>
        </w:tc>
      </w:tr>
      <w:tr w:rsidR="00CD4754" w:rsidRPr="00D162A0" w14:paraId="7567ACCD" w14:textId="77777777" w:rsidTr="00C43D28">
        <w:trPr>
          <w:cnfStyle w:val="000000010000" w:firstRow="0" w:lastRow="0" w:firstColumn="0" w:lastColumn="0" w:oddVBand="0" w:evenVBand="0" w:oddHBand="0" w:evenHBand="1"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71906CAD" w14:textId="4E8471D0"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lastRenderedPageBreak/>
              <w:t>Signed and approved receipts/statement of “Goods and Services” for reimbursement items are available for review.</w:t>
            </w:r>
          </w:p>
        </w:tc>
        <w:tc>
          <w:tcPr>
            <w:tcW w:w="1210" w:type="dxa"/>
            <w:vAlign w:val="center"/>
            <w:hideMark/>
          </w:tcPr>
          <w:p w14:paraId="4CA60F33" w14:textId="3CD28EE1"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74</w:t>
            </w:r>
          </w:p>
        </w:tc>
        <w:tc>
          <w:tcPr>
            <w:tcW w:w="1011" w:type="dxa"/>
            <w:vAlign w:val="center"/>
            <w:hideMark/>
          </w:tcPr>
          <w:p w14:paraId="19A1F604" w14:textId="071D9416"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97.3%</w:t>
            </w:r>
          </w:p>
        </w:tc>
      </w:tr>
      <w:tr w:rsidR="00CD4754" w:rsidRPr="00D162A0" w14:paraId="68780F1E" w14:textId="77777777" w:rsidTr="00C43D2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255D1AE7" w14:textId="42223F08"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Complete Employee Packets for all Directly Hired Employees are available for review.</w:t>
            </w:r>
          </w:p>
        </w:tc>
        <w:tc>
          <w:tcPr>
            <w:tcW w:w="1210" w:type="dxa"/>
            <w:vAlign w:val="center"/>
            <w:hideMark/>
          </w:tcPr>
          <w:p w14:paraId="7FDDCF14" w14:textId="25D8C034"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256</w:t>
            </w:r>
          </w:p>
        </w:tc>
        <w:tc>
          <w:tcPr>
            <w:tcW w:w="1011" w:type="dxa"/>
            <w:vAlign w:val="center"/>
            <w:hideMark/>
          </w:tcPr>
          <w:p w14:paraId="7B5E372F" w14:textId="7A492125"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94.5%</w:t>
            </w:r>
          </w:p>
        </w:tc>
      </w:tr>
      <w:tr w:rsidR="00CD4754" w:rsidRPr="00D162A0" w14:paraId="5AA79568" w14:textId="77777777" w:rsidTr="00C43D28">
        <w:trPr>
          <w:cnfStyle w:val="000000010000" w:firstRow="0" w:lastRow="0" w:firstColumn="0" w:lastColumn="0" w:oddVBand="0" w:evenVBand="0" w:oddHBand="0" w:evenHBand="1"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60E8D447" w14:textId="2A8E0668"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Complete Vendor Packets for all vendors and independent contractors are available for review.</w:t>
            </w:r>
          </w:p>
        </w:tc>
        <w:tc>
          <w:tcPr>
            <w:tcW w:w="1210" w:type="dxa"/>
            <w:vAlign w:val="center"/>
            <w:hideMark/>
          </w:tcPr>
          <w:p w14:paraId="5F249496" w14:textId="4E329762"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169</w:t>
            </w:r>
          </w:p>
        </w:tc>
        <w:tc>
          <w:tcPr>
            <w:tcW w:w="1011" w:type="dxa"/>
            <w:vAlign w:val="center"/>
            <w:hideMark/>
          </w:tcPr>
          <w:p w14:paraId="196534CE" w14:textId="719CC0BF"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94.7%</w:t>
            </w:r>
          </w:p>
        </w:tc>
      </w:tr>
      <w:tr w:rsidR="00CD4754" w:rsidRPr="00D162A0" w14:paraId="34633825" w14:textId="77777777" w:rsidTr="00C43D28">
        <w:trPr>
          <w:cnfStyle w:val="000000100000" w:firstRow="0" w:lastRow="0" w:firstColumn="0" w:lastColumn="0" w:oddVBand="0" w:evenVBand="0" w:oddHBand="1" w:evenHBand="0"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6A1B9710" w14:textId="56A5B49C"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Completed and signed Job Descriptions for each Directly Hired Employee are available for review.</w:t>
            </w:r>
          </w:p>
        </w:tc>
        <w:tc>
          <w:tcPr>
            <w:tcW w:w="1210" w:type="dxa"/>
            <w:vAlign w:val="center"/>
            <w:hideMark/>
          </w:tcPr>
          <w:p w14:paraId="3F7F2A50" w14:textId="548F56F3"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258</w:t>
            </w:r>
          </w:p>
        </w:tc>
        <w:tc>
          <w:tcPr>
            <w:tcW w:w="1011" w:type="dxa"/>
            <w:vAlign w:val="center"/>
            <w:hideMark/>
          </w:tcPr>
          <w:p w14:paraId="0C870F50" w14:textId="2E119F52"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89.1%</w:t>
            </w:r>
          </w:p>
        </w:tc>
      </w:tr>
      <w:tr w:rsidR="00CD4754" w:rsidRPr="00D162A0" w14:paraId="0D9832D7" w14:textId="77777777" w:rsidTr="00C43D28">
        <w:trPr>
          <w:cnfStyle w:val="000000010000" w:firstRow="0" w:lastRow="0" w:firstColumn="0" w:lastColumn="0" w:oddVBand="0" w:evenVBand="0" w:oddHBand="0" w:evenHBand="1"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5D6DB33D" w14:textId="45A9DC17"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Signed Employer/Employee Agreement for each Directly Hired Employee (DHE) is available for review.</w:t>
            </w:r>
          </w:p>
        </w:tc>
        <w:tc>
          <w:tcPr>
            <w:tcW w:w="1210" w:type="dxa"/>
            <w:vAlign w:val="center"/>
            <w:hideMark/>
          </w:tcPr>
          <w:p w14:paraId="54821628" w14:textId="7BA377D3"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257</w:t>
            </w:r>
          </w:p>
        </w:tc>
        <w:tc>
          <w:tcPr>
            <w:tcW w:w="1011" w:type="dxa"/>
            <w:vAlign w:val="center"/>
            <w:hideMark/>
          </w:tcPr>
          <w:p w14:paraId="1D98E50F" w14:textId="23050F96"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89.9%</w:t>
            </w:r>
          </w:p>
        </w:tc>
      </w:tr>
      <w:tr w:rsidR="00CD4754" w:rsidRPr="00D162A0" w14:paraId="432568B1" w14:textId="77777777" w:rsidTr="00C43D28">
        <w:trPr>
          <w:cnfStyle w:val="000000100000" w:firstRow="0" w:lastRow="0" w:firstColumn="0" w:lastColumn="0" w:oddVBand="0" w:evenVBand="0" w:oddHBand="1" w:evenHBand="0"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22E31309" w14:textId="6EF15649"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All applicable signed and approved Purchasing Plans are available for review.</w:t>
            </w:r>
          </w:p>
        </w:tc>
        <w:tc>
          <w:tcPr>
            <w:tcW w:w="1210" w:type="dxa"/>
            <w:vAlign w:val="center"/>
            <w:hideMark/>
          </w:tcPr>
          <w:p w14:paraId="7C5E0B32" w14:textId="1E9B9A46"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270</w:t>
            </w:r>
          </w:p>
        </w:tc>
        <w:tc>
          <w:tcPr>
            <w:tcW w:w="1011" w:type="dxa"/>
            <w:vAlign w:val="center"/>
            <w:hideMark/>
          </w:tcPr>
          <w:p w14:paraId="3EE06F94" w14:textId="338E44F6"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91.1%</w:t>
            </w:r>
          </w:p>
        </w:tc>
      </w:tr>
      <w:tr w:rsidR="00CD4754" w:rsidRPr="00D162A0" w14:paraId="0045CD9E" w14:textId="77777777" w:rsidTr="00C43D28">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0D2E25AC" w14:textId="609F35CB"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Copies of Support Plan(s) are available for entire period of review.</w:t>
            </w:r>
          </w:p>
        </w:tc>
        <w:tc>
          <w:tcPr>
            <w:tcW w:w="1210" w:type="dxa"/>
            <w:vAlign w:val="center"/>
            <w:hideMark/>
          </w:tcPr>
          <w:p w14:paraId="3E67E305" w14:textId="1B63CB5E"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271</w:t>
            </w:r>
          </w:p>
        </w:tc>
        <w:tc>
          <w:tcPr>
            <w:tcW w:w="1011" w:type="dxa"/>
            <w:vAlign w:val="center"/>
            <w:hideMark/>
          </w:tcPr>
          <w:p w14:paraId="327CFEC0" w14:textId="15B7BCB5"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95.2%</w:t>
            </w:r>
          </w:p>
        </w:tc>
      </w:tr>
      <w:tr w:rsidR="00CD4754" w:rsidRPr="00D162A0" w14:paraId="583E7919" w14:textId="77777777" w:rsidTr="00C43D28">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10EDCCEA" w14:textId="1944825F"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Copies of approved Cost Plans are available for entire period of review.</w:t>
            </w:r>
          </w:p>
        </w:tc>
        <w:tc>
          <w:tcPr>
            <w:tcW w:w="1210" w:type="dxa"/>
            <w:vAlign w:val="center"/>
            <w:hideMark/>
          </w:tcPr>
          <w:p w14:paraId="0DDAEE6D" w14:textId="5A3B5D1A"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271</w:t>
            </w:r>
          </w:p>
        </w:tc>
        <w:tc>
          <w:tcPr>
            <w:tcW w:w="1011" w:type="dxa"/>
            <w:vAlign w:val="center"/>
            <w:hideMark/>
          </w:tcPr>
          <w:p w14:paraId="22F97D09" w14:textId="7ED44745"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95.6%</w:t>
            </w:r>
          </w:p>
        </w:tc>
      </w:tr>
      <w:tr w:rsidR="00CD4754" w:rsidRPr="00D162A0" w14:paraId="5585E250" w14:textId="77777777" w:rsidTr="00C43D28">
        <w:trPr>
          <w:cnfStyle w:val="000000010000" w:firstRow="0" w:lastRow="0" w:firstColumn="0" w:lastColumn="0" w:oddVBand="0" w:evenVBand="0" w:oddHBand="0" w:evenHBand="1"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6FB8944A" w14:textId="53712D2C"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Emergency Backup Plan is complete and available for review.</w:t>
            </w:r>
          </w:p>
        </w:tc>
        <w:tc>
          <w:tcPr>
            <w:tcW w:w="1210" w:type="dxa"/>
            <w:vAlign w:val="center"/>
            <w:hideMark/>
          </w:tcPr>
          <w:p w14:paraId="171DBD6B" w14:textId="2F7B83D9"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271</w:t>
            </w:r>
          </w:p>
        </w:tc>
        <w:tc>
          <w:tcPr>
            <w:tcW w:w="1011" w:type="dxa"/>
            <w:vAlign w:val="center"/>
            <w:hideMark/>
          </w:tcPr>
          <w:p w14:paraId="6AF85FF3" w14:textId="6B71B737"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94.8%</w:t>
            </w:r>
          </w:p>
        </w:tc>
      </w:tr>
      <w:tr w:rsidR="00CD4754" w:rsidRPr="00D162A0" w14:paraId="6E7A5322" w14:textId="77777777" w:rsidTr="00C43D28">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0C480CA1" w14:textId="441E6ED8"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Corrective Action Plan (if applicable) is available for review.</w:t>
            </w:r>
          </w:p>
        </w:tc>
        <w:tc>
          <w:tcPr>
            <w:tcW w:w="1210" w:type="dxa"/>
            <w:vAlign w:val="center"/>
            <w:hideMark/>
          </w:tcPr>
          <w:p w14:paraId="43192FBD" w14:textId="6ECE1B00"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13</w:t>
            </w:r>
          </w:p>
        </w:tc>
        <w:tc>
          <w:tcPr>
            <w:tcW w:w="1011" w:type="dxa"/>
            <w:vAlign w:val="center"/>
            <w:hideMark/>
          </w:tcPr>
          <w:p w14:paraId="384948CB" w14:textId="2748A0D6"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100.0%</w:t>
            </w:r>
          </w:p>
        </w:tc>
      </w:tr>
      <w:tr w:rsidR="00CD4754" w:rsidRPr="00D162A0" w14:paraId="6C9C90CB" w14:textId="77777777" w:rsidTr="00C43D28">
        <w:trPr>
          <w:cnfStyle w:val="000000010000" w:firstRow="0" w:lastRow="0" w:firstColumn="0" w:lastColumn="0" w:oddVBand="0" w:evenVBand="0" w:oddHBand="0" w:evenHBand="1"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65D432D0" w14:textId="10816BF7"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Background screening results for all providers who render direct care are available for review.</w:t>
            </w:r>
          </w:p>
        </w:tc>
        <w:tc>
          <w:tcPr>
            <w:tcW w:w="1210" w:type="dxa"/>
            <w:vAlign w:val="center"/>
            <w:hideMark/>
          </w:tcPr>
          <w:p w14:paraId="18AE5252" w14:textId="7B036A3B"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267</w:t>
            </w:r>
          </w:p>
        </w:tc>
        <w:tc>
          <w:tcPr>
            <w:tcW w:w="1011" w:type="dxa"/>
            <w:vAlign w:val="center"/>
            <w:hideMark/>
          </w:tcPr>
          <w:p w14:paraId="7298D7D2" w14:textId="5E0EB511"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81.6%</w:t>
            </w:r>
          </w:p>
        </w:tc>
      </w:tr>
      <w:tr w:rsidR="00CD4754" w:rsidRPr="00D162A0" w14:paraId="4D34DB60" w14:textId="77777777" w:rsidTr="00C43D28">
        <w:trPr>
          <w:cnfStyle w:val="000000100000" w:firstRow="0" w:lastRow="0" w:firstColumn="0" w:lastColumn="0" w:oddVBand="0" w:evenVBand="0" w:oddHBand="1" w:evenHBand="0" w:firstRowFirstColumn="0" w:firstRowLastColumn="0" w:lastRowFirstColumn="0" w:lastRowLastColumn="0"/>
          <w:trHeight w:val="223"/>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4D6B9F2D" w14:textId="6212CFCF"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All applicable signed and approved Quick Updates are available for review.</w:t>
            </w:r>
          </w:p>
        </w:tc>
        <w:tc>
          <w:tcPr>
            <w:tcW w:w="1210" w:type="dxa"/>
            <w:vAlign w:val="center"/>
            <w:hideMark/>
          </w:tcPr>
          <w:p w14:paraId="34C65CB0" w14:textId="7CD089C3"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85</w:t>
            </w:r>
          </w:p>
        </w:tc>
        <w:tc>
          <w:tcPr>
            <w:tcW w:w="1011" w:type="dxa"/>
            <w:vAlign w:val="center"/>
            <w:hideMark/>
          </w:tcPr>
          <w:p w14:paraId="38DE8F86" w14:textId="6A90742C"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100.0%</w:t>
            </w:r>
          </w:p>
        </w:tc>
      </w:tr>
      <w:tr w:rsidR="00CD4754" w:rsidRPr="00D162A0" w14:paraId="3ADAD2E5" w14:textId="77777777" w:rsidTr="00C43D28">
        <w:trPr>
          <w:cnfStyle w:val="000000010000" w:firstRow="0" w:lastRow="0" w:firstColumn="0" w:lastColumn="0" w:oddVBand="0" w:evenVBand="0" w:oddHBand="0" w:evenHBand="1" w:firstRowFirstColumn="0" w:firstRowLastColumn="0" w:lastRowFirstColumn="0" w:lastRowLastColumn="0"/>
          <w:trHeight w:val="367"/>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7FD0C797" w14:textId="522F5A6B"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Monthly Statements are available for review.</w:t>
            </w:r>
          </w:p>
        </w:tc>
        <w:tc>
          <w:tcPr>
            <w:tcW w:w="1210" w:type="dxa"/>
            <w:vAlign w:val="center"/>
            <w:hideMark/>
          </w:tcPr>
          <w:p w14:paraId="0785E445" w14:textId="325662B6"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269</w:t>
            </w:r>
          </w:p>
        </w:tc>
        <w:tc>
          <w:tcPr>
            <w:tcW w:w="1011" w:type="dxa"/>
            <w:vAlign w:val="center"/>
            <w:hideMark/>
          </w:tcPr>
          <w:p w14:paraId="3692DAA6" w14:textId="56AE67A2"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95.5%</w:t>
            </w:r>
          </w:p>
        </w:tc>
      </w:tr>
      <w:tr w:rsidR="00CD4754" w:rsidRPr="00D162A0" w14:paraId="1776788E" w14:textId="77777777" w:rsidTr="00C43D28">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5820" w:type="dxa"/>
            <w:vAlign w:val="center"/>
            <w:hideMark/>
          </w:tcPr>
          <w:p w14:paraId="77D964B1" w14:textId="77C4F8DA"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Documentation is available to support the reconciliation of Monthly Statements.</w:t>
            </w:r>
          </w:p>
        </w:tc>
        <w:tc>
          <w:tcPr>
            <w:tcW w:w="1210" w:type="dxa"/>
            <w:vAlign w:val="center"/>
            <w:hideMark/>
          </w:tcPr>
          <w:p w14:paraId="69F8E1C5" w14:textId="25DC25C6"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270</w:t>
            </w:r>
          </w:p>
        </w:tc>
        <w:tc>
          <w:tcPr>
            <w:tcW w:w="1011" w:type="dxa"/>
            <w:vAlign w:val="center"/>
            <w:hideMark/>
          </w:tcPr>
          <w:p w14:paraId="0BFA2BFE" w14:textId="23CFC8E6"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81.9%</w:t>
            </w:r>
          </w:p>
        </w:tc>
      </w:tr>
      <w:tr w:rsidR="00CD4754" w:rsidRPr="00D162A0" w14:paraId="2A8AFDE7" w14:textId="77777777" w:rsidTr="00C43D28">
        <w:trPr>
          <w:cnfStyle w:val="000000010000" w:firstRow="0" w:lastRow="0" w:firstColumn="0" w:lastColumn="0" w:oddVBand="0" w:evenVBand="0" w:oddHBand="0" w:evenHBand="1"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5820" w:type="dxa"/>
            <w:tcBorders>
              <w:bottom w:val="single" w:sz="8" w:space="0" w:color="78C0D4" w:themeColor="accent5" w:themeTint="BF"/>
            </w:tcBorders>
            <w:vAlign w:val="center"/>
            <w:hideMark/>
          </w:tcPr>
          <w:p w14:paraId="36FBABCA" w14:textId="7C4B2BB4"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The Participant obtains services consistent with stated/documented needs and goals.</w:t>
            </w:r>
          </w:p>
        </w:tc>
        <w:tc>
          <w:tcPr>
            <w:tcW w:w="1210" w:type="dxa"/>
            <w:tcBorders>
              <w:bottom w:val="single" w:sz="8" w:space="0" w:color="78C0D4" w:themeColor="accent5" w:themeTint="BF"/>
            </w:tcBorders>
            <w:vAlign w:val="center"/>
            <w:hideMark/>
          </w:tcPr>
          <w:p w14:paraId="6FFA33CE" w14:textId="3A3056A1"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268</w:t>
            </w:r>
          </w:p>
        </w:tc>
        <w:tc>
          <w:tcPr>
            <w:tcW w:w="1011" w:type="dxa"/>
            <w:tcBorders>
              <w:bottom w:val="single" w:sz="8" w:space="0" w:color="78C0D4" w:themeColor="accent5" w:themeTint="BF"/>
            </w:tcBorders>
            <w:vAlign w:val="center"/>
            <w:hideMark/>
          </w:tcPr>
          <w:p w14:paraId="6CA2545A" w14:textId="7BB45B9A"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98.1%</w:t>
            </w:r>
          </w:p>
        </w:tc>
      </w:tr>
      <w:tr w:rsidR="00CD4754" w:rsidRPr="00D162A0" w14:paraId="63173DEA" w14:textId="77777777" w:rsidTr="00C43D2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0" w:type="dxa"/>
            <w:tcBorders>
              <w:bottom w:val="double" w:sz="4" w:space="0" w:color="auto"/>
            </w:tcBorders>
            <w:noWrap/>
            <w:vAlign w:val="center"/>
            <w:hideMark/>
          </w:tcPr>
          <w:p w14:paraId="313B4E7A" w14:textId="39416C5E" w:rsidR="00CD4754" w:rsidRPr="00C43D28" w:rsidRDefault="00CD4754" w:rsidP="00C43D28">
            <w:pPr>
              <w:spacing w:line="240" w:lineRule="auto"/>
              <w:rPr>
                <w:rFonts w:asciiTheme="minorHAnsi" w:eastAsia="Times New Roman" w:hAnsiTheme="minorHAnsi" w:cs="Times New Roman"/>
                <w:b w:val="0"/>
                <w:sz w:val="20"/>
                <w:szCs w:val="20"/>
              </w:rPr>
            </w:pPr>
            <w:r w:rsidRPr="00C43D28">
              <w:rPr>
                <w:rFonts w:asciiTheme="minorHAnsi" w:hAnsiTheme="minorHAnsi"/>
                <w:b w:val="0"/>
                <w:color w:val="000000"/>
                <w:sz w:val="20"/>
                <w:szCs w:val="20"/>
              </w:rPr>
              <w:t>The Participant makes purchases that are consistent with the Purchasing Plan.</w:t>
            </w:r>
          </w:p>
        </w:tc>
        <w:tc>
          <w:tcPr>
            <w:tcW w:w="1210" w:type="dxa"/>
            <w:tcBorders>
              <w:bottom w:val="double" w:sz="4" w:space="0" w:color="auto"/>
            </w:tcBorders>
            <w:noWrap/>
            <w:vAlign w:val="center"/>
            <w:hideMark/>
          </w:tcPr>
          <w:p w14:paraId="4B3E63B4" w14:textId="7D918A53"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z w:val="20"/>
                <w:szCs w:val="20"/>
              </w:rPr>
            </w:pPr>
            <w:r w:rsidRPr="00C43D28">
              <w:rPr>
                <w:rFonts w:asciiTheme="minorHAnsi" w:hAnsiTheme="minorHAnsi"/>
                <w:color w:val="000000"/>
                <w:sz w:val="20"/>
                <w:szCs w:val="20"/>
              </w:rPr>
              <w:t>255</w:t>
            </w:r>
          </w:p>
        </w:tc>
        <w:tc>
          <w:tcPr>
            <w:tcW w:w="1011" w:type="dxa"/>
            <w:tcBorders>
              <w:bottom w:val="double" w:sz="4" w:space="0" w:color="auto"/>
            </w:tcBorders>
            <w:vAlign w:val="center"/>
            <w:hideMark/>
          </w:tcPr>
          <w:p w14:paraId="3383D1E0" w14:textId="3BB4CC7F" w:rsidR="00CD4754" w:rsidRPr="00C43D28" w:rsidRDefault="00CD4754" w:rsidP="00CD4754">
            <w:pPr>
              <w:spacing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color w:val="000000"/>
                <w:sz w:val="20"/>
                <w:szCs w:val="20"/>
              </w:rPr>
            </w:pPr>
            <w:r w:rsidRPr="00C43D28">
              <w:rPr>
                <w:rFonts w:asciiTheme="minorHAnsi" w:hAnsiTheme="minorHAnsi"/>
                <w:color w:val="000000"/>
                <w:sz w:val="20"/>
                <w:szCs w:val="20"/>
              </w:rPr>
              <w:t>98.4%</w:t>
            </w:r>
          </w:p>
        </w:tc>
      </w:tr>
      <w:tr w:rsidR="00CD4754" w:rsidRPr="00D162A0" w14:paraId="1A8E03D9" w14:textId="77777777" w:rsidTr="00C43D28">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820" w:type="dxa"/>
            <w:tcBorders>
              <w:top w:val="double" w:sz="4" w:space="0" w:color="auto"/>
            </w:tcBorders>
            <w:shd w:val="clear" w:color="auto" w:fill="FBD4B4" w:themeFill="accent6" w:themeFillTint="66"/>
            <w:noWrap/>
            <w:vAlign w:val="center"/>
          </w:tcPr>
          <w:p w14:paraId="79B13E46" w14:textId="553669AE" w:rsidR="00CD4754" w:rsidRPr="00C43D28" w:rsidRDefault="00CD4754" w:rsidP="00C43D28">
            <w:pPr>
              <w:spacing w:line="240" w:lineRule="auto"/>
              <w:rPr>
                <w:rFonts w:asciiTheme="minorHAnsi" w:hAnsiTheme="minorHAnsi"/>
                <w:color w:val="000000"/>
                <w:sz w:val="20"/>
                <w:szCs w:val="20"/>
              </w:rPr>
            </w:pPr>
            <w:r w:rsidRPr="00C43D28">
              <w:rPr>
                <w:rFonts w:asciiTheme="minorHAnsi" w:hAnsiTheme="minorHAnsi"/>
                <w:color w:val="000000"/>
                <w:sz w:val="20"/>
                <w:szCs w:val="20"/>
              </w:rPr>
              <w:t>Average CDC+ Representative Score</w:t>
            </w:r>
          </w:p>
        </w:tc>
        <w:tc>
          <w:tcPr>
            <w:tcW w:w="1210" w:type="dxa"/>
            <w:tcBorders>
              <w:top w:val="double" w:sz="4" w:space="0" w:color="auto"/>
            </w:tcBorders>
            <w:shd w:val="clear" w:color="auto" w:fill="FBD4B4" w:themeFill="accent6" w:themeFillTint="66"/>
            <w:noWrap/>
            <w:vAlign w:val="center"/>
          </w:tcPr>
          <w:p w14:paraId="1FAF0462" w14:textId="6D902E63"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sz w:val="20"/>
                <w:szCs w:val="20"/>
              </w:rPr>
            </w:pPr>
            <w:r w:rsidRPr="00C43D28">
              <w:rPr>
                <w:rFonts w:asciiTheme="minorHAnsi" w:hAnsiTheme="minorHAnsi"/>
                <w:b/>
                <w:color w:val="000000"/>
                <w:sz w:val="20"/>
                <w:szCs w:val="20"/>
              </w:rPr>
              <w:t>4</w:t>
            </w:r>
            <w:r w:rsidR="00C43D28" w:rsidRPr="00C43D28">
              <w:rPr>
                <w:rFonts w:asciiTheme="minorHAnsi" w:hAnsiTheme="minorHAnsi"/>
                <w:b/>
                <w:color w:val="000000"/>
                <w:sz w:val="20"/>
                <w:szCs w:val="20"/>
              </w:rPr>
              <w:t>,</w:t>
            </w:r>
            <w:r w:rsidRPr="00C43D28">
              <w:rPr>
                <w:rFonts w:asciiTheme="minorHAnsi" w:hAnsiTheme="minorHAnsi"/>
                <w:b/>
                <w:color w:val="000000"/>
                <w:sz w:val="20"/>
                <w:szCs w:val="20"/>
              </w:rPr>
              <w:t>197</w:t>
            </w:r>
          </w:p>
        </w:tc>
        <w:tc>
          <w:tcPr>
            <w:tcW w:w="1011" w:type="dxa"/>
            <w:tcBorders>
              <w:top w:val="double" w:sz="4" w:space="0" w:color="auto"/>
            </w:tcBorders>
            <w:shd w:val="clear" w:color="auto" w:fill="FBD4B4" w:themeFill="accent6" w:themeFillTint="66"/>
            <w:vAlign w:val="center"/>
          </w:tcPr>
          <w:p w14:paraId="1847EE4F" w14:textId="30EF210F" w:rsidR="00CD4754" w:rsidRPr="00C43D28" w:rsidRDefault="00CD4754" w:rsidP="00CD4754">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sz w:val="20"/>
                <w:szCs w:val="20"/>
              </w:rPr>
            </w:pPr>
            <w:r w:rsidRPr="00C43D28">
              <w:rPr>
                <w:rFonts w:asciiTheme="minorHAnsi" w:hAnsiTheme="minorHAnsi"/>
                <w:b/>
                <w:color w:val="000000"/>
                <w:sz w:val="20"/>
                <w:szCs w:val="20"/>
              </w:rPr>
              <w:t>93.2%</w:t>
            </w:r>
          </w:p>
        </w:tc>
      </w:tr>
    </w:tbl>
    <w:p w14:paraId="2DB83443" w14:textId="77777777" w:rsidR="003A4227" w:rsidRDefault="003A4227" w:rsidP="00300080">
      <w:bookmarkStart w:id="48" w:name="_Toc369864677"/>
    </w:p>
    <w:p w14:paraId="3AEBDA4B" w14:textId="01C5981C" w:rsidR="007C1358" w:rsidRDefault="006C0AA7" w:rsidP="001B6245">
      <w:pPr>
        <w:pStyle w:val="Heading3"/>
      </w:pPr>
      <w:bookmarkStart w:id="49" w:name="_Toc459080642"/>
      <w:r>
        <w:t>H</w:t>
      </w:r>
      <w:r w:rsidR="007C1358">
        <w:t>ealth Summary</w:t>
      </w:r>
      <w:bookmarkEnd w:id="48"/>
      <w:bookmarkEnd w:id="49"/>
    </w:p>
    <w:p w14:paraId="081B584A" w14:textId="77777777" w:rsidR="003A4227" w:rsidRDefault="007C1358" w:rsidP="00EA1387">
      <w:r w:rsidRPr="003649E9">
        <w:t>During the PCR, Delmarva reviewers utili</w:t>
      </w:r>
      <w:r w:rsidR="00F50FB3" w:rsidRPr="003649E9">
        <w:t xml:space="preserve">ze an extensive Health Summary </w:t>
      </w:r>
      <w:r w:rsidRPr="003649E9">
        <w:t>tool to help determine the individual’s health status in various areas, such as a need for adaptive equipment; if visits have been made to the doctor or dentist; if the person has been hospitalized or been to the emergency room; and type and number of psychotherapeutic drugs the person is taking.</w:t>
      </w:r>
      <w:r>
        <w:t xml:space="preserve">  </w:t>
      </w:r>
    </w:p>
    <w:p w14:paraId="32477CC8" w14:textId="77777777" w:rsidR="003A4227" w:rsidRDefault="003A4227" w:rsidP="00EA1387"/>
    <w:p w14:paraId="06597B2D" w14:textId="72C6008A" w:rsidR="00BC1010" w:rsidRDefault="00BE64BB" w:rsidP="00EA1387">
      <w:r>
        <w:t>The following table</w:t>
      </w:r>
      <w:r w:rsidR="00BC1010">
        <w:t>s show</w:t>
      </w:r>
      <w:r>
        <w:t xml:space="preserve"> the percent of individuals who were taking prescription medications for Waiver and CDC+</w:t>
      </w:r>
      <w:r w:rsidR="0026297D">
        <w:t xml:space="preserve"> participants</w:t>
      </w:r>
      <w:r>
        <w:t xml:space="preserve"> by </w:t>
      </w:r>
      <w:r w:rsidRPr="001B25B0">
        <w:t>the number of medications taken</w:t>
      </w:r>
      <w:r w:rsidR="00BC1010" w:rsidRPr="001B25B0">
        <w:t xml:space="preserve"> (Table 11)</w:t>
      </w:r>
      <w:r w:rsidR="001B25B0" w:rsidRPr="001B25B0">
        <w:t>;</w:t>
      </w:r>
      <w:r w:rsidR="00BC1010" w:rsidRPr="001B25B0">
        <w:t xml:space="preserve"> </w:t>
      </w:r>
      <w:r w:rsidR="001B25B0" w:rsidRPr="001B25B0">
        <w:t>for</w:t>
      </w:r>
      <w:r w:rsidR="007E68F4" w:rsidRPr="001B25B0">
        <w:t xml:space="preserve"> </w:t>
      </w:r>
      <w:r w:rsidR="00D375BA" w:rsidRPr="001B25B0">
        <w:t>four or more mediations taken and t</w:t>
      </w:r>
      <w:r w:rsidR="00BC1010" w:rsidRPr="001B25B0">
        <w:t xml:space="preserve">he percent </w:t>
      </w:r>
      <w:r w:rsidR="007E68F4" w:rsidRPr="001B25B0">
        <w:t xml:space="preserve">of individuals </w:t>
      </w:r>
      <w:r w:rsidR="00BC1010" w:rsidRPr="001B25B0">
        <w:t xml:space="preserve">with health concerns </w:t>
      </w:r>
      <w:r w:rsidR="00D375BA" w:rsidRPr="001B25B0">
        <w:t xml:space="preserve">by </w:t>
      </w:r>
      <w:r w:rsidR="001B25B0" w:rsidRPr="001B25B0">
        <w:t>year</w:t>
      </w:r>
      <w:r w:rsidR="00D375BA" w:rsidRPr="001B25B0">
        <w:t xml:space="preserve"> </w:t>
      </w:r>
      <w:r w:rsidR="00BC1010" w:rsidRPr="001B25B0">
        <w:t>(Table 1</w:t>
      </w:r>
      <w:r w:rsidR="00D375BA" w:rsidRPr="001B25B0">
        <w:t>2</w:t>
      </w:r>
      <w:r w:rsidR="00BC1010" w:rsidRPr="001B25B0">
        <w:t>) and common health and welfare indicators (Table 1</w:t>
      </w:r>
      <w:r w:rsidR="00D375BA" w:rsidRPr="001B25B0">
        <w:t>3</w:t>
      </w:r>
      <w:r w:rsidR="00BC1010" w:rsidRPr="001B25B0">
        <w:t>)</w:t>
      </w:r>
      <w:r w:rsidRPr="001B25B0">
        <w:t xml:space="preserve">. </w:t>
      </w:r>
      <w:r w:rsidR="00BC1010" w:rsidRPr="001B25B0">
        <w:t>Findings to date this</w:t>
      </w:r>
      <w:r w:rsidR="00BC1010">
        <w:t xml:space="preserve"> year indicate the following:</w:t>
      </w:r>
    </w:p>
    <w:p w14:paraId="576A1403" w14:textId="77777777" w:rsidR="00251ECB" w:rsidRPr="002B2594" w:rsidRDefault="00251ECB" w:rsidP="00EA1387"/>
    <w:p w14:paraId="28B63C52" w14:textId="2F1DE679" w:rsidR="00D828CB" w:rsidRPr="00D828CB" w:rsidRDefault="00240538" w:rsidP="00646181">
      <w:pPr>
        <w:pStyle w:val="ListParagraph"/>
        <w:numPr>
          <w:ilvl w:val="0"/>
          <w:numId w:val="8"/>
        </w:numPr>
      </w:pPr>
      <w:r>
        <w:t xml:space="preserve">Approximately 75 percent of </w:t>
      </w:r>
      <w:r w:rsidR="00D828CB" w:rsidRPr="00D828CB">
        <w:t xml:space="preserve">CDC+ Participants were </w:t>
      </w:r>
      <w:r>
        <w:t xml:space="preserve">taking up </w:t>
      </w:r>
      <w:r w:rsidR="00D828CB" w:rsidRPr="00D828CB">
        <w:t>to three medications</w:t>
      </w:r>
      <w:r>
        <w:t>, compared to 62 percent of individuals on the DD Waiver</w:t>
      </w:r>
      <w:r w:rsidR="00D828CB" w:rsidRPr="00D828CB">
        <w:t>.</w:t>
      </w:r>
    </w:p>
    <w:p w14:paraId="45E8AF93" w14:textId="4882C903" w:rsidR="00BC1010" w:rsidRPr="00D828CB" w:rsidRDefault="00240538" w:rsidP="00646181">
      <w:pPr>
        <w:pStyle w:val="ListParagraph"/>
        <w:numPr>
          <w:ilvl w:val="0"/>
          <w:numId w:val="8"/>
        </w:numPr>
      </w:pPr>
      <w:r>
        <w:lastRenderedPageBreak/>
        <w:t xml:space="preserve">Almost twice the proportion of Waiver participants were taking seven or more medications compared to CDC+, 8.1 percent and 4.6 percent respectively.  </w:t>
      </w:r>
    </w:p>
    <w:p w14:paraId="57DCEED4" w14:textId="7DC6A6E6" w:rsidR="00937F4B" w:rsidRPr="00D828CB" w:rsidRDefault="00937F4B" w:rsidP="00646181">
      <w:pPr>
        <w:pStyle w:val="ListParagraph"/>
        <w:numPr>
          <w:ilvl w:val="0"/>
          <w:numId w:val="8"/>
        </w:numPr>
      </w:pPr>
      <w:r w:rsidRPr="00D828CB">
        <w:t>Most individuals with a health concern indicated needs were met.</w:t>
      </w:r>
    </w:p>
    <w:p w14:paraId="5E253E4A" w14:textId="211E186A" w:rsidR="00F23C8D" w:rsidRPr="00B239A9" w:rsidRDefault="00251ECB" w:rsidP="00F23C8D">
      <w:pPr>
        <w:pStyle w:val="ListParagraph"/>
        <w:numPr>
          <w:ilvl w:val="0"/>
          <w:numId w:val="8"/>
        </w:numPr>
      </w:pPr>
      <w:r w:rsidRPr="00B239A9">
        <w:t>CDC+ participants</w:t>
      </w:r>
      <w:r w:rsidR="00B239A9" w:rsidRPr="00B239A9">
        <w:t xml:space="preserve"> were more likely to have been admitted to the hospital or been to an emergency room than were individuals on the DD Waiver. </w:t>
      </w:r>
      <w:r w:rsidRPr="00B239A9">
        <w:t xml:space="preserve"> </w:t>
      </w:r>
    </w:p>
    <w:p w14:paraId="5C61754D" w14:textId="77777777" w:rsidR="00B239A9" w:rsidRDefault="00B239A9" w:rsidP="00B239A9"/>
    <w:p w14:paraId="014BE2C1" w14:textId="77777777" w:rsidR="00320B36" w:rsidRPr="002B2594" w:rsidRDefault="00320B36" w:rsidP="00B239A9"/>
    <w:tbl>
      <w:tblPr>
        <w:tblStyle w:val="LightList"/>
        <w:tblW w:w="5013" w:type="dxa"/>
        <w:jc w:val="center"/>
        <w:tblLook w:val="04A0" w:firstRow="1" w:lastRow="0" w:firstColumn="1" w:lastColumn="0" w:noHBand="0" w:noVBand="1"/>
      </w:tblPr>
      <w:tblGrid>
        <w:gridCol w:w="2020"/>
        <w:gridCol w:w="1275"/>
        <w:gridCol w:w="1718"/>
      </w:tblGrid>
      <w:tr w:rsidR="00B3314E" w:rsidRPr="00B3314E" w14:paraId="75EEA671" w14:textId="77777777" w:rsidTr="001E7713">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013" w:type="dxa"/>
            <w:gridSpan w:val="3"/>
            <w:tcBorders>
              <w:top w:val="single" w:sz="8" w:space="0" w:color="000000" w:themeColor="text1"/>
              <w:bottom w:val="single" w:sz="8" w:space="0" w:color="000000" w:themeColor="text1"/>
            </w:tcBorders>
            <w:shd w:val="clear" w:color="auto" w:fill="244061" w:themeFill="accent1" w:themeFillShade="80"/>
            <w:noWrap/>
            <w:vAlign w:val="bottom"/>
            <w:hideMark/>
          </w:tcPr>
          <w:p w14:paraId="67FD27D9" w14:textId="45E1F25B" w:rsidR="00B3314E" w:rsidRPr="00065DDB" w:rsidRDefault="00B3314E" w:rsidP="003A4227">
            <w:pPr>
              <w:spacing w:line="240" w:lineRule="auto"/>
              <w:jc w:val="center"/>
              <w:rPr>
                <w:rFonts w:ascii="Franklin Gothic Medium" w:eastAsia="Times New Roman" w:hAnsi="Franklin Gothic Medium" w:cs="Times New Roman"/>
                <w:color w:val="000000"/>
                <w:sz w:val="22"/>
              </w:rPr>
            </w:pPr>
            <w:r w:rsidRPr="00065DDB">
              <w:rPr>
                <w:rFonts w:ascii="Franklin Gothic Medium" w:eastAsia="Times New Roman" w:hAnsi="Franklin Gothic Medium" w:cs="Times New Roman"/>
                <w:sz w:val="22"/>
              </w:rPr>
              <w:t>Table 1</w:t>
            </w:r>
            <w:r w:rsidR="003A4227" w:rsidRPr="00065DDB">
              <w:rPr>
                <w:rFonts w:ascii="Franklin Gothic Medium" w:eastAsia="Times New Roman" w:hAnsi="Franklin Gothic Medium" w:cs="Times New Roman"/>
                <w:sz w:val="22"/>
              </w:rPr>
              <w:t>1</w:t>
            </w:r>
            <w:r w:rsidRPr="00065DDB">
              <w:rPr>
                <w:rFonts w:ascii="Franklin Gothic Medium" w:eastAsia="Times New Roman" w:hAnsi="Franklin Gothic Medium" w:cs="Times New Roman"/>
                <w:sz w:val="22"/>
              </w:rPr>
              <w:t>:  Prescription Medications Taken</w:t>
            </w:r>
          </w:p>
        </w:tc>
      </w:tr>
      <w:tr w:rsidR="00B3314E" w:rsidRPr="00B3314E" w14:paraId="0A27EF50" w14:textId="77777777" w:rsidTr="001E7713">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5013" w:type="dxa"/>
            <w:gridSpan w:val="3"/>
            <w:tcBorders>
              <w:bottom w:val="nil"/>
            </w:tcBorders>
            <w:noWrap/>
            <w:vAlign w:val="bottom"/>
            <w:hideMark/>
          </w:tcPr>
          <w:p w14:paraId="5F74427F" w14:textId="2B6E5C98" w:rsidR="00B3314E" w:rsidRPr="00065DDB" w:rsidRDefault="00B3314E" w:rsidP="007E68F4">
            <w:pPr>
              <w:spacing w:line="240" w:lineRule="auto"/>
              <w:jc w:val="center"/>
              <w:rPr>
                <w:rFonts w:ascii="Franklin Gothic Medium" w:eastAsia="Times New Roman" w:hAnsi="Franklin Gothic Medium" w:cs="Times New Roman"/>
                <w:b w:val="0"/>
                <w:color w:val="000000"/>
                <w:sz w:val="22"/>
              </w:rPr>
            </w:pPr>
            <w:r w:rsidRPr="00065DDB">
              <w:rPr>
                <w:rFonts w:ascii="Franklin Gothic Medium" w:eastAsia="Times New Roman" w:hAnsi="Franklin Gothic Medium" w:cs="Times New Roman"/>
                <w:b w:val="0"/>
                <w:color w:val="000000"/>
                <w:sz w:val="22"/>
              </w:rPr>
              <w:t xml:space="preserve">January </w:t>
            </w:r>
            <w:r w:rsidR="002B2594" w:rsidRPr="00065DDB">
              <w:rPr>
                <w:rFonts w:ascii="Franklin Gothic Medium" w:eastAsia="Times New Roman" w:hAnsi="Franklin Gothic Medium" w:cs="Times New Roman"/>
                <w:b w:val="0"/>
                <w:color w:val="000000"/>
                <w:sz w:val="22"/>
              </w:rPr>
              <w:t>–</w:t>
            </w:r>
            <w:r w:rsidRPr="00065DDB">
              <w:rPr>
                <w:rFonts w:ascii="Franklin Gothic Medium" w:eastAsia="Times New Roman" w:hAnsi="Franklin Gothic Medium" w:cs="Times New Roman"/>
                <w:b w:val="0"/>
                <w:color w:val="000000"/>
                <w:sz w:val="22"/>
              </w:rPr>
              <w:t xml:space="preserve"> </w:t>
            </w:r>
            <w:r w:rsidR="007E68F4">
              <w:rPr>
                <w:rFonts w:ascii="Franklin Gothic Medium" w:eastAsia="Times New Roman" w:hAnsi="Franklin Gothic Medium" w:cs="Times New Roman"/>
                <w:b w:val="0"/>
                <w:color w:val="000000"/>
                <w:sz w:val="22"/>
              </w:rPr>
              <w:t>June</w:t>
            </w:r>
            <w:r w:rsidR="002B2594" w:rsidRPr="00065DDB">
              <w:rPr>
                <w:rFonts w:ascii="Franklin Gothic Medium" w:eastAsia="Times New Roman" w:hAnsi="Franklin Gothic Medium" w:cs="Times New Roman"/>
                <w:b w:val="0"/>
                <w:color w:val="000000"/>
                <w:sz w:val="22"/>
              </w:rPr>
              <w:t xml:space="preserve"> </w:t>
            </w:r>
            <w:r w:rsidRPr="00065DDB">
              <w:rPr>
                <w:rFonts w:ascii="Franklin Gothic Medium" w:eastAsia="Times New Roman" w:hAnsi="Franklin Gothic Medium" w:cs="Times New Roman"/>
                <w:b w:val="0"/>
                <w:color w:val="000000"/>
                <w:sz w:val="22"/>
              </w:rPr>
              <w:t>201</w:t>
            </w:r>
            <w:r w:rsidR="00630B0C">
              <w:rPr>
                <w:rFonts w:ascii="Franklin Gothic Medium" w:eastAsia="Times New Roman" w:hAnsi="Franklin Gothic Medium" w:cs="Times New Roman"/>
                <w:b w:val="0"/>
                <w:color w:val="000000"/>
                <w:sz w:val="22"/>
              </w:rPr>
              <w:t>6</w:t>
            </w:r>
          </w:p>
        </w:tc>
      </w:tr>
      <w:tr w:rsidR="00B3314E" w:rsidRPr="00B3314E" w14:paraId="0EB98901" w14:textId="77777777" w:rsidTr="00065DDB">
        <w:trPr>
          <w:trHeight w:val="511"/>
          <w:jc w:val="center"/>
        </w:trPr>
        <w:tc>
          <w:tcPr>
            <w:cnfStyle w:val="001000000000" w:firstRow="0" w:lastRow="0" w:firstColumn="1" w:lastColumn="0" w:oddVBand="0" w:evenVBand="0" w:oddHBand="0" w:evenHBand="0" w:firstRowFirstColumn="0" w:firstRowLastColumn="0" w:lastRowFirstColumn="0" w:lastRowLastColumn="0"/>
            <w:tcW w:w="2020" w:type="dxa"/>
            <w:tcBorders>
              <w:top w:val="nil"/>
              <w:bottom w:val="single" w:sz="8" w:space="0" w:color="000000" w:themeColor="text1"/>
            </w:tcBorders>
            <w:shd w:val="clear" w:color="auto" w:fill="D9D9D9" w:themeFill="background1" w:themeFillShade="D9"/>
            <w:vAlign w:val="bottom"/>
            <w:hideMark/>
          </w:tcPr>
          <w:p w14:paraId="39147620" w14:textId="77777777" w:rsidR="00B3314E" w:rsidRPr="00065DDB" w:rsidRDefault="00B3314E" w:rsidP="00B3314E">
            <w:pPr>
              <w:spacing w:line="240" w:lineRule="auto"/>
              <w:jc w:val="center"/>
              <w:rPr>
                <w:rFonts w:ascii="Franklin Gothic Medium" w:eastAsia="Times New Roman" w:hAnsi="Franklin Gothic Medium" w:cs="Times New Roman"/>
                <w:b w:val="0"/>
                <w:color w:val="000000"/>
                <w:sz w:val="22"/>
              </w:rPr>
            </w:pPr>
            <w:r w:rsidRPr="00065DDB">
              <w:rPr>
                <w:rFonts w:ascii="Franklin Gothic Medium" w:eastAsia="Times New Roman" w:hAnsi="Franklin Gothic Medium" w:cs="Times New Roman"/>
                <w:b w:val="0"/>
                <w:color w:val="000000"/>
                <w:sz w:val="22"/>
              </w:rPr>
              <w:t>Number of Medications</w:t>
            </w:r>
          </w:p>
        </w:tc>
        <w:tc>
          <w:tcPr>
            <w:tcW w:w="1275" w:type="dxa"/>
            <w:tcBorders>
              <w:top w:val="nil"/>
              <w:bottom w:val="single" w:sz="8" w:space="0" w:color="000000" w:themeColor="text1"/>
            </w:tcBorders>
            <w:shd w:val="clear" w:color="auto" w:fill="D9D9D9" w:themeFill="background1" w:themeFillShade="D9"/>
            <w:vAlign w:val="bottom"/>
            <w:hideMark/>
          </w:tcPr>
          <w:p w14:paraId="61048DF4" w14:textId="49F98AF4" w:rsidR="00B3314E" w:rsidRPr="00065DDB" w:rsidRDefault="007E68F4" w:rsidP="007E68F4">
            <w:pPr>
              <w:spacing w:line="240" w:lineRule="auto"/>
              <w:jc w:val="center"/>
              <w:cnfStyle w:val="000000000000" w:firstRow="0"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color w:val="000000"/>
                <w:sz w:val="22"/>
              </w:rPr>
            </w:pPr>
            <w:r>
              <w:rPr>
                <w:rFonts w:ascii="Franklin Gothic Medium" w:eastAsia="Times New Roman" w:hAnsi="Franklin Gothic Medium" w:cs="Times New Roman"/>
                <w:color w:val="000000"/>
                <w:sz w:val="22"/>
              </w:rPr>
              <w:t xml:space="preserve">Waiver </w:t>
            </w:r>
          </w:p>
        </w:tc>
        <w:tc>
          <w:tcPr>
            <w:tcW w:w="1718" w:type="dxa"/>
            <w:tcBorders>
              <w:top w:val="nil"/>
              <w:bottom w:val="single" w:sz="8" w:space="0" w:color="000000" w:themeColor="text1"/>
            </w:tcBorders>
            <w:shd w:val="clear" w:color="auto" w:fill="D9D9D9" w:themeFill="background1" w:themeFillShade="D9"/>
            <w:vAlign w:val="bottom"/>
            <w:hideMark/>
          </w:tcPr>
          <w:p w14:paraId="06C6ABCD" w14:textId="3C6AC997" w:rsidR="00B3314E" w:rsidRPr="00065DDB" w:rsidRDefault="007E68F4" w:rsidP="007E68F4">
            <w:pPr>
              <w:spacing w:line="240" w:lineRule="auto"/>
              <w:jc w:val="center"/>
              <w:cnfStyle w:val="000000000000" w:firstRow="0"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color w:val="000000"/>
                <w:sz w:val="22"/>
              </w:rPr>
            </w:pPr>
            <w:r>
              <w:rPr>
                <w:rFonts w:ascii="Franklin Gothic Medium" w:eastAsia="Times New Roman" w:hAnsi="Franklin Gothic Medium" w:cs="Times New Roman"/>
                <w:color w:val="000000"/>
                <w:sz w:val="22"/>
              </w:rPr>
              <w:t>CDC+</w:t>
            </w:r>
          </w:p>
        </w:tc>
      </w:tr>
      <w:tr w:rsidR="007E68F4" w:rsidRPr="00B3314E" w14:paraId="4043845D" w14:textId="77777777" w:rsidTr="00630B0C">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020" w:type="dxa"/>
            <w:noWrap/>
            <w:vAlign w:val="bottom"/>
            <w:hideMark/>
          </w:tcPr>
          <w:p w14:paraId="7EC9A14F" w14:textId="77777777" w:rsidR="007E68F4" w:rsidRPr="007E68F4" w:rsidRDefault="007E68F4" w:rsidP="003A4227">
            <w:pPr>
              <w:spacing w:line="240" w:lineRule="auto"/>
              <w:jc w:val="center"/>
              <w:rPr>
                <w:rFonts w:ascii="Calibri" w:eastAsia="Times New Roman" w:hAnsi="Calibri" w:cs="Times New Roman"/>
                <w:color w:val="000000"/>
                <w:sz w:val="20"/>
                <w:szCs w:val="20"/>
              </w:rPr>
            </w:pPr>
            <w:r w:rsidRPr="007E68F4">
              <w:rPr>
                <w:rFonts w:ascii="Calibri" w:eastAsia="Times New Roman" w:hAnsi="Calibri" w:cs="Times New Roman"/>
                <w:color w:val="000000"/>
                <w:sz w:val="20"/>
                <w:szCs w:val="20"/>
              </w:rPr>
              <w:t>0</w:t>
            </w:r>
          </w:p>
        </w:tc>
        <w:tc>
          <w:tcPr>
            <w:tcW w:w="1275" w:type="dxa"/>
            <w:noWrap/>
            <w:vAlign w:val="bottom"/>
          </w:tcPr>
          <w:p w14:paraId="183E4B83" w14:textId="7EF60D86" w:rsidR="007E68F4" w:rsidRPr="007E68F4" w:rsidRDefault="007E68F4" w:rsidP="003A422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E68F4">
              <w:rPr>
                <w:rFonts w:ascii="Calibri" w:hAnsi="Calibri"/>
                <w:color w:val="000000"/>
                <w:sz w:val="20"/>
                <w:szCs w:val="20"/>
              </w:rPr>
              <w:t>14.9%</w:t>
            </w:r>
          </w:p>
        </w:tc>
        <w:tc>
          <w:tcPr>
            <w:tcW w:w="1718" w:type="dxa"/>
            <w:noWrap/>
            <w:vAlign w:val="bottom"/>
          </w:tcPr>
          <w:p w14:paraId="28E3A527" w14:textId="6AD15361" w:rsidR="007E68F4" w:rsidRPr="007E68F4" w:rsidRDefault="007E68F4" w:rsidP="003A422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E68F4">
              <w:rPr>
                <w:rFonts w:ascii="Calibri" w:hAnsi="Calibri"/>
                <w:color w:val="000000"/>
                <w:sz w:val="20"/>
                <w:szCs w:val="20"/>
              </w:rPr>
              <w:t>17.9%</w:t>
            </w:r>
          </w:p>
        </w:tc>
      </w:tr>
      <w:tr w:rsidR="007E68F4" w:rsidRPr="00B3314E" w14:paraId="486A1B69" w14:textId="77777777" w:rsidTr="00630B0C">
        <w:trPr>
          <w:trHeight w:val="223"/>
          <w:jc w:val="center"/>
        </w:trPr>
        <w:tc>
          <w:tcPr>
            <w:cnfStyle w:val="001000000000" w:firstRow="0" w:lastRow="0" w:firstColumn="1" w:lastColumn="0" w:oddVBand="0" w:evenVBand="0" w:oddHBand="0" w:evenHBand="0" w:firstRowFirstColumn="0" w:firstRowLastColumn="0" w:lastRowFirstColumn="0" w:lastRowLastColumn="0"/>
            <w:tcW w:w="2020" w:type="dxa"/>
            <w:noWrap/>
            <w:vAlign w:val="bottom"/>
            <w:hideMark/>
          </w:tcPr>
          <w:p w14:paraId="7939AA4A" w14:textId="77777777" w:rsidR="007E68F4" w:rsidRPr="007E68F4" w:rsidRDefault="007E68F4" w:rsidP="003A4227">
            <w:pPr>
              <w:spacing w:line="240" w:lineRule="auto"/>
              <w:jc w:val="center"/>
              <w:rPr>
                <w:rFonts w:ascii="Calibri" w:eastAsia="Times New Roman" w:hAnsi="Calibri" w:cs="Times New Roman"/>
                <w:color w:val="000000"/>
                <w:sz w:val="20"/>
                <w:szCs w:val="20"/>
              </w:rPr>
            </w:pPr>
            <w:r w:rsidRPr="007E68F4">
              <w:rPr>
                <w:rFonts w:ascii="Calibri" w:eastAsia="Times New Roman" w:hAnsi="Calibri" w:cs="Times New Roman"/>
                <w:color w:val="000000"/>
                <w:sz w:val="20"/>
                <w:szCs w:val="20"/>
              </w:rPr>
              <w:t>1 - 3</w:t>
            </w:r>
          </w:p>
        </w:tc>
        <w:tc>
          <w:tcPr>
            <w:tcW w:w="1275" w:type="dxa"/>
            <w:noWrap/>
            <w:vAlign w:val="bottom"/>
          </w:tcPr>
          <w:p w14:paraId="3446D62A" w14:textId="5C473C90" w:rsidR="007E68F4" w:rsidRPr="007E68F4" w:rsidRDefault="007E68F4" w:rsidP="003A422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E68F4">
              <w:rPr>
                <w:rFonts w:ascii="Calibri" w:hAnsi="Calibri"/>
                <w:color w:val="000000"/>
                <w:sz w:val="20"/>
                <w:szCs w:val="20"/>
              </w:rPr>
              <w:t>47.3%</w:t>
            </w:r>
          </w:p>
        </w:tc>
        <w:tc>
          <w:tcPr>
            <w:tcW w:w="1718" w:type="dxa"/>
            <w:noWrap/>
            <w:vAlign w:val="bottom"/>
          </w:tcPr>
          <w:p w14:paraId="1C92D7B6" w14:textId="6478A0F0" w:rsidR="007E68F4" w:rsidRPr="007E68F4" w:rsidRDefault="007E68F4" w:rsidP="003A422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E68F4">
              <w:rPr>
                <w:rFonts w:ascii="Calibri" w:hAnsi="Calibri"/>
                <w:color w:val="000000"/>
                <w:sz w:val="20"/>
                <w:szCs w:val="20"/>
              </w:rPr>
              <w:t>57.0%</w:t>
            </w:r>
          </w:p>
        </w:tc>
      </w:tr>
      <w:tr w:rsidR="007E68F4" w:rsidRPr="00B3314E" w14:paraId="6764D55E" w14:textId="77777777" w:rsidTr="00630B0C">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2020" w:type="dxa"/>
            <w:noWrap/>
            <w:vAlign w:val="bottom"/>
            <w:hideMark/>
          </w:tcPr>
          <w:p w14:paraId="29AA7120" w14:textId="77777777" w:rsidR="007E68F4" w:rsidRPr="007E68F4" w:rsidRDefault="007E68F4" w:rsidP="003A4227">
            <w:pPr>
              <w:spacing w:line="240" w:lineRule="auto"/>
              <w:jc w:val="center"/>
              <w:rPr>
                <w:rFonts w:ascii="Calibri" w:eastAsia="Times New Roman" w:hAnsi="Calibri" w:cs="Times New Roman"/>
                <w:color w:val="000000"/>
                <w:sz w:val="20"/>
                <w:szCs w:val="20"/>
              </w:rPr>
            </w:pPr>
            <w:r w:rsidRPr="007E68F4">
              <w:rPr>
                <w:rFonts w:ascii="Calibri" w:eastAsia="Times New Roman" w:hAnsi="Calibri" w:cs="Times New Roman"/>
                <w:color w:val="000000"/>
                <w:sz w:val="20"/>
                <w:szCs w:val="20"/>
              </w:rPr>
              <w:t>4 - 6</w:t>
            </w:r>
          </w:p>
        </w:tc>
        <w:tc>
          <w:tcPr>
            <w:tcW w:w="1275" w:type="dxa"/>
            <w:noWrap/>
            <w:vAlign w:val="bottom"/>
          </w:tcPr>
          <w:p w14:paraId="0AC29446" w14:textId="0F5A008A" w:rsidR="007E68F4" w:rsidRPr="007E68F4" w:rsidRDefault="007E68F4" w:rsidP="003A422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7E68F4">
              <w:rPr>
                <w:rFonts w:ascii="Calibri" w:hAnsi="Calibri"/>
                <w:color w:val="000000"/>
                <w:sz w:val="20"/>
                <w:szCs w:val="20"/>
              </w:rPr>
              <w:t>29.7%</w:t>
            </w:r>
          </w:p>
        </w:tc>
        <w:tc>
          <w:tcPr>
            <w:tcW w:w="1718" w:type="dxa"/>
            <w:noWrap/>
            <w:vAlign w:val="bottom"/>
          </w:tcPr>
          <w:p w14:paraId="65BEE505" w14:textId="6D6DE2A6" w:rsidR="007E68F4" w:rsidRPr="007E68F4" w:rsidRDefault="007E68F4" w:rsidP="003A422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7E68F4">
              <w:rPr>
                <w:rFonts w:ascii="Calibri" w:hAnsi="Calibri"/>
                <w:color w:val="000000"/>
                <w:sz w:val="20"/>
                <w:szCs w:val="20"/>
              </w:rPr>
              <w:t>20.5%</w:t>
            </w:r>
          </w:p>
        </w:tc>
      </w:tr>
      <w:tr w:rsidR="007E68F4" w:rsidRPr="00B3314E" w14:paraId="33FFA7A0" w14:textId="77777777" w:rsidTr="00630B0C">
        <w:trPr>
          <w:trHeight w:val="241"/>
          <w:jc w:val="center"/>
        </w:trPr>
        <w:tc>
          <w:tcPr>
            <w:cnfStyle w:val="001000000000" w:firstRow="0" w:lastRow="0" w:firstColumn="1" w:lastColumn="0" w:oddVBand="0" w:evenVBand="0" w:oddHBand="0" w:evenHBand="0" w:firstRowFirstColumn="0" w:firstRowLastColumn="0" w:lastRowFirstColumn="0" w:lastRowLastColumn="0"/>
            <w:tcW w:w="2020" w:type="dxa"/>
            <w:noWrap/>
            <w:vAlign w:val="bottom"/>
            <w:hideMark/>
          </w:tcPr>
          <w:p w14:paraId="225A6E36" w14:textId="77777777" w:rsidR="007E68F4" w:rsidRPr="007E68F4" w:rsidRDefault="007E68F4" w:rsidP="003A4227">
            <w:pPr>
              <w:spacing w:line="240" w:lineRule="auto"/>
              <w:jc w:val="center"/>
              <w:rPr>
                <w:rFonts w:ascii="Calibri" w:eastAsia="Times New Roman" w:hAnsi="Calibri" w:cs="Times New Roman"/>
                <w:color w:val="000000"/>
                <w:sz w:val="20"/>
                <w:szCs w:val="20"/>
              </w:rPr>
            </w:pPr>
            <w:r w:rsidRPr="007E68F4">
              <w:rPr>
                <w:rFonts w:ascii="Calibri" w:eastAsia="Times New Roman" w:hAnsi="Calibri" w:cs="Times New Roman"/>
                <w:color w:val="000000"/>
                <w:sz w:val="20"/>
                <w:szCs w:val="20"/>
              </w:rPr>
              <w:t>7+</w:t>
            </w:r>
          </w:p>
        </w:tc>
        <w:tc>
          <w:tcPr>
            <w:tcW w:w="1275" w:type="dxa"/>
            <w:noWrap/>
            <w:vAlign w:val="bottom"/>
          </w:tcPr>
          <w:p w14:paraId="0242D926" w14:textId="40DB780B" w:rsidR="007E68F4" w:rsidRPr="007E68F4" w:rsidRDefault="007E68F4" w:rsidP="003A422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7E68F4">
              <w:rPr>
                <w:rFonts w:ascii="Calibri" w:hAnsi="Calibri"/>
                <w:color w:val="000000"/>
                <w:sz w:val="20"/>
                <w:szCs w:val="20"/>
              </w:rPr>
              <w:t>8.1%</w:t>
            </w:r>
          </w:p>
        </w:tc>
        <w:tc>
          <w:tcPr>
            <w:tcW w:w="1718" w:type="dxa"/>
            <w:noWrap/>
            <w:vAlign w:val="bottom"/>
          </w:tcPr>
          <w:p w14:paraId="59913DE0" w14:textId="13E64AE4" w:rsidR="007E68F4" w:rsidRPr="007E68F4" w:rsidRDefault="007E68F4" w:rsidP="003A4227">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7E68F4">
              <w:rPr>
                <w:rFonts w:ascii="Calibri" w:hAnsi="Calibri"/>
                <w:color w:val="000000"/>
                <w:sz w:val="20"/>
                <w:szCs w:val="20"/>
              </w:rPr>
              <w:t>4.6%</w:t>
            </w:r>
          </w:p>
        </w:tc>
      </w:tr>
      <w:tr w:rsidR="007E68F4" w:rsidRPr="00B3314E" w14:paraId="7D1BB31C" w14:textId="77777777" w:rsidTr="00630B0C">
        <w:trPr>
          <w:cnfStyle w:val="000000100000" w:firstRow="0" w:lastRow="0" w:firstColumn="0" w:lastColumn="0" w:oddVBand="0" w:evenVBand="0" w:oddHBand="1" w:evenHBand="0" w:firstRowFirstColumn="0" w:firstRowLastColumn="0" w:lastRowFirstColumn="0" w:lastRowLastColumn="0"/>
          <w:trHeight w:val="241"/>
          <w:jc w:val="center"/>
        </w:trPr>
        <w:tc>
          <w:tcPr>
            <w:cnfStyle w:val="001000000000" w:firstRow="0" w:lastRow="0" w:firstColumn="1" w:lastColumn="0" w:oddVBand="0" w:evenVBand="0" w:oddHBand="0" w:evenHBand="0" w:firstRowFirstColumn="0" w:firstRowLastColumn="0" w:lastRowFirstColumn="0" w:lastRowLastColumn="0"/>
            <w:tcW w:w="2020" w:type="dxa"/>
            <w:noWrap/>
            <w:vAlign w:val="bottom"/>
          </w:tcPr>
          <w:p w14:paraId="3184D079" w14:textId="2AB321D9" w:rsidR="007E68F4" w:rsidRPr="007E68F4" w:rsidRDefault="007E68F4" w:rsidP="003A4227">
            <w:pPr>
              <w:spacing w:line="240" w:lineRule="auto"/>
              <w:jc w:val="center"/>
              <w:rPr>
                <w:rFonts w:ascii="Calibri" w:eastAsia="Times New Roman" w:hAnsi="Calibri" w:cs="Times New Roman"/>
                <w:color w:val="000000"/>
                <w:sz w:val="20"/>
                <w:szCs w:val="20"/>
              </w:rPr>
            </w:pPr>
            <w:r w:rsidRPr="007E68F4">
              <w:rPr>
                <w:rFonts w:ascii="Calibri" w:eastAsia="Times New Roman" w:hAnsi="Calibri" w:cs="Times New Roman"/>
                <w:color w:val="000000"/>
                <w:sz w:val="20"/>
                <w:szCs w:val="20"/>
              </w:rPr>
              <w:t>Total N</w:t>
            </w:r>
          </w:p>
        </w:tc>
        <w:tc>
          <w:tcPr>
            <w:tcW w:w="1275" w:type="dxa"/>
            <w:noWrap/>
            <w:vAlign w:val="bottom"/>
          </w:tcPr>
          <w:p w14:paraId="4F3E7265" w14:textId="04D3B764" w:rsidR="007E68F4" w:rsidRPr="007E68F4" w:rsidRDefault="007E68F4" w:rsidP="003A422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E68F4">
              <w:rPr>
                <w:rFonts w:ascii="Calibri" w:hAnsi="Calibri"/>
                <w:color w:val="000000"/>
                <w:sz w:val="20"/>
                <w:szCs w:val="20"/>
              </w:rPr>
              <w:t>632</w:t>
            </w:r>
          </w:p>
        </w:tc>
        <w:tc>
          <w:tcPr>
            <w:tcW w:w="1718" w:type="dxa"/>
            <w:noWrap/>
            <w:vAlign w:val="bottom"/>
          </w:tcPr>
          <w:p w14:paraId="29B76EA0" w14:textId="492F3166" w:rsidR="007E68F4" w:rsidRPr="007E68F4" w:rsidRDefault="007E68F4" w:rsidP="003A4227">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7E68F4">
              <w:rPr>
                <w:rFonts w:ascii="Calibri" w:hAnsi="Calibri"/>
                <w:color w:val="000000"/>
                <w:sz w:val="20"/>
                <w:szCs w:val="20"/>
              </w:rPr>
              <w:t>151</w:t>
            </w:r>
          </w:p>
        </w:tc>
      </w:tr>
    </w:tbl>
    <w:p w14:paraId="56F0E843" w14:textId="77777777" w:rsidR="00B239A9" w:rsidRDefault="00B239A9" w:rsidP="00EA1387"/>
    <w:p w14:paraId="5746C713" w14:textId="77777777" w:rsidR="00320B36" w:rsidRDefault="00320B36" w:rsidP="00EA1387"/>
    <w:tbl>
      <w:tblPr>
        <w:tblW w:w="10265" w:type="dxa"/>
        <w:tblInd w:w="-252" w:type="dxa"/>
        <w:tblLook w:val="0600" w:firstRow="0" w:lastRow="0" w:firstColumn="0" w:lastColumn="0" w:noHBand="1" w:noVBand="1"/>
      </w:tblPr>
      <w:tblGrid>
        <w:gridCol w:w="2627"/>
        <w:gridCol w:w="978"/>
        <w:gridCol w:w="834"/>
        <w:gridCol w:w="978"/>
        <w:gridCol w:w="914"/>
        <w:gridCol w:w="1043"/>
        <w:gridCol w:w="945"/>
        <w:gridCol w:w="985"/>
        <w:gridCol w:w="961"/>
      </w:tblGrid>
      <w:tr w:rsidR="00630B0C" w:rsidRPr="00630B0C" w14:paraId="5CD74D20" w14:textId="77777777" w:rsidTr="00236581">
        <w:trPr>
          <w:trHeight w:val="390"/>
        </w:trPr>
        <w:tc>
          <w:tcPr>
            <w:tcW w:w="10265" w:type="dxa"/>
            <w:gridSpan w:val="9"/>
            <w:tcBorders>
              <w:top w:val="single" w:sz="18" w:space="0" w:color="000000"/>
              <w:left w:val="single" w:sz="18" w:space="0" w:color="000000"/>
              <w:bottom w:val="single" w:sz="4" w:space="0" w:color="000000"/>
              <w:right w:val="single" w:sz="18" w:space="0" w:color="000000"/>
            </w:tcBorders>
            <w:shd w:val="clear" w:color="000000" w:fill="244062"/>
            <w:vAlign w:val="bottom"/>
            <w:hideMark/>
          </w:tcPr>
          <w:p w14:paraId="66E791F5" w14:textId="77777777" w:rsidR="00630B0C" w:rsidRPr="002971E6" w:rsidRDefault="00630B0C" w:rsidP="00630B0C">
            <w:pPr>
              <w:spacing w:line="240" w:lineRule="auto"/>
              <w:jc w:val="center"/>
              <w:rPr>
                <w:rFonts w:ascii="Franklin Gothic Medium" w:eastAsia="Times New Roman" w:hAnsi="Franklin Gothic Medium" w:cs="Times New Roman"/>
                <w:color w:val="FFFFFF"/>
                <w:szCs w:val="24"/>
              </w:rPr>
            </w:pPr>
            <w:r w:rsidRPr="002971E6">
              <w:rPr>
                <w:rFonts w:ascii="Franklin Gothic Medium" w:eastAsia="Times New Roman" w:hAnsi="Franklin Gothic Medium" w:cs="Times New Roman"/>
                <w:color w:val="FFFFFF"/>
                <w:szCs w:val="24"/>
              </w:rPr>
              <w:t xml:space="preserve">Table 12:  Health Summary </w:t>
            </w:r>
          </w:p>
        </w:tc>
      </w:tr>
      <w:tr w:rsidR="00630B0C" w:rsidRPr="00630B0C" w14:paraId="74D8B1D8" w14:textId="77777777" w:rsidTr="00236581">
        <w:trPr>
          <w:trHeight w:val="345"/>
        </w:trPr>
        <w:tc>
          <w:tcPr>
            <w:tcW w:w="2627" w:type="dxa"/>
            <w:tcBorders>
              <w:top w:val="nil"/>
              <w:left w:val="single" w:sz="18" w:space="0" w:color="000000"/>
              <w:bottom w:val="single" w:sz="4" w:space="0" w:color="000000"/>
              <w:right w:val="double" w:sz="6" w:space="0" w:color="000000"/>
            </w:tcBorders>
            <w:shd w:val="clear" w:color="000000" w:fill="A6A6A6"/>
            <w:vAlign w:val="bottom"/>
            <w:hideMark/>
          </w:tcPr>
          <w:p w14:paraId="4AB6BEC2" w14:textId="77777777" w:rsidR="00630B0C" w:rsidRPr="00630B0C" w:rsidRDefault="00630B0C" w:rsidP="00630B0C">
            <w:pPr>
              <w:spacing w:line="240" w:lineRule="auto"/>
              <w:rPr>
                <w:rFonts w:ascii="MS Sans Serif" w:eastAsia="Times New Roman" w:hAnsi="MS Sans Serif" w:cs="Times New Roman"/>
                <w:color w:val="000000"/>
                <w:sz w:val="20"/>
                <w:szCs w:val="20"/>
              </w:rPr>
            </w:pPr>
            <w:r w:rsidRPr="00630B0C">
              <w:rPr>
                <w:rFonts w:ascii="MS Sans Serif" w:eastAsia="Times New Roman" w:hAnsi="MS Sans Serif" w:cs="Times New Roman"/>
                <w:color w:val="000000"/>
                <w:sz w:val="20"/>
                <w:szCs w:val="20"/>
              </w:rPr>
              <w:t> </w:t>
            </w:r>
          </w:p>
        </w:tc>
        <w:tc>
          <w:tcPr>
            <w:tcW w:w="1812" w:type="dxa"/>
            <w:gridSpan w:val="2"/>
            <w:tcBorders>
              <w:top w:val="single" w:sz="4" w:space="0" w:color="000000"/>
              <w:left w:val="nil"/>
              <w:bottom w:val="single" w:sz="4" w:space="0" w:color="000000"/>
              <w:right w:val="double" w:sz="6" w:space="0" w:color="000000"/>
            </w:tcBorders>
            <w:shd w:val="clear" w:color="000000" w:fill="A6A6A6"/>
            <w:vAlign w:val="bottom"/>
            <w:hideMark/>
          </w:tcPr>
          <w:p w14:paraId="5FC0F529" w14:textId="77777777" w:rsidR="00630B0C" w:rsidRPr="002971E6" w:rsidRDefault="00630B0C" w:rsidP="00630B0C">
            <w:pPr>
              <w:spacing w:line="240" w:lineRule="auto"/>
              <w:jc w:val="center"/>
              <w:rPr>
                <w:rFonts w:ascii="Franklin Gothic Medium" w:eastAsia="Times New Roman" w:hAnsi="Franklin Gothic Medium" w:cs="Times New Roman"/>
                <w:b/>
                <w:bCs/>
                <w:color w:val="000000"/>
                <w:sz w:val="22"/>
              </w:rPr>
            </w:pPr>
            <w:r w:rsidRPr="002971E6">
              <w:rPr>
                <w:rFonts w:ascii="Franklin Gothic Medium" w:eastAsia="Times New Roman" w:hAnsi="Franklin Gothic Medium" w:cs="Times New Roman"/>
                <w:b/>
                <w:bCs/>
                <w:color w:val="000000"/>
                <w:sz w:val="22"/>
              </w:rPr>
              <w:t>2013</w:t>
            </w:r>
          </w:p>
        </w:tc>
        <w:tc>
          <w:tcPr>
            <w:tcW w:w="1892" w:type="dxa"/>
            <w:gridSpan w:val="2"/>
            <w:tcBorders>
              <w:top w:val="single" w:sz="4" w:space="0" w:color="000000"/>
              <w:left w:val="nil"/>
              <w:bottom w:val="single" w:sz="4" w:space="0" w:color="000000"/>
              <w:right w:val="double" w:sz="6" w:space="0" w:color="000000"/>
            </w:tcBorders>
            <w:shd w:val="clear" w:color="000000" w:fill="A6A6A6"/>
            <w:vAlign w:val="bottom"/>
            <w:hideMark/>
          </w:tcPr>
          <w:p w14:paraId="088A1A30" w14:textId="77777777" w:rsidR="00630B0C" w:rsidRPr="002971E6" w:rsidRDefault="00630B0C" w:rsidP="00630B0C">
            <w:pPr>
              <w:spacing w:line="240" w:lineRule="auto"/>
              <w:jc w:val="center"/>
              <w:rPr>
                <w:rFonts w:ascii="Franklin Gothic Medium" w:eastAsia="Times New Roman" w:hAnsi="Franklin Gothic Medium" w:cs="Times New Roman"/>
                <w:b/>
                <w:bCs/>
                <w:color w:val="000000"/>
                <w:sz w:val="22"/>
              </w:rPr>
            </w:pPr>
            <w:r w:rsidRPr="002971E6">
              <w:rPr>
                <w:rFonts w:ascii="Franklin Gothic Medium" w:eastAsia="Times New Roman" w:hAnsi="Franklin Gothic Medium" w:cs="Times New Roman"/>
                <w:b/>
                <w:bCs/>
                <w:color w:val="000000"/>
                <w:sz w:val="22"/>
              </w:rPr>
              <w:t>2014</w:t>
            </w:r>
          </w:p>
        </w:tc>
        <w:tc>
          <w:tcPr>
            <w:tcW w:w="1988" w:type="dxa"/>
            <w:gridSpan w:val="2"/>
            <w:tcBorders>
              <w:top w:val="single" w:sz="4" w:space="0" w:color="000000"/>
              <w:left w:val="nil"/>
              <w:bottom w:val="single" w:sz="4" w:space="0" w:color="000000"/>
              <w:right w:val="single" w:sz="12" w:space="0" w:color="000000"/>
            </w:tcBorders>
            <w:shd w:val="clear" w:color="000000" w:fill="A6A6A6"/>
            <w:vAlign w:val="bottom"/>
            <w:hideMark/>
          </w:tcPr>
          <w:p w14:paraId="351B5351" w14:textId="77777777" w:rsidR="00630B0C" w:rsidRPr="002971E6" w:rsidRDefault="00630B0C" w:rsidP="00630B0C">
            <w:pPr>
              <w:spacing w:line="240" w:lineRule="auto"/>
              <w:jc w:val="center"/>
              <w:rPr>
                <w:rFonts w:ascii="Franklin Gothic Medium" w:eastAsia="Times New Roman" w:hAnsi="Franklin Gothic Medium" w:cs="Times New Roman"/>
                <w:b/>
                <w:bCs/>
                <w:color w:val="000000"/>
                <w:sz w:val="22"/>
              </w:rPr>
            </w:pPr>
            <w:r w:rsidRPr="002971E6">
              <w:rPr>
                <w:rFonts w:ascii="Franklin Gothic Medium" w:eastAsia="Times New Roman" w:hAnsi="Franklin Gothic Medium" w:cs="Times New Roman"/>
                <w:b/>
                <w:bCs/>
                <w:color w:val="000000"/>
                <w:sz w:val="22"/>
              </w:rPr>
              <w:t>2015</w:t>
            </w:r>
          </w:p>
        </w:tc>
        <w:tc>
          <w:tcPr>
            <w:tcW w:w="1946" w:type="dxa"/>
            <w:gridSpan w:val="2"/>
            <w:tcBorders>
              <w:top w:val="single" w:sz="4" w:space="0" w:color="000000"/>
              <w:left w:val="double" w:sz="6" w:space="0" w:color="000000"/>
              <w:bottom w:val="single" w:sz="4" w:space="0" w:color="000000"/>
              <w:right w:val="single" w:sz="18" w:space="0" w:color="000000"/>
            </w:tcBorders>
            <w:shd w:val="clear" w:color="000000" w:fill="A6A6A6"/>
            <w:vAlign w:val="bottom"/>
            <w:hideMark/>
          </w:tcPr>
          <w:p w14:paraId="745826E2" w14:textId="77777777" w:rsidR="00630B0C" w:rsidRPr="002971E6" w:rsidRDefault="00630B0C" w:rsidP="00630B0C">
            <w:pPr>
              <w:spacing w:line="240" w:lineRule="auto"/>
              <w:jc w:val="center"/>
              <w:rPr>
                <w:rFonts w:ascii="Franklin Gothic Medium" w:eastAsia="Times New Roman" w:hAnsi="Franklin Gothic Medium" w:cs="Times New Roman"/>
                <w:b/>
                <w:bCs/>
                <w:color w:val="000000"/>
                <w:sz w:val="22"/>
              </w:rPr>
            </w:pPr>
            <w:r w:rsidRPr="002971E6">
              <w:rPr>
                <w:rFonts w:ascii="Franklin Gothic Medium" w:eastAsia="Times New Roman" w:hAnsi="Franklin Gothic Medium" w:cs="Times New Roman"/>
                <w:b/>
                <w:bCs/>
                <w:color w:val="000000"/>
                <w:sz w:val="22"/>
              </w:rPr>
              <w:t>YTD 2016</w:t>
            </w:r>
          </w:p>
        </w:tc>
      </w:tr>
      <w:tr w:rsidR="00630B0C" w:rsidRPr="00630B0C" w14:paraId="5ED6B076" w14:textId="77777777" w:rsidTr="00236581">
        <w:trPr>
          <w:trHeight w:val="690"/>
        </w:trPr>
        <w:tc>
          <w:tcPr>
            <w:tcW w:w="2627" w:type="dxa"/>
            <w:tcBorders>
              <w:top w:val="nil"/>
              <w:left w:val="single" w:sz="18" w:space="0" w:color="000000"/>
              <w:bottom w:val="single" w:sz="4" w:space="0" w:color="000000"/>
              <w:right w:val="double" w:sz="6" w:space="0" w:color="000000"/>
            </w:tcBorders>
            <w:shd w:val="clear" w:color="000000" w:fill="244062"/>
            <w:vAlign w:val="bottom"/>
            <w:hideMark/>
          </w:tcPr>
          <w:p w14:paraId="382BB483" w14:textId="77777777" w:rsidR="00630B0C" w:rsidRPr="00630B0C" w:rsidRDefault="00630B0C" w:rsidP="00630B0C">
            <w:pPr>
              <w:spacing w:line="240" w:lineRule="auto"/>
              <w:rPr>
                <w:rFonts w:ascii="MS Sans Serif" w:eastAsia="Times New Roman" w:hAnsi="MS Sans Serif" w:cs="Times New Roman"/>
                <w:color w:val="000000"/>
                <w:sz w:val="20"/>
                <w:szCs w:val="20"/>
              </w:rPr>
            </w:pPr>
            <w:r w:rsidRPr="00630B0C">
              <w:rPr>
                <w:rFonts w:ascii="MS Sans Serif" w:eastAsia="Times New Roman" w:hAnsi="MS Sans Serif" w:cs="Times New Roman"/>
                <w:color w:val="000000"/>
                <w:sz w:val="20"/>
                <w:szCs w:val="20"/>
              </w:rPr>
              <w:t> </w:t>
            </w:r>
          </w:p>
        </w:tc>
        <w:tc>
          <w:tcPr>
            <w:tcW w:w="978" w:type="dxa"/>
            <w:tcBorders>
              <w:top w:val="nil"/>
              <w:left w:val="nil"/>
              <w:bottom w:val="single" w:sz="4" w:space="0" w:color="000000"/>
              <w:right w:val="nil"/>
            </w:tcBorders>
            <w:shd w:val="clear" w:color="000000" w:fill="244062"/>
            <w:vAlign w:val="bottom"/>
            <w:hideMark/>
          </w:tcPr>
          <w:p w14:paraId="7FB8E7F8" w14:textId="77777777" w:rsidR="00630B0C" w:rsidRPr="002971E6" w:rsidRDefault="00630B0C" w:rsidP="00630B0C">
            <w:pPr>
              <w:spacing w:line="240" w:lineRule="auto"/>
              <w:jc w:val="center"/>
              <w:rPr>
                <w:rFonts w:ascii="Franklin Gothic Medium" w:eastAsia="Times New Roman" w:hAnsi="Franklin Gothic Medium" w:cs="Times New Roman"/>
                <w:color w:val="FFFFFF"/>
                <w:sz w:val="22"/>
              </w:rPr>
            </w:pPr>
            <w:r w:rsidRPr="002971E6">
              <w:rPr>
                <w:rFonts w:ascii="Franklin Gothic Medium" w:eastAsia="Times New Roman" w:hAnsi="Franklin Gothic Medium" w:cs="Times New Roman"/>
                <w:color w:val="FFFFFF"/>
                <w:sz w:val="22"/>
              </w:rPr>
              <w:t>Waiver (1,300)</w:t>
            </w:r>
          </w:p>
        </w:tc>
        <w:tc>
          <w:tcPr>
            <w:tcW w:w="834" w:type="dxa"/>
            <w:tcBorders>
              <w:top w:val="nil"/>
              <w:left w:val="nil"/>
              <w:bottom w:val="single" w:sz="4" w:space="0" w:color="000000"/>
              <w:right w:val="double" w:sz="6" w:space="0" w:color="000000"/>
            </w:tcBorders>
            <w:shd w:val="clear" w:color="000000" w:fill="244062"/>
            <w:vAlign w:val="bottom"/>
            <w:hideMark/>
          </w:tcPr>
          <w:p w14:paraId="73A801E3" w14:textId="77777777" w:rsidR="00630B0C" w:rsidRPr="002971E6" w:rsidRDefault="00630B0C" w:rsidP="00630B0C">
            <w:pPr>
              <w:spacing w:line="240" w:lineRule="auto"/>
              <w:jc w:val="center"/>
              <w:rPr>
                <w:rFonts w:ascii="Franklin Gothic Medium" w:eastAsia="Times New Roman" w:hAnsi="Franklin Gothic Medium" w:cs="Times New Roman"/>
                <w:color w:val="FFFFFF"/>
                <w:sz w:val="22"/>
              </w:rPr>
            </w:pPr>
            <w:r w:rsidRPr="002971E6">
              <w:rPr>
                <w:rFonts w:ascii="Franklin Gothic Medium" w:eastAsia="Times New Roman" w:hAnsi="Franklin Gothic Medium" w:cs="Times New Roman"/>
                <w:color w:val="FFFFFF"/>
                <w:sz w:val="22"/>
              </w:rPr>
              <w:t>CDC (304)</w:t>
            </w:r>
          </w:p>
        </w:tc>
        <w:tc>
          <w:tcPr>
            <w:tcW w:w="978" w:type="dxa"/>
            <w:tcBorders>
              <w:top w:val="nil"/>
              <w:left w:val="nil"/>
              <w:bottom w:val="single" w:sz="4" w:space="0" w:color="000000"/>
              <w:right w:val="nil"/>
            </w:tcBorders>
            <w:shd w:val="clear" w:color="000000" w:fill="244062"/>
            <w:vAlign w:val="bottom"/>
            <w:hideMark/>
          </w:tcPr>
          <w:p w14:paraId="0F5D57C8" w14:textId="77777777" w:rsidR="00630B0C" w:rsidRPr="002971E6" w:rsidRDefault="00630B0C" w:rsidP="00630B0C">
            <w:pPr>
              <w:spacing w:line="240" w:lineRule="auto"/>
              <w:jc w:val="center"/>
              <w:rPr>
                <w:rFonts w:ascii="Franklin Gothic Medium" w:eastAsia="Times New Roman" w:hAnsi="Franklin Gothic Medium" w:cs="Times New Roman"/>
                <w:color w:val="FFFFFF"/>
                <w:sz w:val="22"/>
              </w:rPr>
            </w:pPr>
            <w:r w:rsidRPr="002971E6">
              <w:rPr>
                <w:rFonts w:ascii="Franklin Gothic Medium" w:eastAsia="Times New Roman" w:hAnsi="Franklin Gothic Medium" w:cs="Times New Roman"/>
                <w:color w:val="FFFFFF"/>
                <w:sz w:val="22"/>
              </w:rPr>
              <w:t>Waiver (1,047)</w:t>
            </w:r>
          </w:p>
        </w:tc>
        <w:tc>
          <w:tcPr>
            <w:tcW w:w="914" w:type="dxa"/>
            <w:tcBorders>
              <w:top w:val="nil"/>
              <w:left w:val="nil"/>
              <w:bottom w:val="single" w:sz="4" w:space="0" w:color="000000"/>
              <w:right w:val="double" w:sz="6" w:space="0" w:color="000000"/>
            </w:tcBorders>
            <w:shd w:val="clear" w:color="000000" w:fill="244062"/>
            <w:vAlign w:val="bottom"/>
            <w:hideMark/>
          </w:tcPr>
          <w:p w14:paraId="0AFD3FF1" w14:textId="77777777" w:rsidR="00630B0C" w:rsidRPr="002971E6" w:rsidRDefault="00630B0C" w:rsidP="00630B0C">
            <w:pPr>
              <w:spacing w:line="240" w:lineRule="auto"/>
              <w:jc w:val="center"/>
              <w:rPr>
                <w:rFonts w:ascii="Franklin Gothic Medium" w:eastAsia="Times New Roman" w:hAnsi="Franklin Gothic Medium" w:cs="Times New Roman"/>
                <w:color w:val="FFFFFF"/>
                <w:sz w:val="22"/>
              </w:rPr>
            </w:pPr>
            <w:r w:rsidRPr="002971E6">
              <w:rPr>
                <w:rFonts w:ascii="Franklin Gothic Medium" w:eastAsia="Times New Roman" w:hAnsi="Franklin Gothic Medium" w:cs="Times New Roman"/>
                <w:color w:val="FFFFFF"/>
                <w:sz w:val="22"/>
              </w:rPr>
              <w:t>CDC (270)</w:t>
            </w:r>
          </w:p>
        </w:tc>
        <w:tc>
          <w:tcPr>
            <w:tcW w:w="1043" w:type="dxa"/>
            <w:tcBorders>
              <w:top w:val="nil"/>
              <w:left w:val="nil"/>
              <w:bottom w:val="single" w:sz="4" w:space="0" w:color="000000"/>
              <w:right w:val="nil"/>
            </w:tcBorders>
            <w:shd w:val="clear" w:color="000000" w:fill="244062"/>
            <w:vAlign w:val="bottom"/>
            <w:hideMark/>
          </w:tcPr>
          <w:p w14:paraId="308AC171" w14:textId="77777777" w:rsidR="00630B0C" w:rsidRPr="002971E6" w:rsidRDefault="00630B0C" w:rsidP="00630B0C">
            <w:pPr>
              <w:spacing w:line="240" w:lineRule="auto"/>
              <w:jc w:val="center"/>
              <w:rPr>
                <w:rFonts w:ascii="Franklin Gothic Medium" w:eastAsia="Times New Roman" w:hAnsi="Franklin Gothic Medium" w:cs="Times New Roman"/>
                <w:color w:val="FFFFFF"/>
                <w:sz w:val="22"/>
              </w:rPr>
            </w:pPr>
            <w:r w:rsidRPr="002971E6">
              <w:rPr>
                <w:rFonts w:ascii="Franklin Gothic Medium" w:eastAsia="Times New Roman" w:hAnsi="Franklin Gothic Medium" w:cs="Times New Roman"/>
                <w:color w:val="FFFFFF"/>
                <w:sz w:val="22"/>
              </w:rPr>
              <w:t>Waiver (1,355)</w:t>
            </w:r>
          </w:p>
        </w:tc>
        <w:tc>
          <w:tcPr>
            <w:tcW w:w="945" w:type="dxa"/>
            <w:tcBorders>
              <w:top w:val="nil"/>
              <w:left w:val="nil"/>
              <w:bottom w:val="single" w:sz="4" w:space="0" w:color="000000"/>
              <w:right w:val="single" w:sz="12" w:space="0" w:color="000000"/>
            </w:tcBorders>
            <w:shd w:val="clear" w:color="000000" w:fill="244062"/>
            <w:vAlign w:val="bottom"/>
            <w:hideMark/>
          </w:tcPr>
          <w:p w14:paraId="562BCB10" w14:textId="77777777" w:rsidR="00630B0C" w:rsidRPr="002971E6" w:rsidRDefault="00630B0C" w:rsidP="00630B0C">
            <w:pPr>
              <w:spacing w:line="240" w:lineRule="auto"/>
              <w:jc w:val="center"/>
              <w:rPr>
                <w:rFonts w:ascii="Franklin Gothic Medium" w:eastAsia="Times New Roman" w:hAnsi="Franklin Gothic Medium" w:cs="Times New Roman"/>
                <w:color w:val="FFFFFF"/>
                <w:sz w:val="22"/>
              </w:rPr>
            </w:pPr>
            <w:r w:rsidRPr="002971E6">
              <w:rPr>
                <w:rFonts w:ascii="Franklin Gothic Medium" w:eastAsia="Times New Roman" w:hAnsi="Franklin Gothic Medium" w:cs="Times New Roman"/>
                <w:color w:val="FFFFFF"/>
                <w:sz w:val="22"/>
              </w:rPr>
              <w:t>CDC+ (385)</w:t>
            </w:r>
          </w:p>
        </w:tc>
        <w:tc>
          <w:tcPr>
            <w:tcW w:w="985" w:type="dxa"/>
            <w:tcBorders>
              <w:top w:val="nil"/>
              <w:left w:val="double" w:sz="6" w:space="0" w:color="000000"/>
              <w:bottom w:val="single" w:sz="4" w:space="0" w:color="000000"/>
              <w:right w:val="nil"/>
            </w:tcBorders>
            <w:shd w:val="clear" w:color="000000" w:fill="244062"/>
            <w:vAlign w:val="bottom"/>
            <w:hideMark/>
          </w:tcPr>
          <w:p w14:paraId="691A1BCC" w14:textId="77F24E2C" w:rsidR="00630B0C" w:rsidRPr="002971E6" w:rsidRDefault="00630B0C" w:rsidP="00240538">
            <w:pPr>
              <w:spacing w:line="240" w:lineRule="auto"/>
              <w:jc w:val="center"/>
              <w:rPr>
                <w:rFonts w:ascii="Franklin Gothic Medium" w:eastAsia="Times New Roman" w:hAnsi="Franklin Gothic Medium" w:cs="Times New Roman"/>
                <w:color w:val="FFFFFF"/>
                <w:sz w:val="22"/>
              </w:rPr>
            </w:pPr>
            <w:r w:rsidRPr="002971E6">
              <w:rPr>
                <w:rFonts w:ascii="Franklin Gothic Medium" w:eastAsia="Times New Roman" w:hAnsi="Franklin Gothic Medium" w:cs="Times New Roman"/>
                <w:color w:val="FFFFFF"/>
                <w:sz w:val="22"/>
              </w:rPr>
              <w:t>Waiver (</w:t>
            </w:r>
            <w:r w:rsidR="00240538">
              <w:rPr>
                <w:rFonts w:ascii="Franklin Gothic Medium" w:eastAsia="Times New Roman" w:hAnsi="Franklin Gothic Medium" w:cs="Times New Roman"/>
                <w:color w:val="FFFFFF"/>
                <w:sz w:val="22"/>
              </w:rPr>
              <w:t>632</w:t>
            </w:r>
            <w:r w:rsidRPr="002971E6">
              <w:rPr>
                <w:rFonts w:ascii="Franklin Gothic Medium" w:eastAsia="Times New Roman" w:hAnsi="Franklin Gothic Medium" w:cs="Times New Roman"/>
                <w:color w:val="FFFFFF"/>
                <w:sz w:val="22"/>
              </w:rPr>
              <w:t>)</w:t>
            </w:r>
          </w:p>
        </w:tc>
        <w:tc>
          <w:tcPr>
            <w:tcW w:w="961" w:type="dxa"/>
            <w:tcBorders>
              <w:top w:val="nil"/>
              <w:left w:val="nil"/>
              <w:bottom w:val="single" w:sz="4" w:space="0" w:color="000000"/>
              <w:right w:val="single" w:sz="18" w:space="0" w:color="000000"/>
            </w:tcBorders>
            <w:shd w:val="clear" w:color="000000" w:fill="244062"/>
            <w:vAlign w:val="bottom"/>
            <w:hideMark/>
          </w:tcPr>
          <w:p w14:paraId="29A94C09" w14:textId="3D67AAF5" w:rsidR="00630B0C" w:rsidRPr="002971E6" w:rsidRDefault="00630B0C" w:rsidP="00240538">
            <w:pPr>
              <w:spacing w:line="240" w:lineRule="auto"/>
              <w:jc w:val="center"/>
              <w:rPr>
                <w:rFonts w:ascii="Franklin Gothic Medium" w:eastAsia="Times New Roman" w:hAnsi="Franklin Gothic Medium" w:cs="Times New Roman"/>
                <w:color w:val="FFFFFF"/>
                <w:sz w:val="22"/>
              </w:rPr>
            </w:pPr>
            <w:r w:rsidRPr="002971E6">
              <w:rPr>
                <w:rFonts w:ascii="Franklin Gothic Medium" w:eastAsia="Times New Roman" w:hAnsi="Franklin Gothic Medium" w:cs="Times New Roman"/>
                <w:color w:val="FFFFFF"/>
                <w:sz w:val="22"/>
              </w:rPr>
              <w:t>CDC+ (</w:t>
            </w:r>
            <w:r w:rsidR="00240538">
              <w:rPr>
                <w:rFonts w:ascii="Franklin Gothic Medium" w:eastAsia="Times New Roman" w:hAnsi="Franklin Gothic Medium" w:cs="Times New Roman"/>
                <w:color w:val="FFFFFF"/>
                <w:sz w:val="22"/>
              </w:rPr>
              <w:t>151</w:t>
            </w:r>
            <w:r w:rsidRPr="002971E6">
              <w:rPr>
                <w:rFonts w:ascii="Franklin Gothic Medium" w:eastAsia="Times New Roman" w:hAnsi="Franklin Gothic Medium" w:cs="Times New Roman"/>
                <w:color w:val="FFFFFF"/>
                <w:sz w:val="22"/>
              </w:rPr>
              <w:t>)</w:t>
            </w:r>
          </w:p>
        </w:tc>
      </w:tr>
      <w:tr w:rsidR="00630B0C" w:rsidRPr="00630B0C" w14:paraId="0B8D752E" w14:textId="77777777" w:rsidTr="001E7713">
        <w:trPr>
          <w:trHeight w:val="440"/>
        </w:trPr>
        <w:tc>
          <w:tcPr>
            <w:tcW w:w="2627" w:type="dxa"/>
            <w:tcBorders>
              <w:top w:val="nil"/>
              <w:left w:val="single" w:sz="18" w:space="0" w:color="000000"/>
              <w:bottom w:val="single" w:sz="4" w:space="0" w:color="000000"/>
              <w:right w:val="double" w:sz="6" w:space="0" w:color="000000"/>
            </w:tcBorders>
            <w:shd w:val="clear" w:color="auto" w:fill="auto"/>
            <w:vAlign w:val="center"/>
            <w:hideMark/>
          </w:tcPr>
          <w:p w14:paraId="6D3C8BBC" w14:textId="77777777" w:rsidR="00630B0C" w:rsidRPr="001E7713" w:rsidRDefault="00630B0C" w:rsidP="00630B0C">
            <w:pPr>
              <w:spacing w:line="240" w:lineRule="auto"/>
              <w:rPr>
                <w:rFonts w:ascii="Calibri" w:eastAsia="Times New Roman" w:hAnsi="Calibri" w:cs="Times New Roman"/>
                <w:b/>
                <w:bCs/>
                <w:color w:val="000000"/>
                <w:sz w:val="20"/>
                <w:szCs w:val="20"/>
              </w:rPr>
            </w:pPr>
            <w:r w:rsidRPr="001E7713">
              <w:rPr>
                <w:rFonts w:ascii="Calibri" w:eastAsia="Times New Roman" w:hAnsi="Calibri" w:cs="Times New Roman"/>
                <w:b/>
                <w:bCs/>
                <w:color w:val="000000"/>
                <w:sz w:val="20"/>
                <w:szCs w:val="20"/>
              </w:rPr>
              <w:t>Taking 4 or More Prescription Medications</w:t>
            </w:r>
          </w:p>
        </w:tc>
        <w:tc>
          <w:tcPr>
            <w:tcW w:w="978" w:type="dxa"/>
            <w:tcBorders>
              <w:top w:val="nil"/>
              <w:left w:val="nil"/>
              <w:bottom w:val="single" w:sz="4" w:space="0" w:color="000000"/>
              <w:right w:val="nil"/>
            </w:tcBorders>
            <w:shd w:val="clear" w:color="auto" w:fill="auto"/>
            <w:vAlign w:val="center"/>
            <w:hideMark/>
          </w:tcPr>
          <w:p w14:paraId="46C9A894"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45.2%</w:t>
            </w:r>
          </w:p>
        </w:tc>
        <w:tc>
          <w:tcPr>
            <w:tcW w:w="834" w:type="dxa"/>
            <w:tcBorders>
              <w:top w:val="nil"/>
              <w:left w:val="nil"/>
              <w:bottom w:val="single" w:sz="4" w:space="0" w:color="000000"/>
              <w:right w:val="double" w:sz="6" w:space="0" w:color="000000"/>
            </w:tcBorders>
            <w:shd w:val="clear" w:color="auto" w:fill="auto"/>
            <w:vAlign w:val="center"/>
            <w:hideMark/>
          </w:tcPr>
          <w:p w14:paraId="41550437"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32.9%</w:t>
            </w:r>
          </w:p>
        </w:tc>
        <w:tc>
          <w:tcPr>
            <w:tcW w:w="978" w:type="dxa"/>
            <w:tcBorders>
              <w:top w:val="nil"/>
              <w:left w:val="nil"/>
              <w:bottom w:val="single" w:sz="4" w:space="0" w:color="000000"/>
              <w:right w:val="nil"/>
            </w:tcBorders>
            <w:shd w:val="clear" w:color="auto" w:fill="auto"/>
            <w:vAlign w:val="center"/>
            <w:hideMark/>
          </w:tcPr>
          <w:p w14:paraId="758F92A3"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28.7%</w:t>
            </w:r>
          </w:p>
        </w:tc>
        <w:tc>
          <w:tcPr>
            <w:tcW w:w="914" w:type="dxa"/>
            <w:tcBorders>
              <w:top w:val="nil"/>
              <w:left w:val="nil"/>
              <w:bottom w:val="single" w:sz="4" w:space="0" w:color="000000"/>
              <w:right w:val="double" w:sz="6" w:space="0" w:color="000000"/>
            </w:tcBorders>
            <w:shd w:val="clear" w:color="auto" w:fill="auto"/>
            <w:vAlign w:val="center"/>
            <w:hideMark/>
          </w:tcPr>
          <w:p w14:paraId="1FF95D32"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19.3%</w:t>
            </w:r>
          </w:p>
        </w:tc>
        <w:tc>
          <w:tcPr>
            <w:tcW w:w="1043" w:type="dxa"/>
            <w:tcBorders>
              <w:top w:val="nil"/>
              <w:left w:val="nil"/>
              <w:bottom w:val="single" w:sz="4" w:space="0" w:color="000000"/>
              <w:right w:val="nil"/>
            </w:tcBorders>
            <w:shd w:val="clear" w:color="auto" w:fill="auto"/>
            <w:vAlign w:val="center"/>
            <w:hideMark/>
          </w:tcPr>
          <w:p w14:paraId="3C7902E2"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39.3%</w:t>
            </w:r>
          </w:p>
        </w:tc>
        <w:tc>
          <w:tcPr>
            <w:tcW w:w="945" w:type="dxa"/>
            <w:tcBorders>
              <w:top w:val="nil"/>
              <w:left w:val="nil"/>
              <w:bottom w:val="single" w:sz="4" w:space="0" w:color="000000"/>
              <w:right w:val="single" w:sz="12" w:space="0" w:color="000000"/>
            </w:tcBorders>
            <w:shd w:val="clear" w:color="auto" w:fill="auto"/>
            <w:vAlign w:val="center"/>
            <w:hideMark/>
          </w:tcPr>
          <w:p w14:paraId="09706907"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26.6%</w:t>
            </w:r>
          </w:p>
        </w:tc>
        <w:tc>
          <w:tcPr>
            <w:tcW w:w="985" w:type="dxa"/>
            <w:tcBorders>
              <w:top w:val="nil"/>
              <w:left w:val="double" w:sz="6" w:space="0" w:color="000000"/>
              <w:bottom w:val="single" w:sz="4" w:space="0" w:color="000000"/>
              <w:right w:val="nil"/>
            </w:tcBorders>
            <w:shd w:val="clear" w:color="auto" w:fill="auto"/>
            <w:vAlign w:val="center"/>
            <w:hideMark/>
          </w:tcPr>
          <w:p w14:paraId="3879EB9D" w14:textId="48FF2F31" w:rsidR="00630B0C" w:rsidRPr="001E7713" w:rsidRDefault="00240538"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37.8</w:t>
            </w:r>
            <w:r w:rsidR="00630B0C" w:rsidRPr="001E7713">
              <w:rPr>
                <w:rFonts w:ascii="Calibri" w:eastAsia="Times New Roman" w:hAnsi="Calibri" w:cs="Times New Roman"/>
                <w:color w:val="000000"/>
                <w:sz w:val="20"/>
                <w:szCs w:val="20"/>
              </w:rPr>
              <w:t>%</w:t>
            </w:r>
          </w:p>
        </w:tc>
        <w:tc>
          <w:tcPr>
            <w:tcW w:w="961" w:type="dxa"/>
            <w:tcBorders>
              <w:top w:val="nil"/>
              <w:left w:val="nil"/>
              <w:bottom w:val="single" w:sz="4" w:space="0" w:color="000000"/>
              <w:right w:val="single" w:sz="18" w:space="0" w:color="000000"/>
            </w:tcBorders>
            <w:shd w:val="clear" w:color="auto" w:fill="auto"/>
            <w:vAlign w:val="center"/>
            <w:hideMark/>
          </w:tcPr>
          <w:p w14:paraId="3850B71C" w14:textId="7A732ADC" w:rsidR="00630B0C" w:rsidRPr="001E7713" w:rsidRDefault="00240538"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25.2</w:t>
            </w:r>
            <w:r w:rsidR="00630B0C" w:rsidRPr="001E7713">
              <w:rPr>
                <w:rFonts w:ascii="Calibri" w:eastAsia="Times New Roman" w:hAnsi="Calibri" w:cs="Times New Roman"/>
                <w:color w:val="000000"/>
                <w:sz w:val="20"/>
                <w:szCs w:val="20"/>
              </w:rPr>
              <w:t>%</w:t>
            </w:r>
          </w:p>
        </w:tc>
      </w:tr>
      <w:tr w:rsidR="00630B0C" w:rsidRPr="00630B0C" w14:paraId="0EE4F68A" w14:textId="77777777" w:rsidTr="001E7713">
        <w:trPr>
          <w:trHeight w:val="476"/>
        </w:trPr>
        <w:tc>
          <w:tcPr>
            <w:tcW w:w="2627" w:type="dxa"/>
            <w:tcBorders>
              <w:top w:val="nil"/>
              <w:left w:val="single" w:sz="18" w:space="0" w:color="000000"/>
              <w:bottom w:val="single" w:sz="18" w:space="0" w:color="000000"/>
              <w:right w:val="double" w:sz="6" w:space="0" w:color="000000"/>
            </w:tcBorders>
            <w:shd w:val="clear" w:color="auto" w:fill="auto"/>
            <w:vAlign w:val="center"/>
            <w:hideMark/>
          </w:tcPr>
          <w:p w14:paraId="4CD52E8A" w14:textId="67F9EE05" w:rsidR="00630B0C" w:rsidRPr="001E7713" w:rsidRDefault="00630B0C" w:rsidP="00240538">
            <w:pPr>
              <w:spacing w:line="240" w:lineRule="auto"/>
              <w:rPr>
                <w:rFonts w:ascii="Calibri" w:eastAsia="Times New Roman" w:hAnsi="Calibri" w:cs="Times New Roman"/>
                <w:b/>
                <w:bCs/>
                <w:color w:val="000000"/>
                <w:sz w:val="20"/>
                <w:szCs w:val="20"/>
              </w:rPr>
            </w:pPr>
            <w:r w:rsidRPr="001E7713">
              <w:rPr>
                <w:rFonts w:ascii="Calibri" w:eastAsia="Times New Roman" w:hAnsi="Calibri" w:cs="Times New Roman"/>
                <w:b/>
                <w:bCs/>
                <w:color w:val="000000"/>
                <w:sz w:val="20"/>
                <w:szCs w:val="20"/>
              </w:rPr>
              <w:t xml:space="preserve">Have Health Concerns </w:t>
            </w:r>
            <w:r w:rsidR="00240538" w:rsidRPr="001E7713">
              <w:rPr>
                <w:rFonts w:ascii="Calibri" w:eastAsia="Times New Roman" w:hAnsi="Calibri" w:cs="Times New Roman"/>
                <w:b/>
                <w:bCs/>
                <w:color w:val="000000"/>
                <w:sz w:val="20"/>
                <w:szCs w:val="20"/>
              </w:rPr>
              <w:t>and</w:t>
            </w:r>
            <w:r w:rsidRPr="001E7713">
              <w:rPr>
                <w:rFonts w:ascii="Calibri" w:eastAsia="Times New Roman" w:hAnsi="Calibri" w:cs="Times New Roman"/>
                <w:b/>
                <w:bCs/>
                <w:color w:val="000000"/>
                <w:sz w:val="20"/>
                <w:szCs w:val="20"/>
              </w:rPr>
              <w:t xml:space="preserve"> Needs </w:t>
            </w:r>
            <w:r w:rsidR="00240538" w:rsidRPr="001E7713">
              <w:rPr>
                <w:rFonts w:ascii="Calibri" w:eastAsia="Times New Roman" w:hAnsi="Calibri" w:cs="Times New Roman"/>
                <w:b/>
                <w:bCs/>
                <w:color w:val="000000"/>
                <w:sz w:val="20"/>
                <w:szCs w:val="20"/>
              </w:rPr>
              <w:t xml:space="preserve">are </w:t>
            </w:r>
            <w:r w:rsidRPr="001E7713">
              <w:rPr>
                <w:rFonts w:ascii="Calibri" w:eastAsia="Times New Roman" w:hAnsi="Calibri" w:cs="Times New Roman"/>
                <w:b/>
                <w:bCs/>
                <w:color w:val="000000"/>
                <w:sz w:val="20"/>
                <w:szCs w:val="20"/>
              </w:rPr>
              <w:t>Not Being Met</w:t>
            </w:r>
          </w:p>
        </w:tc>
        <w:tc>
          <w:tcPr>
            <w:tcW w:w="978" w:type="dxa"/>
            <w:tcBorders>
              <w:top w:val="nil"/>
              <w:left w:val="nil"/>
              <w:bottom w:val="single" w:sz="18" w:space="0" w:color="000000"/>
              <w:right w:val="nil"/>
            </w:tcBorders>
            <w:shd w:val="clear" w:color="auto" w:fill="auto"/>
            <w:vAlign w:val="center"/>
            <w:hideMark/>
          </w:tcPr>
          <w:p w14:paraId="29675341"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6.4%</w:t>
            </w:r>
          </w:p>
        </w:tc>
        <w:tc>
          <w:tcPr>
            <w:tcW w:w="834" w:type="dxa"/>
            <w:tcBorders>
              <w:top w:val="nil"/>
              <w:left w:val="nil"/>
              <w:bottom w:val="single" w:sz="18" w:space="0" w:color="000000"/>
              <w:right w:val="double" w:sz="6" w:space="0" w:color="000000"/>
            </w:tcBorders>
            <w:shd w:val="clear" w:color="auto" w:fill="auto"/>
            <w:vAlign w:val="center"/>
            <w:hideMark/>
          </w:tcPr>
          <w:p w14:paraId="7BF1A666"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5.6%</w:t>
            </w:r>
          </w:p>
        </w:tc>
        <w:tc>
          <w:tcPr>
            <w:tcW w:w="978" w:type="dxa"/>
            <w:tcBorders>
              <w:top w:val="nil"/>
              <w:left w:val="nil"/>
              <w:bottom w:val="single" w:sz="18" w:space="0" w:color="000000"/>
              <w:right w:val="nil"/>
            </w:tcBorders>
            <w:shd w:val="clear" w:color="auto" w:fill="auto"/>
            <w:vAlign w:val="center"/>
            <w:hideMark/>
          </w:tcPr>
          <w:p w14:paraId="00898355" w14:textId="0388C1FE"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2.8%</w:t>
            </w:r>
          </w:p>
        </w:tc>
        <w:tc>
          <w:tcPr>
            <w:tcW w:w="914" w:type="dxa"/>
            <w:tcBorders>
              <w:top w:val="nil"/>
              <w:left w:val="nil"/>
              <w:bottom w:val="single" w:sz="18" w:space="0" w:color="000000"/>
              <w:right w:val="double" w:sz="6" w:space="0" w:color="000000"/>
            </w:tcBorders>
            <w:shd w:val="clear" w:color="auto" w:fill="auto"/>
            <w:vAlign w:val="center"/>
            <w:hideMark/>
          </w:tcPr>
          <w:p w14:paraId="367FF320"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3.0%</w:t>
            </w:r>
          </w:p>
        </w:tc>
        <w:tc>
          <w:tcPr>
            <w:tcW w:w="1043" w:type="dxa"/>
            <w:tcBorders>
              <w:top w:val="nil"/>
              <w:left w:val="nil"/>
              <w:bottom w:val="single" w:sz="18" w:space="0" w:color="000000"/>
              <w:right w:val="nil"/>
            </w:tcBorders>
            <w:shd w:val="clear" w:color="auto" w:fill="auto"/>
            <w:vAlign w:val="center"/>
            <w:hideMark/>
          </w:tcPr>
          <w:p w14:paraId="659EE2A6"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2.6%</w:t>
            </w:r>
          </w:p>
        </w:tc>
        <w:tc>
          <w:tcPr>
            <w:tcW w:w="945" w:type="dxa"/>
            <w:tcBorders>
              <w:top w:val="nil"/>
              <w:left w:val="nil"/>
              <w:bottom w:val="single" w:sz="18" w:space="0" w:color="000000"/>
              <w:right w:val="single" w:sz="12" w:space="0" w:color="000000"/>
            </w:tcBorders>
            <w:shd w:val="clear" w:color="auto" w:fill="auto"/>
            <w:vAlign w:val="center"/>
            <w:hideMark/>
          </w:tcPr>
          <w:p w14:paraId="1B69DF50"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1.3%</w:t>
            </w:r>
          </w:p>
        </w:tc>
        <w:tc>
          <w:tcPr>
            <w:tcW w:w="985" w:type="dxa"/>
            <w:tcBorders>
              <w:top w:val="nil"/>
              <w:left w:val="double" w:sz="6" w:space="0" w:color="000000"/>
              <w:bottom w:val="single" w:sz="18" w:space="0" w:color="000000"/>
              <w:right w:val="nil"/>
            </w:tcBorders>
            <w:shd w:val="clear" w:color="auto" w:fill="auto"/>
            <w:vAlign w:val="center"/>
            <w:hideMark/>
          </w:tcPr>
          <w:p w14:paraId="47A8ADD8" w14:textId="77777777" w:rsidR="00630B0C" w:rsidRPr="001E7713" w:rsidRDefault="00630B0C"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3.2%</w:t>
            </w:r>
          </w:p>
        </w:tc>
        <w:tc>
          <w:tcPr>
            <w:tcW w:w="961" w:type="dxa"/>
            <w:tcBorders>
              <w:top w:val="nil"/>
              <w:left w:val="nil"/>
              <w:bottom w:val="single" w:sz="18" w:space="0" w:color="000000"/>
              <w:right w:val="single" w:sz="18" w:space="0" w:color="000000"/>
            </w:tcBorders>
            <w:shd w:val="clear" w:color="auto" w:fill="auto"/>
            <w:vAlign w:val="center"/>
            <w:hideMark/>
          </w:tcPr>
          <w:p w14:paraId="2D2210A3" w14:textId="27067DFA" w:rsidR="00630B0C" w:rsidRPr="001E7713" w:rsidRDefault="00240538" w:rsidP="00630B0C">
            <w:pPr>
              <w:spacing w:line="240" w:lineRule="auto"/>
              <w:jc w:val="center"/>
              <w:rPr>
                <w:rFonts w:ascii="Calibri" w:eastAsia="Times New Roman" w:hAnsi="Calibri" w:cs="Times New Roman"/>
                <w:color w:val="000000"/>
                <w:sz w:val="20"/>
                <w:szCs w:val="20"/>
              </w:rPr>
            </w:pPr>
            <w:r w:rsidRPr="001E7713">
              <w:rPr>
                <w:rFonts w:ascii="Calibri" w:eastAsia="Times New Roman" w:hAnsi="Calibri" w:cs="Times New Roman"/>
                <w:color w:val="000000"/>
                <w:sz w:val="20"/>
                <w:szCs w:val="20"/>
              </w:rPr>
              <w:t>2.6</w:t>
            </w:r>
            <w:r w:rsidR="00630B0C" w:rsidRPr="001E7713">
              <w:rPr>
                <w:rFonts w:ascii="Calibri" w:eastAsia="Times New Roman" w:hAnsi="Calibri" w:cs="Times New Roman"/>
                <w:color w:val="000000"/>
                <w:sz w:val="20"/>
                <w:szCs w:val="20"/>
              </w:rPr>
              <w:t>%</w:t>
            </w:r>
          </w:p>
        </w:tc>
      </w:tr>
    </w:tbl>
    <w:p w14:paraId="32262FD7" w14:textId="3C492BE2" w:rsidR="006316DD" w:rsidRDefault="006316DD">
      <w:pPr>
        <w:spacing w:line="240" w:lineRule="auto"/>
      </w:pPr>
    </w:p>
    <w:p w14:paraId="078C3F38" w14:textId="77777777" w:rsidR="00251ECB" w:rsidRDefault="00251ECB">
      <w:pPr>
        <w:spacing w:line="240" w:lineRule="auto"/>
      </w:pPr>
    </w:p>
    <w:tbl>
      <w:tblPr>
        <w:tblStyle w:val="LightList"/>
        <w:tblW w:w="7240" w:type="dxa"/>
        <w:jc w:val="center"/>
        <w:tblLook w:val="04A0" w:firstRow="1" w:lastRow="0" w:firstColumn="1" w:lastColumn="0" w:noHBand="0" w:noVBand="1"/>
      </w:tblPr>
      <w:tblGrid>
        <w:gridCol w:w="5302"/>
        <w:gridCol w:w="978"/>
        <w:gridCol w:w="960"/>
      </w:tblGrid>
      <w:tr w:rsidR="00BF6687" w:rsidRPr="00BF6687" w14:paraId="42117CB7" w14:textId="77777777" w:rsidTr="001E7713">
        <w:trPr>
          <w:cnfStyle w:val="100000000000" w:firstRow="1" w:lastRow="0" w:firstColumn="0" w:lastColumn="0" w:oddVBand="0" w:evenVBand="0" w:oddHBand="0" w:evenHBand="0" w:firstRowFirstColumn="0" w:firstRowLastColumn="0" w:lastRowFirstColumn="0" w:lastRowLastColumn="0"/>
          <w:trHeight w:val="345"/>
          <w:tblHeader/>
          <w:jc w:val="center"/>
        </w:trPr>
        <w:tc>
          <w:tcPr>
            <w:cnfStyle w:val="001000000000" w:firstRow="0" w:lastRow="0" w:firstColumn="1" w:lastColumn="0" w:oddVBand="0" w:evenVBand="0" w:oddHBand="0" w:evenHBand="0" w:firstRowFirstColumn="0" w:firstRowLastColumn="0" w:lastRowFirstColumn="0" w:lastRowLastColumn="0"/>
            <w:tcW w:w="7240" w:type="dxa"/>
            <w:gridSpan w:val="3"/>
            <w:tcBorders>
              <w:top w:val="single" w:sz="8" w:space="0" w:color="000000" w:themeColor="text1"/>
              <w:bottom w:val="nil"/>
            </w:tcBorders>
            <w:shd w:val="clear" w:color="auto" w:fill="244061" w:themeFill="accent1" w:themeFillShade="80"/>
            <w:vAlign w:val="bottom"/>
            <w:hideMark/>
          </w:tcPr>
          <w:p w14:paraId="4E76E3E4" w14:textId="4534327C" w:rsidR="00BF6687" w:rsidRPr="001E7713" w:rsidRDefault="00BF6687" w:rsidP="001E7713">
            <w:pPr>
              <w:spacing w:line="240" w:lineRule="auto"/>
              <w:jc w:val="center"/>
              <w:rPr>
                <w:rFonts w:ascii="Franklin Gothic Medium" w:eastAsia="Times New Roman" w:hAnsi="Franklin Gothic Medium" w:cs="Times New Roman"/>
                <w:b w:val="0"/>
                <w:color w:val="auto"/>
                <w:szCs w:val="24"/>
              </w:rPr>
            </w:pPr>
            <w:r w:rsidRPr="001E7713">
              <w:rPr>
                <w:rFonts w:ascii="Franklin Gothic Medium" w:eastAsia="Times New Roman" w:hAnsi="Franklin Gothic Medium" w:cs="Times New Roman"/>
                <w:b w:val="0"/>
                <w:color w:val="auto"/>
                <w:szCs w:val="24"/>
              </w:rPr>
              <w:t>Table 13:  Health Summary</w:t>
            </w:r>
          </w:p>
        </w:tc>
      </w:tr>
      <w:tr w:rsidR="00BF6687" w:rsidRPr="00BF6687" w14:paraId="414AAF9B" w14:textId="77777777" w:rsidTr="001E7713">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7240" w:type="dxa"/>
            <w:gridSpan w:val="3"/>
            <w:tcBorders>
              <w:top w:val="nil"/>
              <w:bottom w:val="nil"/>
            </w:tcBorders>
            <w:shd w:val="clear" w:color="auto" w:fill="244061" w:themeFill="accent1" w:themeFillShade="80"/>
            <w:vAlign w:val="bottom"/>
            <w:hideMark/>
          </w:tcPr>
          <w:p w14:paraId="33EA5EFC" w14:textId="3E26EDD6" w:rsidR="00BF6687" w:rsidRPr="001E7713" w:rsidRDefault="00BF6687" w:rsidP="001B25B0">
            <w:pPr>
              <w:spacing w:line="240" w:lineRule="auto"/>
              <w:jc w:val="center"/>
              <w:rPr>
                <w:rFonts w:ascii="Franklin Gothic Medium" w:eastAsia="Times New Roman" w:hAnsi="Franklin Gothic Medium" w:cs="Times New Roman"/>
                <w:b w:val="0"/>
                <w:szCs w:val="24"/>
              </w:rPr>
            </w:pPr>
            <w:r w:rsidRPr="001E7713">
              <w:rPr>
                <w:rFonts w:ascii="Franklin Gothic Medium" w:eastAsia="Times New Roman" w:hAnsi="Franklin Gothic Medium" w:cs="Times New Roman"/>
                <w:b w:val="0"/>
                <w:szCs w:val="24"/>
              </w:rPr>
              <w:t xml:space="preserve">January </w:t>
            </w:r>
            <w:r w:rsidR="00937F4B" w:rsidRPr="001E7713">
              <w:rPr>
                <w:rFonts w:ascii="Franklin Gothic Medium" w:eastAsia="Times New Roman" w:hAnsi="Franklin Gothic Medium" w:cs="Times New Roman"/>
                <w:b w:val="0"/>
                <w:szCs w:val="24"/>
              </w:rPr>
              <w:t xml:space="preserve">– </w:t>
            </w:r>
            <w:r w:rsidR="001B25B0" w:rsidRPr="001E7713">
              <w:rPr>
                <w:rFonts w:ascii="Franklin Gothic Medium" w:eastAsia="Times New Roman" w:hAnsi="Franklin Gothic Medium" w:cs="Times New Roman"/>
                <w:b w:val="0"/>
                <w:szCs w:val="24"/>
              </w:rPr>
              <w:t>June</w:t>
            </w:r>
            <w:r w:rsidR="00937F4B" w:rsidRPr="001E7713">
              <w:rPr>
                <w:rFonts w:ascii="Franklin Gothic Medium" w:eastAsia="Times New Roman" w:hAnsi="Franklin Gothic Medium" w:cs="Times New Roman"/>
                <w:b w:val="0"/>
                <w:szCs w:val="24"/>
              </w:rPr>
              <w:t xml:space="preserve"> </w:t>
            </w:r>
            <w:r w:rsidRPr="001E7713">
              <w:rPr>
                <w:rFonts w:ascii="Franklin Gothic Medium" w:eastAsia="Times New Roman" w:hAnsi="Franklin Gothic Medium" w:cs="Times New Roman"/>
                <w:b w:val="0"/>
                <w:szCs w:val="24"/>
              </w:rPr>
              <w:t>201</w:t>
            </w:r>
            <w:r w:rsidR="00630B0C" w:rsidRPr="001E7713">
              <w:rPr>
                <w:rFonts w:ascii="Franklin Gothic Medium" w:eastAsia="Times New Roman" w:hAnsi="Franklin Gothic Medium" w:cs="Times New Roman"/>
                <w:b w:val="0"/>
                <w:szCs w:val="24"/>
              </w:rPr>
              <w:t>6</w:t>
            </w:r>
          </w:p>
        </w:tc>
      </w:tr>
      <w:tr w:rsidR="00BF6687" w:rsidRPr="00BF6687" w14:paraId="12FC8E1C" w14:textId="77777777" w:rsidTr="00236581">
        <w:trPr>
          <w:cnfStyle w:val="100000000000" w:firstRow="1" w:lastRow="0" w:firstColumn="0" w:lastColumn="0" w:oddVBand="0" w:evenVBand="0" w:oddHBand="0" w:evenHBand="0" w:firstRowFirstColumn="0" w:firstRowLastColumn="0" w:lastRowFirstColumn="0" w:lastRowLastColumn="0"/>
          <w:trHeight w:val="46"/>
          <w:tblHeader/>
          <w:jc w:val="center"/>
        </w:trPr>
        <w:tc>
          <w:tcPr>
            <w:cnfStyle w:val="001000000000" w:firstRow="0" w:lastRow="0" w:firstColumn="1" w:lastColumn="0" w:oddVBand="0" w:evenVBand="0" w:oddHBand="0" w:evenHBand="0" w:firstRowFirstColumn="0" w:firstRowLastColumn="0" w:lastRowFirstColumn="0" w:lastRowLastColumn="0"/>
            <w:tcW w:w="5302" w:type="dxa"/>
            <w:tcBorders>
              <w:top w:val="nil"/>
              <w:bottom w:val="single" w:sz="8" w:space="0" w:color="000000" w:themeColor="text1"/>
            </w:tcBorders>
            <w:shd w:val="clear" w:color="auto" w:fill="BFBFBF" w:themeFill="background1" w:themeFillShade="BF"/>
            <w:vAlign w:val="bottom"/>
            <w:hideMark/>
          </w:tcPr>
          <w:p w14:paraId="693FA0C7" w14:textId="77777777" w:rsidR="00BF6687" w:rsidRPr="001E7713" w:rsidRDefault="00BF6687" w:rsidP="00BF6687">
            <w:pPr>
              <w:spacing w:line="240" w:lineRule="auto"/>
              <w:rPr>
                <w:rFonts w:ascii="Franklin Gothic Medium" w:eastAsia="Times New Roman" w:hAnsi="Franklin Gothic Medium" w:cs="Times New Roman"/>
                <w:b w:val="0"/>
                <w:color w:val="auto"/>
                <w:szCs w:val="24"/>
              </w:rPr>
            </w:pPr>
            <w:r w:rsidRPr="001E7713">
              <w:rPr>
                <w:rFonts w:ascii="Franklin Gothic Medium" w:eastAsia="Times New Roman" w:hAnsi="Franklin Gothic Medium" w:cs="Times New Roman"/>
                <w:b w:val="0"/>
                <w:color w:val="auto"/>
                <w:szCs w:val="24"/>
              </w:rPr>
              <w:t>In the past 12 months:</w:t>
            </w:r>
          </w:p>
        </w:tc>
        <w:tc>
          <w:tcPr>
            <w:tcW w:w="978" w:type="dxa"/>
            <w:tcBorders>
              <w:top w:val="nil"/>
              <w:bottom w:val="single" w:sz="8" w:space="0" w:color="000000" w:themeColor="text1"/>
            </w:tcBorders>
            <w:shd w:val="clear" w:color="auto" w:fill="BFBFBF" w:themeFill="background1" w:themeFillShade="BF"/>
            <w:vAlign w:val="bottom"/>
            <w:hideMark/>
          </w:tcPr>
          <w:p w14:paraId="4907D978" w14:textId="529CF84D" w:rsidR="00BF6687" w:rsidRPr="001E7713" w:rsidRDefault="00BF6687" w:rsidP="001B25B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color w:val="auto"/>
                <w:szCs w:val="24"/>
              </w:rPr>
            </w:pPr>
            <w:r w:rsidRPr="001E7713">
              <w:rPr>
                <w:rFonts w:ascii="Franklin Gothic Medium" w:eastAsia="Times New Roman" w:hAnsi="Franklin Gothic Medium" w:cs="Times New Roman"/>
                <w:b w:val="0"/>
                <w:color w:val="auto"/>
                <w:szCs w:val="24"/>
              </w:rPr>
              <w:t>Waiver (</w:t>
            </w:r>
            <w:r w:rsidR="001B25B0" w:rsidRPr="001E7713">
              <w:rPr>
                <w:rFonts w:ascii="Franklin Gothic Medium" w:eastAsia="Times New Roman" w:hAnsi="Franklin Gothic Medium" w:cs="Times New Roman"/>
                <w:b w:val="0"/>
                <w:color w:val="auto"/>
                <w:szCs w:val="24"/>
              </w:rPr>
              <w:t>632</w:t>
            </w:r>
            <w:r w:rsidRPr="001E7713">
              <w:rPr>
                <w:rFonts w:ascii="Franklin Gothic Medium" w:eastAsia="Times New Roman" w:hAnsi="Franklin Gothic Medium" w:cs="Times New Roman"/>
                <w:b w:val="0"/>
                <w:color w:val="auto"/>
                <w:szCs w:val="24"/>
              </w:rPr>
              <w:t>)</w:t>
            </w:r>
          </w:p>
        </w:tc>
        <w:tc>
          <w:tcPr>
            <w:tcW w:w="960" w:type="dxa"/>
            <w:tcBorders>
              <w:top w:val="nil"/>
              <w:bottom w:val="single" w:sz="8" w:space="0" w:color="000000" w:themeColor="text1"/>
            </w:tcBorders>
            <w:shd w:val="clear" w:color="auto" w:fill="BFBFBF" w:themeFill="background1" w:themeFillShade="BF"/>
            <w:vAlign w:val="bottom"/>
            <w:hideMark/>
          </w:tcPr>
          <w:p w14:paraId="4D2EAF01" w14:textId="4600C5A1" w:rsidR="00BF6687" w:rsidRPr="001E7713" w:rsidRDefault="00BF6687" w:rsidP="001B25B0">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color w:val="auto"/>
                <w:szCs w:val="24"/>
              </w:rPr>
            </w:pPr>
            <w:r w:rsidRPr="001E7713">
              <w:rPr>
                <w:rFonts w:ascii="Franklin Gothic Medium" w:eastAsia="Times New Roman" w:hAnsi="Franklin Gothic Medium" w:cs="Times New Roman"/>
                <w:b w:val="0"/>
                <w:color w:val="auto"/>
                <w:szCs w:val="24"/>
              </w:rPr>
              <w:t>CDC+ (</w:t>
            </w:r>
            <w:r w:rsidR="001B25B0" w:rsidRPr="001E7713">
              <w:rPr>
                <w:rFonts w:ascii="Franklin Gothic Medium" w:eastAsia="Times New Roman" w:hAnsi="Franklin Gothic Medium" w:cs="Times New Roman"/>
                <w:b w:val="0"/>
                <w:color w:val="auto"/>
                <w:szCs w:val="24"/>
              </w:rPr>
              <w:t>151</w:t>
            </w:r>
            <w:r w:rsidRPr="001E7713">
              <w:rPr>
                <w:rFonts w:ascii="Franklin Gothic Medium" w:eastAsia="Times New Roman" w:hAnsi="Franklin Gothic Medium" w:cs="Times New Roman"/>
                <w:b w:val="0"/>
                <w:color w:val="auto"/>
                <w:szCs w:val="24"/>
              </w:rPr>
              <w:t>)</w:t>
            </w:r>
          </w:p>
        </w:tc>
      </w:tr>
      <w:tr w:rsidR="001E7713" w:rsidRPr="001B25B0" w14:paraId="5D8C12EE" w14:textId="77777777" w:rsidTr="001E7713">
        <w:trPr>
          <w:cnfStyle w:val="000000100000" w:firstRow="0" w:lastRow="0" w:firstColumn="0" w:lastColumn="0" w:oddVBand="0" w:evenVBand="0" w:oddHBand="1" w:evenHBand="0"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5302" w:type="dxa"/>
            <w:shd w:val="clear" w:color="auto" w:fill="auto"/>
            <w:vAlign w:val="center"/>
            <w:hideMark/>
          </w:tcPr>
          <w:p w14:paraId="7DE48C5A" w14:textId="77777777" w:rsidR="001E7713" w:rsidRPr="001E7713" w:rsidRDefault="001E7713" w:rsidP="001E7713">
            <w:pPr>
              <w:spacing w:line="240" w:lineRule="auto"/>
              <w:rPr>
                <w:rFonts w:ascii="Calibri" w:eastAsia="Times New Roman" w:hAnsi="Calibri" w:cs="Times New Roman"/>
                <w:sz w:val="20"/>
                <w:szCs w:val="20"/>
              </w:rPr>
            </w:pPr>
            <w:r w:rsidRPr="001E7713">
              <w:rPr>
                <w:rFonts w:ascii="Calibri" w:eastAsia="Times New Roman" w:hAnsi="Calibri" w:cs="Times New Roman"/>
                <w:sz w:val="20"/>
                <w:szCs w:val="20"/>
              </w:rPr>
              <w:t>Has the Abuse Hotline been contacted by you or others to report abuse, neglect, or exploitation?</w:t>
            </w:r>
          </w:p>
        </w:tc>
        <w:tc>
          <w:tcPr>
            <w:tcW w:w="978" w:type="dxa"/>
            <w:shd w:val="clear" w:color="auto" w:fill="auto"/>
            <w:noWrap/>
            <w:vAlign w:val="center"/>
            <w:hideMark/>
          </w:tcPr>
          <w:p w14:paraId="43E96423" w14:textId="723A480A" w:rsidR="001E7713" w:rsidRPr="001E7713" w:rsidRDefault="001E7713" w:rsidP="001E77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highlight w:val="yellow"/>
              </w:rPr>
            </w:pPr>
            <w:r w:rsidRPr="001E7713">
              <w:rPr>
                <w:rFonts w:ascii="Calibri" w:hAnsi="Calibri"/>
                <w:sz w:val="20"/>
                <w:szCs w:val="20"/>
              </w:rPr>
              <w:t>2.8%</w:t>
            </w:r>
          </w:p>
        </w:tc>
        <w:tc>
          <w:tcPr>
            <w:tcW w:w="960" w:type="dxa"/>
            <w:noWrap/>
            <w:vAlign w:val="center"/>
            <w:hideMark/>
          </w:tcPr>
          <w:p w14:paraId="6BB36DE6" w14:textId="6276177A" w:rsidR="001E7713" w:rsidRPr="001E7713" w:rsidRDefault="001E7713" w:rsidP="001E77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E7713">
              <w:rPr>
                <w:rFonts w:ascii="Calibri" w:hAnsi="Calibri"/>
                <w:sz w:val="20"/>
                <w:szCs w:val="20"/>
              </w:rPr>
              <w:t>1.1%</w:t>
            </w:r>
          </w:p>
        </w:tc>
      </w:tr>
      <w:tr w:rsidR="001E7713" w:rsidRPr="001B25B0" w14:paraId="43E470DB" w14:textId="77777777" w:rsidTr="001E7713">
        <w:trPr>
          <w:trHeight w:val="547"/>
          <w:jc w:val="center"/>
        </w:trPr>
        <w:tc>
          <w:tcPr>
            <w:cnfStyle w:val="001000000000" w:firstRow="0" w:lastRow="0" w:firstColumn="1" w:lastColumn="0" w:oddVBand="0" w:evenVBand="0" w:oddHBand="0" w:evenHBand="0" w:firstRowFirstColumn="0" w:firstRowLastColumn="0" w:lastRowFirstColumn="0" w:lastRowLastColumn="0"/>
            <w:tcW w:w="5302" w:type="dxa"/>
            <w:vAlign w:val="center"/>
            <w:hideMark/>
          </w:tcPr>
          <w:p w14:paraId="61BF1065" w14:textId="77777777" w:rsidR="001E7713" w:rsidRPr="001E7713" w:rsidRDefault="001E7713" w:rsidP="001E7713">
            <w:pPr>
              <w:spacing w:line="240" w:lineRule="auto"/>
              <w:rPr>
                <w:rFonts w:ascii="Calibri" w:eastAsia="Times New Roman" w:hAnsi="Calibri" w:cs="Times New Roman"/>
                <w:sz w:val="20"/>
                <w:szCs w:val="20"/>
              </w:rPr>
            </w:pPr>
            <w:r w:rsidRPr="001E7713">
              <w:rPr>
                <w:rFonts w:ascii="Calibri" w:eastAsia="Times New Roman" w:hAnsi="Calibri" w:cs="Times New Roman"/>
                <w:sz w:val="20"/>
                <w:szCs w:val="20"/>
              </w:rPr>
              <w:t xml:space="preserve">Have Reactive Strategies under 65G-8 been used due to behavioral concerns? </w:t>
            </w:r>
          </w:p>
        </w:tc>
        <w:tc>
          <w:tcPr>
            <w:tcW w:w="978" w:type="dxa"/>
            <w:noWrap/>
            <w:vAlign w:val="center"/>
            <w:hideMark/>
          </w:tcPr>
          <w:p w14:paraId="79E4EE05" w14:textId="01B4B6D8" w:rsidR="001E7713" w:rsidRPr="001E7713" w:rsidRDefault="001E7713" w:rsidP="001E771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highlight w:val="yellow"/>
              </w:rPr>
            </w:pPr>
            <w:r w:rsidRPr="001E7713">
              <w:rPr>
                <w:rFonts w:ascii="Calibri" w:hAnsi="Calibri"/>
                <w:sz w:val="20"/>
                <w:szCs w:val="20"/>
              </w:rPr>
              <w:t>2.8%</w:t>
            </w:r>
          </w:p>
        </w:tc>
        <w:tc>
          <w:tcPr>
            <w:tcW w:w="960" w:type="dxa"/>
            <w:noWrap/>
            <w:vAlign w:val="center"/>
            <w:hideMark/>
          </w:tcPr>
          <w:p w14:paraId="5E8C3545" w14:textId="214DAD67" w:rsidR="001E7713" w:rsidRPr="001E7713" w:rsidRDefault="001E7713" w:rsidP="001E771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E7713">
              <w:rPr>
                <w:rFonts w:ascii="Calibri" w:hAnsi="Calibri"/>
                <w:sz w:val="20"/>
                <w:szCs w:val="20"/>
              </w:rPr>
              <w:t>0.0%</w:t>
            </w:r>
          </w:p>
        </w:tc>
      </w:tr>
      <w:tr w:rsidR="001E7713" w:rsidRPr="001B25B0" w14:paraId="2F05EB73" w14:textId="77777777" w:rsidTr="001E771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5302" w:type="dxa"/>
            <w:vAlign w:val="center"/>
          </w:tcPr>
          <w:p w14:paraId="206AED4D" w14:textId="51421F4E" w:rsidR="001E7713" w:rsidRPr="001E7713" w:rsidRDefault="001E7713" w:rsidP="001E7713">
            <w:pPr>
              <w:spacing w:line="240" w:lineRule="auto"/>
              <w:rPr>
                <w:rFonts w:asciiTheme="minorHAnsi" w:eastAsia="Times New Roman" w:hAnsiTheme="minorHAnsi" w:cs="Times New Roman"/>
                <w:sz w:val="20"/>
                <w:szCs w:val="20"/>
              </w:rPr>
            </w:pPr>
            <w:r w:rsidRPr="001E7713">
              <w:rPr>
                <w:rFonts w:asciiTheme="minorHAnsi" w:hAnsiTheme="minorHAnsi" w:cs="Arial"/>
                <w:color w:val="000000"/>
                <w:sz w:val="20"/>
                <w:szCs w:val="20"/>
              </w:rPr>
              <w:t>Have you been admitted to the hospital (including baker acts)?</w:t>
            </w:r>
          </w:p>
        </w:tc>
        <w:tc>
          <w:tcPr>
            <w:tcW w:w="978" w:type="dxa"/>
            <w:noWrap/>
            <w:vAlign w:val="center"/>
          </w:tcPr>
          <w:p w14:paraId="411E5433" w14:textId="34885D69" w:rsidR="001E7713" w:rsidRPr="001E7713" w:rsidRDefault="001E7713" w:rsidP="001E77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highlight w:val="yellow"/>
              </w:rPr>
            </w:pPr>
            <w:r w:rsidRPr="001E7713">
              <w:rPr>
                <w:rFonts w:ascii="Calibri" w:hAnsi="Calibri"/>
                <w:sz w:val="20"/>
                <w:szCs w:val="20"/>
              </w:rPr>
              <w:t>11.9%</w:t>
            </w:r>
          </w:p>
        </w:tc>
        <w:tc>
          <w:tcPr>
            <w:tcW w:w="960" w:type="dxa"/>
            <w:noWrap/>
            <w:vAlign w:val="center"/>
          </w:tcPr>
          <w:p w14:paraId="43910F54" w14:textId="23C84166" w:rsidR="001E7713" w:rsidRPr="001E7713" w:rsidRDefault="001E7713" w:rsidP="001E77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E7713">
              <w:rPr>
                <w:rFonts w:ascii="Calibri" w:hAnsi="Calibri"/>
                <w:sz w:val="20"/>
                <w:szCs w:val="20"/>
              </w:rPr>
              <w:t>21.7%</w:t>
            </w:r>
          </w:p>
        </w:tc>
      </w:tr>
      <w:tr w:rsidR="001E7713" w:rsidRPr="001B25B0" w14:paraId="0BDDDDF1" w14:textId="77777777" w:rsidTr="001E7713">
        <w:trPr>
          <w:trHeight w:val="315"/>
          <w:jc w:val="center"/>
        </w:trPr>
        <w:tc>
          <w:tcPr>
            <w:cnfStyle w:val="001000000000" w:firstRow="0" w:lastRow="0" w:firstColumn="1" w:lastColumn="0" w:oddVBand="0" w:evenVBand="0" w:oddHBand="0" w:evenHBand="0" w:firstRowFirstColumn="0" w:firstRowLastColumn="0" w:lastRowFirstColumn="0" w:lastRowLastColumn="0"/>
            <w:tcW w:w="5302" w:type="dxa"/>
            <w:vAlign w:val="center"/>
            <w:hideMark/>
          </w:tcPr>
          <w:p w14:paraId="2DCA64C4" w14:textId="77777777" w:rsidR="001E7713" w:rsidRPr="001E7713" w:rsidRDefault="001E7713" w:rsidP="001E7713">
            <w:pPr>
              <w:spacing w:line="240" w:lineRule="auto"/>
              <w:rPr>
                <w:rFonts w:ascii="Calibri" w:eastAsia="Times New Roman" w:hAnsi="Calibri" w:cs="Times New Roman"/>
                <w:sz w:val="20"/>
                <w:szCs w:val="20"/>
              </w:rPr>
            </w:pPr>
            <w:r w:rsidRPr="001E7713">
              <w:rPr>
                <w:rFonts w:ascii="Calibri" w:eastAsia="Times New Roman" w:hAnsi="Calibri" w:cs="Times New Roman"/>
                <w:sz w:val="20"/>
                <w:szCs w:val="20"/>
              </w:rPr>
              <w:t xml:space="preserve">Have you been to an Emergency Room? </w:t>
            </w:r>
          </w:p>
        </w:tc>
        <w:tc>
          <w:tcPr>
            <w:tcW w:w="978" w:type="dxa"/>
            <w:noWrap/>
            <w:vAlign w:val="center"/>
            <w:hideMark/>
          </w:tcPr>
          <w:p w14:paraId="48887990" w14:textId="00BFE702" w:rsidR="001E7713" w:rsidRPr="001E7713" w:rsidRDefault="001E7713" w:rsidP="001E771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sz w:val="20"/>
                <w:szCs w:val="20"/>
                <w:highlight w:val="yellow"/>
              </w:rPr>
            </w:pPr>
            <w:r w:rsidRPr="001E7713">
              <w:rPr>
                <w:rFonts w:ascii="Calibri" w:hAnsi="Calibri"/>
                <w:sz w:val="20"/>
                <w:szCs w:val="20"/>
              </w:rPr>
              <w:t>19.0%</w:t>
            </w:r>
          </w:p>
        </w:tc>
        <w:tc>
          <w:tcPr>
            <w:tcW w:w="960" w:type="dxa"/>
            <w:noWrap/>
            <w:vAlign w:val="center"/>
            <w:hideMark/>
          </w:tcPr>
          <w:p w14:paraId="36AC524B" w14:textId="0D31C0F9" w:rsidR="001E7713" w:rsidRPr="001E7713" w:rsidRDefault="001E7713" w:rsidP="001E7713">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1E7713">
              <w:rPr>
                <w:rFonts w:ascii="Calibri" w:hAnsi="Calibri"/>
                <w:sz w:val="20"/>
                <w:szCs w:val="20"/>
              </w:rPr>
              <w:t>25.0%</w:t>
            </w:r>
          </w:p>
        </w:tc>
      </w:tr>
      <w:tr w:rsidR="001E7713" w:rsidRPr="00BF6687" w14:paraId="3D659629" w14:textId="77777777" w:rsidTr="001E771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02" w:type="dxa"/>
            <w:vAlign w:val="center"/>
            <w:hideMark/>
          </w:tcPr>
          <w:p w14:paraId="59982018" w14:textId="77777777" w:rsidR="001E7713" w:rsidRPr="001E7713" w:rsidRDefault="001E7713" w:rsidP="001E7713">
            <w:pPr>
              <w:spacing w:line="240" w:lineRule="auto"/>
              <w:rPr>
                <w:rFonts w:ascii="Calibri" w:eastAsia="Times New Roman" w:hAnsi="Calibri" w:cs="Times New Roman"/>
                <w:sz w:val="20"/>
                <w:szCs w:val="20"/>
              </w:rPr>
            </w:pPr>
            <w:r w:rsidRPr="001E7713">
              <w:rPr>
                <w:rFonts w:ascii="Calibri" w:eastAsia="Times New Roman" w:hAnsi="Calibri" w:cs="Times New Roman"/>
                <w:sz w:val="20"/>
                <w:szCs w:val="20"/>
              </w:rPr>
              <w:t>Have you been to an Urgent Care Center?</w:t>
            </w:r>
          </w:p>
        </w:tc>
        <w:tc>
          <w:tcPr>
            <w:tcW w:w="978" w:type="dxa"/>
            <w:noWrap/>
            <w:vAlign w:val="center"/>
            <w:hideMark/>
          </w:tcPr>
          <w:p w14:paraId="3C1425BD" w14:textId="79D6FDA1" w:rsidR="001E7713" w:rsidRPr="001E7713" w:rsidRDefault="001E7713" w:rsidP="001E77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0"/>
                <w:szCs w:val="20"/>
                <w:highlight w:val="yellow"/>
              </w:rPr>
            </w:pPr>
            <w:r w:rsidRPr="001E7713">
              <w:rPr>
                <w:rFonts w:ascii="Calibri" w:hAnsi="Calibri"/>
                <w:sz w:val="20"/>
                <w:szCs w:val="20"/>
              </w:rPr>
              <w:t>4.1%</w:t>
            </w:r>
          </w:p>
        </w:tc>
        <w:tc>
          <w:tcPr>
            <w:tcW w:w="960" w:type="dxa"/>
            <w:noWrap/>
            <w:vAlign w:val="center"/>
            <w:hideMark/>
          </w:tcPr>
          <w:p w14:paraId="6BF8A883" w14:textId="5C566142" w:rsidR="001E7713" w:rsidRPr="001E7713" w:rsidRDefault="001E7713" w:rsidP="001E771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1E7713">
              <w:rPr>
                <w:rFonts w:ascii="Calibri" w:hAnsi="Calibri"/>
                <w:sz w:val="20"/>
                <w:szCs w:val="20"/>
              </w:rPr>
              <w:t>6.5%</w:t>
            </w:r>
          </w:p>
        </w:tc>
      </w:tr>
    </w:tbl>
    <w:p w14:paraId="4B2C2029" w14:textId="77777777" w:rsidR="007949B2" w:rsidRDefault="007949B2" w:rsidP="00EA1387"/>
    <w:p w14:paraId="5535AC9E" w14:textId="006AED01" w:rsidR="007C1358" w:rsidRDefault="0052101B" w:rsidP="007C1358">
      <w:pPr>
        <w:pStyle w:val="Heading2"/>
      </w:pPr>
      <w:bookmarkStart w:id="50" w:name="_Toc369864678"/>
      <w:bookmarkStart w:id="51" w:name="_Toc459080643"/>
      <w:r>
        <w:t>National Core Indicator (</w:t>
      </w:r>
      <w:r w:rsidR="007C1358">
        <w:t>NCI</w:t>
      </w:r>
      <w:r>
        <w:t>)</w:t>
      </w:r>
      <w:r w:rsidR="007C1358">
        <w:t xml:space="preserve"> </w:t>
      </w:r>
      <w:r>
        <w:t xml:space="preserve">Adult Consumer Survey </w:t>
      </w:r>
      <w:r w:rsidR="007C1358">
        <w:t>Results</w:t>
      </w:r>
      <w:bookmarkEnd w:id="50"/>
      <w:bookmarkEnd w:id="51"/>
    </w:p>
    <w:p w14:paraId="6407CE16" w14:textId="0F1C02FF" w:rsidR="0052101B" w:rsidRDefault="0052101B" w:rsidP="00B3314E">
      <w:r>
        <w:t>The Delmarva PCRs include the NCI Adult Consumer Survey</w:t>
      </w:r>
      <w:r w:rsidR="002971E6">
        <w:t xml:space="preserve"> for adults age 18 and over</w:t>
      </w:r>
      <w:r>
        <w:t xml:space="preserve">.  </w:t>
      </w:r>
      <w:r w:rsidR="00AC128E">
        <w:t>Data</w:t>
      </w:r>
      <w:r w:rsidR="00B239A9">
        <w:t xml:space="preserve"> from these are entered directly into </w:t>
      </w:r>
      <w:r w:rsidR="00AC128E">
        <w:t xml:space="preserve">the system maintained by HSRI.  Results will be analyzed in the annual report when </w:t>
      </w:r>
      <w:r w:rsidR="00AC128E">
        <w:lastRenderedPageBreak/>
        <w:t xml:space="preserve">data collection from everyone in the sample has been completed and available for analysis. </w:t>
      </w:r>
    </w:p>
    <w:p w14:paraId="2F69D478" w14:textId="77777777" w:rsidR="003649E9" w:rsidRDefault="003649E9" w:rsidP="003649E9">
      <w:pPr>
        <w:pStyle w:val="Heading2"/>
      </w:pPr>
      <w:bookmarkStart w:id="52" w:name="_Toc459080644"/>
      <w:r>
        <w:t>Provider Discovery Reviews (PDR)</w:t>
      </w:r>
      <w:r>
        <w:rPr>
          <w:rStyle w:val="FootnoteReference"/>
        </w:rPr>
        <w:footnoteReference w:id="9"/>
      </w:r>
      <w:bookmarkEnd w:id="52"/>
    </w:p>
    <w:p w14:paraId="0A08CDF9" w14:textId="47D1A823" w:rsidR="003649E9" w:rsidRDefault="003649E9" w:rsidP="003649E9">
      <w:r w:rsidRPr="0097191F">
        <w:t>During this contract year, a PDR will be completed for all providers who render</w:t>
      </w:r>
      <w:r w:rsidR="002971E6" w:rsidRPr="0097191F">
        <w:t>ed</w:t>
      </w:r>
      <w:r w:rsidRPr="0097191F">
        <w:t xml:space="preserve"> at least one of the following services through the iBudget HCBS Waiver</w:t>
      </w:r>
      <w:r w:rsidR="00B74E6C" w:rsidRPr="0097191F">
        <w:t xml:space="preserve"> for six months or more</w:t>
      </w:r>
      <w:r w:rsidRPr="0097191F">
        <w:t>:</w:t>
      </w:r>
      <w:r w:rsidR="000D569A">
        <w:rPr>
          <w:rStyle w:val="FootnoteReference"/>
        </w:rPr>
        <w:footnoteReference w:id="10"/>
      </w:r>
      <w:r w:rsidRPr="002F24AF">
        <w:t xml:space="preserve"> </w:t>
      </w:r>
    </w:p>
    <w:p w14:paraId="0ED27CC9" w14:textId="77777777" w:rsidR="003649E9" w:rsidRDefault="003649E9" w:rsidP="003649E9"/>
    <w:p w14:paraId="3C09EEC1" w14:textId="77777777" w:rsidR="003649E9" w:rsidRDefault="003649E9" w:rsidP="003649E9">
      <w:pPr>
        <w:pStyle w:val="ListParagraph"/>
        <w:numPr>
          <w:ilvl w:val="0"/>
          <w:numId w:val="5"/>
        </w:numPr>
      </w:pPr>
      <w:r w:rsidRPr="009235D8">
        <w:t>Behavior Analysis</w:t>
      </w:r>
    </w:p>
    <w:p w14:paraId="641943BE" w14:textId="77777777" w:rsidR="003649E9" w:rsidRDefault="003649E9" w:rsidP="003649E9">
      <w:pPr>
        <w:pStyle w:val="ListParagraph"/>
        <w:numPr>
          <w:ilvl w:val="0"/>
          <w:numId w:val="5"/>
        </w:numPr>
      </w:pPr>
      <w:r w:rsidRPr="009235D8">
        <w:t xml:space="preserve">Behavior Assistant </w:t>
      </w:r>
    </w:p>
    <w:p w14:paraId="3848C3DD" w14:textId="77777777" w:rsidR="003649E9" w:rsidRDefault="003649E9" w:rsidP="003649E9">
      <w:pPr>
        <w:pStyle w:val="ListParagraph"/>
        <w:numPr>
          <w:ilvl w:val="0"/>
          <w:numId w:val="5"/>
        </w:numPr>
      </w:pPr>
      <w:r w:rsidRPr="009235D8">
        <w:t xml:space="preserve">Life Skills Development 1 (Companion) </w:t>
      </w:r>
    </w:p>
    <w:p w14:paraId="5A8EC814" w14:textId="77777777" w:rsidR="003649E9" w:rsidRDefault="003649E9" w:rsidP="003649E9">
      <w:pPr>
        <w:pStyle w:val="ListParagraph"/>
        <w:numPr>
          <w:ilvl w:val="0"/>
          <w:numId w:val="5"/>
        </w:numPr>
      </w:pPr>
      <w:r w:rsidRPr="009235D8">
        <w:t xml:space="preserve">Life Skills Development 2 (SEC) </w:t>
      </w:r>
    </w:p>
    <w:p w14:paraId="329E9C74" w14:textId="77777777" w:rsidR="003649E9" w:rsidRDefault="003649E9" w:rsidP="003649E9">
      <w:pPr>
        <w:pStyle w:val="ListParagraph"/>
        <w:numPr>
          <w:ilvl w:val="0"/>
          <w:numId w:val="5"/>
        </w:numPr>
      </w:pPr>
      <w:r w:rsidRPr="009235D8">
        <w:t>Life Skills Development 3 (ADT)</w:t>
      </w:r>
    </w:p>
    <w:p w14:paraId="09E4EB48" w14:textId="77777777" w:rsidR="003649E9" w:rsidRDefault="003649E9" w:rsidP="003649E9">
      <w:pPr>
        <w:pStyle w:val="ListParagraph"/>
        <w:numPr>
          <w:ilvl w:val="0"/>
          <w:numId w:val="5"/>
        </w:numPr>
      </w:pPr>
      <w:r w:rsidRPr="009235D8">
        <w:t xml:space="preserve">Personal Supports </w:t>
      </w:r>
    </w:p>
    <w:p w14:paraId="2E22D42B" w14:textId="77777777" w:rsidR="003649E9" w:rsidRDefault="003649E9" w:rsidP="003649E9">
      <w:pPr>
        <w:pStyle w:val="ListParagraph"/>
        <w:numPr>
          <w:ilvl w:val="0"/>
          <w:numId w:val="5"/>
        </w:numPr>
      </w:pPr>
      <w:r w:rsidRPr="009235D8">
        <w:t xml:space="preserve">Residential Habilitation Behavior Focus </w:t>
      </w:r>
    </w:p>
    <w:p w14:paraId="09323324" w14:textId="77777777" w:rsidR="003649E9" w:rsidRDefault="003649E9" w:rsidP="003649E9">
      <w:pPr>
        <w:pStyle w:val="ListParagraph"/>
        <w:numPr>
          <w:ilvl w:val="0"/>
          <w:numId w:val="5"/>
        </w:numPr>
      </w:pPr>
      <w:r w:rsidRPr="009235D8">
        <w:t xml:space="preserve">Residential Habilitation Intensive Behavioral </w:t>
      </w:r>
    </w:p>
    <w:p w14:paraId="65E0A46C" w14:textId="77777777" w:rsidR="003649E9" w:rsidRDefault="003649E9" w:rsidP="003649E9">
      <w:pPr>
        <w:pStyle w:val="ListParagraph"/>
        <w:numPr>
          <w:ilvl w:val="0"/>
          <w:numId w:val="5"/>
        </w:numPr>
      </w:pPr>
      <w:r w:rsidRPr="009235D8">
        <w:t xml:space="preserve">Residential Habilitation Standard </w:t>
      </w:r>
    </w:p>
    <w:p w14:paraId="7610B3D9" w14:textId="77777777" w:rsidR="003649E9" w:rsidRDefault="003649E9" w:rsidP="003649E9">
      <w:pPr>
        <w:pStyle w:val="ListParagraph"/>
        <w:numPr>
          <w:ilvl w:val="0"/>
          <w:numId w:val="5"/>
        </w:numPr>
      </w:pPr>
      <w:r w:rsidRPr="009235D8">
        <w:t xml:space="preserve">Respite </w:t>
      </w:r>
    </w:p>
    <w:p w14:paraId="79D08C42" w14:textId="77777777" w:rsidR="003649E9" w:rsidRDefault="003649E9" w:rsidP="003649E9">
      <w:pPr>
        <w:pStyle w:val="ListParagraph"/>
        <w:numPr>
          <w:ilvl w:val="0"/>
          <w:numId w:val="5"/>
        </w:numPr>
      </w:pPr>
      <w:r>
        <w:t>Special Medical Home Care</w:t>
      </w:r>
    </w:p>
    <w:p w14:paraId="50A1A68D" w14:textId="51F174C4" w:rsidR="003649E9" w:rsidRDefault="003649E9" w:rsidP="003649E9">
      <w:pPr>
        <w:pStyle w:val="ListParagraph"/>
        <w:numPr>
          <w:ilvl w:val="0"/>
          <w:numId w:val="5"/>
        </w:numPr>
      </w:pPr>
      <w:r w:rsidRPr="009235D8">
        <w:t>Support Coordination</w:t>
      </w:r>
      <w:r w:rsidR="007E0174">
        <w:t>/CDC+ Consultant</w:t>
      </w:r>
    </w:p>
    <w:p w14:paraId="647F62AF" w14:textId="77777777" w:rsidR="003649E9" w:rsidRDefault="003649E9" w:rsidP="003649E9">
      <w:pPr>
        <w:pStyle w:val="ListParagraph"/>
        <w:numPr>
          <w:ilvl w:val="0"/>
          <w:numId w:val="5"/>
        </w:numPr>
      </w:pPr>
      <w:r w:rsidRPr="009235D8">
        <w:t>Supported Living Coaching</w:t>
      </w:r>
    </w:p>
    <w:p w14:paraId="05F9D042" w14:textId="77777777" w:rsidR="003649E9" w:rsidRDefault="003649E9" w:rsidP="003649E9"/>
    <w:p w14:paraId="5BB7310B" w14:textId="544814A9" w:rsidR="003649E9" w:rsidRDefault="003649E9" w:rsidP="003649E9">
      <w:r>
        <w:t xml:space="preserve">The PDR is composed of up to six different review components:  Interviews with individuals receiving services (PDR II), Interviews with staff rendering services (SI), Observations at </w:t>
      </w:r>
      <w:r w:rsidR="00202D3E">
        <w:t xml:space="preserve">Waiver funded </w:t>
      </w:r>
      <w:r>
        <w:t xml:space="preserve">licensed residences and day programs (OBS), Policy and Procedure (P&amp;P), Qualification and Training (Q&amp;T), and Service Specific Record Reviews (SSRR).  </w:t>
      </w:r>
      <w:r w:rsidRPr="00C37381">
        <w:t xml:space="preserve">We provide </w:t>
      </w:r>
      <w:r>
        <w:t xml:space="preserve">PDR </w:t>
      </w:r>
      <w:r w:rsidRPr="008B285C">
        <w:t>results separately for WSCs</w:t>
      </w:r>
      <w:r w:rsidR="00FC1E4B">
        <w:t xml:space="preserve"> and Service Providers</w:t>
      </w:r>
      <w:r w:rsidRPr="008B285C">
        <w:t xml:space="preserve">. During the first </w:t>
      </w:r>
      <w:r w:rsidR="000D569A" w:rsidRPr="008B285C">
        <w:t xml:space="preserve">two </w:t>
      </w:r>
      <w:r w:rsidRPr="008B285C">
        <w:t>quarter</w:t>
      </w:r>
      <w:r w:rsidR="000D569A" w:rsidRPr="008B285C">
        <w:t>s</w:t>
      </w:r>
      <w:r w:rsidRPr="008B285C">
        <w:t xml:space="preserve"> of this contract year (January – </w:t>
      </w:r>
      <w:r w:rsidR="000D569A" w:rsidRPr="008B285C">
        <w:t>June</w:t>
      </w:r>
      <w:r w:rsidRPr="008B285C">
        <w:t xml:space="preserve"> 201</w:t>
      </w:r>
      <w:r w:rsidR="00A04DDE" w:rsidRPr="008B285C">
        <w:t>6</w:t>
      </w:r>
      <w:r w:rsidRPr="008B285C">
        <w:t xml:space="preserve">), </w:t>
      </w:r>
      <w:r w:rsidR="008B285C" w:rsidRPr="00BB7FDE">
        <w:t>933</w:t>
      </w:r>
      <w:r w:rsidRPr="00BB7FDE">
        <w:t xml:space="preserve"> PDRs were completed by reviewers</w:t>
      </w:r>
      <w:r w:rsidRPr="008B285C">
        <w:t xml:space="preserve"> and approved by Delmarva management; </w:t>
      </w:r>
      <w:r w:rsidR="008B285C" w:rsidRPr="008B285C">
        <w:t>668</w:t>
      </w:r>
      <w:r w:rsidRPr="008B285C">
        <w:t xml:space="preserve"> </w:t>
      </w:r>
      <w:r w:rsidR="00FC1E4B">
        <w:t>S</w:t>
      </w:r>
      <w:r w:rsidRPr="008B285C">
        <w:t xml:space="preserve">ervice </w:t>
      </w:r>
      <w:r w:rsidR="00FC1E4B">
        <w:t>P</w:t>
      </w:r>
      <w:r w:rsidRPr="008B285C">
        <w:t xml:space="preserve">roviders and </w:t>
      </w:r>
      <w:r w:rsidR="008B285C" w:rsidRPr="008B285C">
        <w:t>265</w:t>
      </w:r>
      <w:r w:rsidRPr="008B285C">
        <w:t xml:space="preserve"> WSCs.</w:t>
      </w:r>
      <w:r w:rsidRPr="00C37381">
        <w:t xml:space="preserve"> </w:t>
      </w:r>
    </w:p>
    <w:p w14:paraId="1DE14E43" w14:textId="77777777" w:rsidR="003649E9" w:rsidRDefault="003649E9" w:rsidP="003649E9"/>
    <w:p w14:paraId="67841CF4" w14:textId="77777777" w:rsidR="003649E9" w:rsidRPr="00ED4817" w:rsidRDefault="003649E9" w:rsidP="001B6245">
      <w:pPr>
        <w:pStyle w:val="Heading3"/>
      </w:pPr>
      <w:bookmarkStart w:id="53" w:name="_Toc459080645"/>
      <w:bookmarkStart w:id="54" w:name="_Toc369864683"/>
      <w:r w:rsidRPr="00ED4817">
        <w:lastRenderedPageBreak/>
        <w:t>PDR</w:t>
      </w:r>
      <w:r>
        <w:t xml:space="preserve"> Individual</w:t>
      </w:r>
      <w:r w:rsidRPr="00ED4817">
        <w:t xml:space="preserve"> </w:t>
      </w:r>
      <w:r>
        <w:t xml:space="preserve">and Staff </w:t>
      </w:r>
      <w:r w:rsidRPr="00ED4817">
        <w:t>Interviews</w:t>
      </w:r>
      <w:bookmarkEnd w:id="53"/>
    </w:p>
    <w:p w14:paraId="5257BAD2" w14:textId="723A39C0" w:rsidR="003649E9" w:rsidRDefault="003649E9" w:rsidP="003649E9">
      <w:r w:rsidRPr="000628C8">
        <w:t>Beginning in January 2015, the PDR incorporated an interview with individuals receiving services from the provider and</w:t>
      </w:r>
      <w:r>
        <w:t xml:space="preserve"> an interview with staff providing services. The staff may or may not be providing services to individuals interviewed but all services are monitored during the interview processes.  The purpose of the interview is to determine from the individual’s </w:t>
      </w:r>
      <w:r w:rsidRPr="002F4A3B">
        <w:t>perspective how well services are provided and determine from the staff how well individuals are being supported in each service. The standards are th</w:t>
      </w:r>
      <w:r>
        <w:t>e same as for the PCR interview but the indicators used to measure those standards are specific to the PDR.</w:t>
      </w:r>
      <w:r>
        <w:rPr>
          <w:rStyle w:val="FootnoteReference"/>
        </w:rPr>
        <w:footnoteReference w:id="11"/>
      </w:r>
      <w:r>
        <w:t xml:space="preserve"> </w:t>
      </w:r>
      <w:r w:rsidRPr="00E62185">
        <w:t xml:space="preserve">Figure </w:t>
      </w:r>
      <w:r w:rsidR="00FC1E4B">
        <w:t>9</w:t>
      </w:r>
      <w:r w:rsidRPr="00E62185">
        <w:t xml:space="preserve"> shows Individual and Staff Interview results by Standard and Table 1</w:t>
      </w:r>
      <w:r>
        <w:t>4</w:t>
      </w:r>
      <w:r w:rsidRPr="00E62185">
        <w:t xml:space="preserve"> shows the results by region. </w:t>
      </w:r>
    </w:p>
    <w:p w14:paraId="70582ABD" w14:textId="77777777" w:rsidR="00236581" w:rsidRDefault="00236581" w:rsidP="003649E9"/>
    <w:p w14:paraId="0AA6DFA3" w14:textId="1C35B569" w:rsidR="003649E9" w:rsidRDefault="003649E9" w:rsidP="003649E9">
      <w:pPr>
        <w:pStyle w:val="ListParagraph"/>
        <w:numPr>
          <w:ilvl w:val="0"/>
          <w:numId w:val="26"/>
        </w:numPr>
      </w:pPr>
      <w:r>
        <w:t xml:space="preserve">Delmarva completed </w:t>
      </w:r>
      <w:r w:rsidR="00E44B23">
        <w:t>1,017</w:t>
      </w:r>
      <w:r>
        <w:t xml:space="preserve"> Staff and </w:t>
      </w:r>
      <w:r w:rsidR="00E44B23">
        <w:t>1,038</w:t>
      </w:r>
      <w:r>
        <w:t xml:space="preserve"> Individual Interviews </w:t>
      </w:r>
      <w:r w:rsidR="00F27F74">
        <w:t>between</w:t>
      </w:r>
      <w:r>
        <w:t xml:space="preserve"> January </w:t>
      </w:r>
      <w:r w:rsidR="00F27F74">
        <w:t xml:space="preserve">and </w:t>
      </w:r>
      <w:r w:rsidR="00E44B23">
        <w:t xml:space="preserve">June </w:t>
      </w:r>
      <w:r>
        <w:t>2016.</w:t>
      </w:r>
    </w:p>
    <w:p w14:paraId="3EDE1F6C" w14:textId="77777777" w:rsidR="003649E9" w:rsidRDefault="003649E9" w:rsidP="003649E9">
      <w:pPr>
        <w:pStyle w:val="ListParagraph"/>
        <w:numPr>
          <w:ilvl w:val="0"/>
          <w:numId w:val="9"/>
        </w:numPr>
      </w:pPr>
      <w:r w:rsidRPr="00E62185">
        <w:t xml:space="preserve">There was little variation across the Standards and little variation </w:t>
      </w:r>
      <w:r>
        <w:t xml:space="preserve">between individual and staff responses </w:t>
      </w:r>
      <w:r w:rsidRPr="00E62185">
        <w:t>on each S</w:t>
      </w:r>
      <w:r>
        <w:t>tandard</w:t>
      </w:r>
      <w:r w:rsidRPr="00E62185">
        <w:t>.</w:t>
      </w:r>
    </w:p>
    <w:p w14:paraId="6A683658" w14:textId="77777777" w:rsidR="003649E9" w:rsidRDefault="003649E9" w:rsidP="003649E9">
      <w:pPr>
        <w:pStyle w:val="ListParagraph"/>
        <w:numPr>
          <w:ilvl w:val="0"/>
          <w:numId w:val="9"/>
        </w:numPr>
      </w:pPr>
      <w:r w:rsidRPr="00E62185">
        <w:t>Community Participation</w:t>
      </w:r>
      <w:r>
        <w:t xml:space="preserve"> was least likely to be present.</w:t>
      </w:r>
      <w:r w:rsidRPr="00E62185">
        <w:t xml:space="preserve"> </w:t>
      </w:r>
    </w:p>
    <w:p w14:paraId="174B5A81" w14:textId="77777777" w:rsidR="003649E9" w:rsidRDefault="003649E9" w:rsidP="003649E9"/>
    <w:p w14:paraId="2372225A" w14:textId="77777777" w:rsidR="00F019BE" w:rsidRDefault="00F019BE" w:rsidP="003649E9"/>
    <w:p w14:paraId="7BDA8BB9" w14:textId="1D6FDB68" w:rsidR="003649E9" w:rsidRDefault="00E44B23" w:rsidP="003649E9">
      <w:pPr>
        <w:spacing w:line="240" w:lineRule="auto"/>
        <w:jc w:val="center"/>
      </w:pPr>
      <w:r>
        <w:rPr>
          <w:noProof/>
        </w:rPr>
        <w:lastRenderedPageBreak/>
        <w:drawing>
          <wp:inline distT="0" distB="0" distL="0" distR="0" wp14:anchorId="6740DC73" wp14:editId="247123AB">
            <wp:extent cx="5947576" cy="3896139"/>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A2F3950" w14:textId="77777777" w:rsidR="003649E9" w:rsidRDefault="003649E9" w:rsidP="003649E9">
      <w:pPr>
        <w:spacing w:line="240" w:lineRule="auto"/>
      </w:pPr>
    </w:p>
    <w:p w14:paraId="30DB3F7D" w14:textId="6C9C9841" w:rsidR="00F019BE" w:rsidRDefault="00F019BE">
      <w:pPr>
        <w:spacing w:line="240" w:lineRule="auto"/>
        <w:rPr>
          <w:rFonts w:ascii="Franklin Gothic Medium" w:hAnsi="Franklin Gothic Medium"/>
          <w:szCs w:val="24"/>
        </w:rPr>
      </w:pPr>
      <w:r>
        <w:rPr>
          <w:rFonts w:ascii="Franklin Gothic Medium" w:hAnsi="Franklin Gothic Medium"/>
          <w:szCs w:val="24"/>
        </w:rPr>
        <w:br w:type="page"/>
      </w:r>
    </w:p>
    <w:p w14:paraId="4E89F358" w14:textId="77777777" w:rsidR="003649E9" w:rsidRPr="00A51BC3" w:rsidRDefault="003649E9" w:rsidP="003649E9">
      <w:pPr>
        <w:spacing w:line="240" w:lineRule="auto"/>
        <w:rPr>
          <w:rFonts w:ascii="Franklin Gothic Medium" w:hAnsi="Franklin Gothic Medium"/>
          <w:szCs w:val="24"/>
        </w:rPr>
      </w:pPr>
    </w:p>
    <w:tbl>
      <w:tblPr>
        <w:tblStyle w:val="MediumShading1-Accent6"/>
        <w:tblW w:w="7066" w:type="dxa"/>
        <w:jc w:val="center"/>
        <w:tblLook w:val="04A0" w:firstRow="1" w:lastRow="0" w:firstColumn="1" w:lastColumn="0" w:noHBand="0" w:noVBand="1"/>
      </w:tblPr>
      <w:tblGrid>
        <w:gridCol w:w="2438"/>
        <w:gridCol w:w="915"/>
        <w:gridCol w:w="1399"/>
        <w:gridCol w:w="915"/>
        <w:gridCol w:w="1399"/>
      </w:tblGrid>
      <w:tr w:rsidR="00E44B23" w:rsidRPr="00E44B23" w14:paraId="60E4BA74" w14:textId="77777777" w:rsidTr="00E44B23">
        <w:trPr>
          <w:cnfStyle w:val="100000000000" w:firstRow="1" w:lastRow="0" w:firstColumn="0" w:lastColumn="0" w:oddVBand="0" w:evenVBand="0" w:oddHBand="0" w:evenHBand="0" w:firstRowFirstColumn="0" w:firstRowLastColumn="0" w:lastRowFirstColumn="0" w:lastRowLastColumn="0"/>
          <w:trHeight w:val="354"/>
          <w:tblHeader/>
          <w:jc w:val="center"/>
        </w:trPr>
        <w:tc>
          <w:tcPr>
            <w:cnfStyle w:val="001000000000" w:firstRow="0" w:lastRow="0" w:firstColumn="1" w:lastColumn="0" w:oddVBand="0" w:evenVBand="0" w:oddHBand="0" w:evenHBand="0" w:firstRowFirstColumn="0" w:firstRowLastColumn="0" w:lastRowFirstColumn="0" w:lastRowLastColumn="0"/>
            <w:tcW w:w="7066" w:type="dxa"/>
            <w:gridSpan w:val="5"/>
            <w:shd w:val="clear" w:color="auto" w:fill="984806" w:themeFill="accent6" w:themeFillShade="80"/>
            <w:noWrap/>
            <w:vAlign w:val="bottom"/>
            <w:hideMark/>
          </w:tcPr>
          <w:p w14:paraId="661F7BFE" w14:textId="77777777" w:rsidR="003649E9" w:rsidRPr="00E44B23" w:rsidRDefault="003649E9" w:rsidP="003649E9">
            <w:pPr>
              <w:spacing w:line="240" w:lineRule="auto"/>
              <w:jc w:val="center"/>
              <w:rPr>
                <w:rFonts w:ascii="Franklin Gothic Medium" w:eastAsia="Times New Roman" w:hAnsi="Franklin Gothic Medium" w:cs="Times New Roman"/>
                <w:b w:val="0"/>
                <w:szCs w:val="24"/>
              </w:rPr>
            </w:pPr>
            <w:r w:rsidRPr="00E44B23">
              <w:rPr>
                <w:rFonts w:ascii="Franklin Gothic Medium" w:eastAsia="Times New Roman" w:hAnsi="Franklin Gothic Medium" w:cs="Times New Roman"/>
                <w:b w:val="0"/>
                <w:szCs w:val="24"/>
              </w:rPr>
              <w:t>Table 14: PDR Interview Results by Region</w:t>
            </w:r>
          </w:p>
        </w:tc>
      </w:tr>
      <w:tr w:rsidR="00E44B23" w:rsidRPr="00E44B23" w14:paraId="2C643EFD" w14:textId="77777777" w:rsidTr="00F6367D">
        <w:trPr>
          <w:cnfStyle w:val="100000000000" w:firstRow="1" w:lastRow="0" w:firstColumn="0" w:lastColumn="0" w:oddVBand="0" w:evenVBand="0" w:oddHBand="0" w:evenHBand="0" w:firstRowFirstColumn="0" w:firstRowLastColumn="0" w:lastRowFirstColumn="0" w:lastRowLastColumn="0"/>
          <w:trHeight w:val="354"/>
          <w:tblHeader/>
          <w:jc w:val="center"/>
        </w:trPr>
        <w:tc>
          <w:tcPr>
            <w:cnfStyle w:val="001000000000" w:firstRow="0" w:lastRow="0" w:firstColumn="1" w:lastColumn="0" w:oddVBand="0" w:evenVBand="0" w:oddHBand="0" w:evenHBand="0" w:firstRowFirstColumn="0" w:firstRowLastColumn="0" w:lastRowFirstColumn="0" w:lastRowLastColumn="0"/>
            <w:tcW w:w="7066" w:type="dxa"/>
            <w:gridSpan w:val="5"/>
            <w:shd w:val="clear" w:color="auto" w:fill="984806" w:themeFill="accent6" w:themeFillShade="80"/>
            <w:noWrap/>
            <w:vAlign w:val="bottom"/>
            <w:hideMark/>
          </w:tcPr>
          <w:p w14:paraId="41D1E5A8" w14:textId="736C9E1A" w:rsidR="003649E9" w:rsidRPr="00E44B23" w:rsidRDefault="003649E9" w:rsidP="00E44B23">
            <w:pPr>
              <w:spacing w:line="240" w:lineRule="auto"/>
              <w:jc w:val="center"/>
              <w:rPr>
                <w:rFonts w:ascii="Franklin Gothic Medium" w:eastAsia="Times New Roman" w:hAnsi="Franklin Gothic Medium" w:cs="Times New Roman"/>
                <w:b w:val="0"/>
                <w:szCs w:val="24"/>
              </w:rPr>
            </w:pPr>
            <w:r w:rsidRPr="00E44B23">
              <w:rPr>
                <w:rFonts w:ascii="Franklin Gothic Medium" w:eastAsia="Times New Roman" w:hAnsi="Franklin Gothic Medium" w:cs="Times New Roman"/>
                <w:b w:val="0"/>
                <w:szCs w:val="24"/>
              </w:rPr>
              <w:t xml:space="preserve">January  - </w:t>
            </w:r>
            <w:r w:rsidR="00E44B23">
              <w:rPr>
                <w:rFonts w:ascii="Franklin Gothic Medium" w:eastAsia="Times New Roman" w:hAnsi="Franklin Gothic Medium" w:cs="Times New Roman"/>
                <w:b w:val="0"/>
                <w:szCs w:val="24"/>
              </w:rPr>
              <w:t>June</w:t>
            </w:r>
            <w:r w:rsidRPr="00E44B23">
              <w:rPr>
                <w:rFonts w:ascii="Franklin Gothic Medium" w:eastAsia="Times New Roman" w:hAnsi="Franklin Gothic Medium" w:cs="Times New Roman"/>
                <w:b w:val="0"/>
                <w:szCs w:val="24"/>
              </w:rPr>
              <w:t xml:space="preserve"> 2016</w:t>
            </w:r>
          </w:p>
        </w:tc>
      </w:tr>
      <w:tr w:rsidR="00E44B23" w:rsidRPr="00E44B23" w14:paraId="79B090CF" w14:textId="77777777" w:rsidTr="00F6367D">
        <w:trPr>
          <w:cnfStyle w:val="100000000000" w:firstRow="1" w:lastRow="0" w:firstColumn="0" w:lastColumn="0" w:oddVBand="0" w:evenVBand="0" w:oddHBand="0" w:evenHBand="0" w:firstRowFirstColumn="0" w:firstRowLastColumn="0" w:lastRowFirstColumn="0" w:lastRowLastColumn="0"/>
          <w:trHeight w:val="354"/>
          <w:tblHeader/>
          <w:jc w:val="center"/>
        </w:trPr>
        <w:tc>
          <w:tcPr>
            <w:cnfStyle w:val="001000000000" w:firstRow="0" w:lastRow="0" w:firstColumn="1" w:lastColumn="0" w:oddVBand="0" w:evenVBand="0" w:oddHBand="0" w:evenHBand="0" w:firstRowFirstColumn="0" w:firstRowLastColumn="0" w:lastRowFirstColumn="0" w:lastRowLastColumn="0"/>
            <w:tcW w:w="2438" w:type="dxa"/>
            <w:shd w:val="clear" w:color="auto" w:fill="984806" w:themeFill="accent6" w:themeFillShade="80"/>
            <w:noWrap/>
            <w:vAlign w:val="bottom"/>
            <w:hideMark/>
          </w:tcPr>
          <w:p w14:paraId="1CD14B66" w14:textId="77777777" w:rsidR="003649E9" w:rsidRPr="00E44B23" w:rsidRDefault="003649E9" w:rsidP="003649E9">
            <w:pPr>
              <w:spacing w:line="240" w:lineRule="auto"/>
              <w:jc w:val="center"/>
              <w:rPr>
                <w:rFonts w:ascii="Franklin Gothic Medium" w:eastAsia="Times New Roman" w:hAnsi="Franklin Gothic Medium" w:cs="Times New Roman"/>
                <w:b w:val="0"/>
                <w:szCs w:val="24"/>
              </w:rPr>
            </w:pPr>
          </w:p>
        </w:tc>
        <w:tc>
          <w:tcPr>
            <w:tcW w:w="2314" w:type="dxa"/>
            <w:gridSpan w:val="2"/>
            <w:shd w:val="clear" w:color="auto" w:fill="984806" w:themeFill="accent6" w:themeFillShade="80"/>
            <w:noWrap/>
            <w:vAlign w:val="bottom"/>
            <w:hideMark/>
          </w:tcPr>
          <w:p w14:paraId="24465994" w14:textId="77777777" w:rsidR="003649E9" w:rsidRPr="00E44B23"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Cs w:val="24"/>
              </w:rPr>
            </w:pPr>
            <w:r w:rsidRPr="00E44B23">
              <w:rPr>
                <w:rFonts w:ascii="Franklin Gothic Medium" w:eastAsia="Times New Roman" w:hAnsi="Franklin Gothic Medium" w:cs="Times New Roman"/>
                <w:b w:val="0"/>
                <w:szCs w:val="24"/>
              </w:rPr>
              <w:t>Individual</w:t>
            </w:r>
          </w:p>
        </w:tc>
        <w:tc>
          <w:tcPr>
            <w:tcW w:w="2314" w:type="dxa"/>
            <w:gridSpan w:val="2"/>
            <w:shd w:val="clear" w:color="auto" w:fill="984806" w:themeFill="accent6" w:themeFillShade="80"/>
            <w:noWrap/>
            <w:vAlign w:val="bottom"/>
            <w:hideMark/>
          </w:tcPr>
          <w:p w14:paraId="39E74E38" w14:textId="77777777" w:rsidR="003649E9" w:rsidRPr="00E44B23"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Cs w:val="24"/>
              </w:rPr>
            </w:pPr>
            <w:r w:rsidRPr="00E44B23">
              <w:rPr>
                <w:rFonts w:ascii="Franklin Gothic Medium" w:eastAsia="Times New Roman" w:hAnsi="Franklin Gothic Medium" w:cs="Times New Roman"/>
                <w:b w:val="0"/>
                <w:szCs w:val="24"/>
              </w:rPr>
              <w:t>Staff</w:t>
            </w:r>
          </w:p>
        </w:tc>
      </w:tr>
      <w:tr w:rsidR="003649E9" w:rsidRPr="00A51BC3" w14:paraId="5AE0A120" w14:textId="77777777" w:rsidTr="003649E9">
        <w:trPr>
          <w:cnfStyle w:val="100000000000" w:firstRow="1" w:lastRow="0" w:firstColumn="0" w:lastColumn="0" w:oddVBand="0" w:evenVBand="0" w:oddHBand="0" w:evenHBand="0" w:firstRowFirstColumn="0" w:firstRowLastColumn="0" w:lastRowFirstColumn="0" w:lastRowLastColumn="0"/>
          <w:trHeight w:val="337"/>
          <w:tblHeader/>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double" w:sz="4" w:space="0" w:color="auto"/>
            </w:tcBorders>
            <w:shd w:val="clear" w:color="auto" w:fill="FBD4B4" w:themeFill="accent6" w:themeFillTint="66"/>
            <w:noWrap/>
            <w:vAlign w:val="bottom"/>
            <w:hideMark/>
          </w:tcPr>
          <w:p w14:paraId="05B04692" w14:textId="77777777" w:rsidR="003649E9" w:rsidRPr="00E44B23" w:rsidRDefault="003649E9" w:rsidP="003649E9">
            <w:pPr>
              <w:spacing w:line="240" w:lineRule="auto"/>
              <w:rPr>
                <w:rFonts w:asciiTheme="minorHAnsi" w:eastAsia="Times New Roman" w:hAnsiTheme="minorHAnsi" w:cs="Times New Roman"/>
                <w:b w:val="0"/>
                <w:color w:val="000000"/>
                <w:szCs w:val="24"/>
              </w:rPr>
            </w:pPr>
            <w:r w:rsidRPr="00E44B23">
              <w:rPr>
                <w:rFonts w:asciiTheme="minorHAnsi" w:eastAsia="Times New Roman" w:hAnsiTheme="minorHAnsi" w:cs="Times New Roman"/>
                <w:b w:val="0"/>
                <w:color w:val="000000"/>
                <w:szCs w:val="24"/>
              </w:rPr>
              <w:t>Region</w:t>
            </w:r>
          </w:p>
        </w:tc>
        <w:tc>
          <w:tcPr>
            <w:tcW w:w="915" w:type="dxa"/>
            <w:tcBorders>
              <w:bottom w:val="double" w:sz="4" w:space="0" w:color="auto"/>
            </w:tcBorders>
            <w:shd w:val="clear" w:color="auto" w:fill="FBD4B4" w:themeFill="accent6" w:themeFillTint="66"/>
            <w:noWrap/>
            <w:vAlign w:val="bottom"/>
            <w:hideMark/>
          </w:tcPr>
          <w:p w14:paraId="568FFBC5" w14:textId="77777777" w:rsidR="003649E9" w:rsidRPr="00E44B23"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000000"/>
                <w:szCs w:val="24"/>
              </w:rPr>
            </w:pPr>
            <w:r w:rsidRPr="00E44B23">
              <w:rPr>
                <w:rFonts w:asciiTheme="minorHAnsi" w:eastAsia="Times New Roman" w:hAnsiTheme="minorHAnsi" w:cs="Times New Roman"/>
                <w:b w:val="0"/>
                <w:color w:val="000000"/>
                <w:szCs w:val="24"/>
              </w:rPr>
              <w:t>#</w:t>
            </w:r>
          </w:p>
        </w:tc>
        <w:tc>
          <w:tcPr>
            <w:tcW w:w="1399" w:type="dxa"/>
            <w:tcBorders>
              <w:bottom w:val="double" w:sz="4" w:space="0" w:color="auto"/>
            </w:tcBorders>
            <w:shd w:val="clear" w:color="auto" w:fill="FBD4B4" w:themeFill="accent6" w:themeFillTint="66"/>
            <w:noWrap/>
            <w:vAlign w:val="bottom"/>
            <w:hideMark/>
          </w:tcPr>
          <w:p w14:paraId="6CBA9F43" w14:textId="77777777" w:rsidR="003649E9" w:rsidRPr="00E44B23"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000000"/>
                <w:szCs w:val="24"/>
              </w:rPr>
            </w:pPr>
            <w:r w:rsidRPr="00E44B23">
              <w:rPr>
                <w:rFonts w:asciiTheme="minorHAnsi" w:eastAsia="Times New Roman" w:hAnsiTheme="minorHAnsi" w:cs="Times New Roman"/>
                <w:b w:val="0"/>
                <w:color w:val="000000"/>
                <w:szCs w:val="24"/>
              </w:rPr>
              <w:t>% Met</w:t>
            </w:r>
          </w:p>
        </w:tc>
        <w:tc>
          <w:tcPr>
            <w:tcW w:w="915" w:type="dxa"/>
            <w:tcBorders>
              <w:bottom w:val="double" w:sz="4" w:space="0" w:color="auto"/>
            </w:tcBorders>
            <w:shd w:val="clear" w:color="auto" w:fill="FBD4B4" w:themeFill="accent6" w:themeFillTint="66"/>
            <w:noWrap/>
            <w:vAlign w:val="bottom"/>
            <w:hideMark/>
          </w:tcPr>
          <w:p w14:paraId="4E7CC05B" w14:textId="77777777" w:rsidR="003649E9" w:rsidRPr="00E44B23"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000000"/>
                <w:szCs w:val="24"/>
              </w:rPr>
            </w:pPr>
            <w:r w:rsidRPr="00E44B23">
              <w:rPr>
                <w:rFonts w:asciiTheme="minorHAnsi" w:eastAsia="Times New Roman" w:hAnsiTheme="minorHAnsi" w:cs="Times New Roman"/>
                <w:b w:val="0"/>
                <w:color w:val="000000"/>
                <w:szCs w:val="24"/>
              </w:rPr>
              <w:t>#</w:t>
            </w:r>
          </w:p>
        </w:tc>
        <w:tc>
          <w:tcPr>
            <w:tcW w:w="1399" w:type="dxa"/>
            <w:tcBorders>
              <w:bottom w:val="double" w:sz="4" w:space="0" w:color="auto"/>
            </w:tcBorders>
            <w:shd w:val="clear" w:color="auto" w:fill="FBD4B4" w:themeFill="accent6" w:themeFillTint="66"/>
            <w:noWrap/>
            <w:vAlign w:val="bottom"/>
            <w:hideMark/>
          </w:tcPr>
          <w:p w14:paraId="22EC3602" w14:textId="77777777" w:rsidR="003649E9" w:rsidRPr="00E44B23"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color w:val="000000"/>
                <w:szCs w:val="24"/>
              </w:rPr>
            </w:pPr>
            <w:r w:rsidRPr="00E44B23">
              <w:rPr>
                <w:rFonts w:asciiTheme="minorHAnsi" w:eastAsia="Times New Roman" w:hAnsiTheme="minorHAnsi" w:cs="Times New Roman"/>
                <w:b w:val="0"/>
                <w:color w:val="000000"/>
                <w:szCs w:val="24"/>
              </w:rPr>
              <w:t>% Met</w:t>
            </w:r>
          </w:p>
        </w:tc>
      </w:tr>
      <w:tr w:rsidR="005C57D5" w:rsidRPr="00A51BC3" w14:paraId="6D7A016C" w14:textId="77777777" w:rsidTr="005C57D5">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438" w:type="dxa"/>
            <w:tcBorders>
              <w:top w:val="double" w:sz="4" w:space="0" w:color="auto"/>
            </w:tcBorders>
            <w:noWrap/>
            <w:vAlign w:val="center"/>
            <w:hideMark/>
          </w:tcPr>
          <w:p w14:paraId="76921D84" w14:textId="77777777" w:rsidR="005C57D5" w:rsidRPr="00E44B23" w:rsidRDefault="005C57D5" w:rsidP="003649E9">
            <w:pPr>
              <w:rPr>
                <w:rFonts w:asciiTheme="minorHAnsi" w:hAnsiTheme="minorHAnsi"/>
                <w:color w:val="000000"/>
                <w:sz w:val="20"/>
                <w:szCs w:val="20"/>
              </w:rPr>
            </w:pPr>
            <w:r w:rsidRPr="00E44B23">
              <w:rPr>
                <w:rFonts w:asciiTheme="minorHAnsi" w:hAnsiTheme="minorHAnsi"/>
                <w:b w:val="0"/>
                <w:bCs w:val="0"/>
                <w:color w:val="000000"/>
                <w:sz w:val="20"/>
                <w:szCs w:val="20"/>
              </w:rPr>
              <w:t>Northwest</w:t>
            </w:r>
          </w:p>
        </w:tc>
        <w:tc>
          <w:tcPr>
            <w:tcW w:w="915" w:type="dxa"/>
            <w:tcBorders>
              <w:top w:val="double" w:sz="4" w:space="0" w:color="auto"/>
            </w:tcBorders>
            <w:noWrap/>
            <w:vAlign w:val="bottom"/>
          </w:tcPr>
          <w:p w14:paraId="5E834970" w14:textId="38478CAD"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highlight w:val="yellow"/>
              </w:rPr>
            </w:pPr>
            <w:r w:rsidRPr="005C57D5">
              <w:rPr>
                <w:rFonts w:ascii="Calibri" w:hAnsi="Calibri"/>
                <w:color w:val="000000"/>
                <w:sz w:val="20"/>
                <w:szCs w:val="20"/>
              </w:rPr>
              <w:t>44</w:t>
            </w:r>
          </w:p>
        </w:tc>
        <w:tc>
          <w:tcPr>
            <w:tcW w:w="1399" w:type="dxa"/>
            <w:tcBorders>
              <w:top w:val="double" w:sz="4" w:space="0" w:color="auto"/>
            </w:tcBorders>
            <w:noWrap/>
            <w:vAlign w:val="bottom"/>
          </w:tcPr>
          <w:p w14:paraId="6DA52A85" w14:textId="305529AC"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highlight w:val="yellow"/>
              </w:rPr>
            </w:pPr>
            <w:r w:rsidRPr="005C57D5">
              <w:rPr>
                <w:rFonts w:ascii="Calibri" w:hAnsi="Calibri"/>
                <w:color w:val="000000"/>
                <w:sz w:val="20"/>
                <w:szCs w:val="20"/>
              </w:rPr>
              <w:t>98.4%</w:t>
            </w:r>
          </w:p>
        </w:tc>
        <w:tc>
          <w:tcPr>
            <w:tcW w:w="915" w:type="dxa"/>
            <w:tcBorders>
              <w:top w:val="double" w:sz="4" w:space="0" w:color="auto"/>
            </w:tcBorders>
            <w:noWrap/>
            <w:vAlign w:val="bottom"/>
            <w:hideMark/>
          </w:tcPr>
          <w:p w14:paraId="745D328A" w14:textId="196E9C15"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highlight w:val="yellow"/>
              </w:rPr>
            </w:pPr>
            <w:r w:rsidRPr="005C57D5">
              <w:rPr>
                <w:rFonts w:ascii="Calibri" w:hAnsi="Calibri"/>
                <w:color w:val="000000"/>
                <w:sz w:val="20"/>
                <w:szCs w:val="20"/>
              </w:rPr>
              <w:t>39</w:t>
            </w:r>
          </w:p>
        </w:tc>
        <w:tc>
          <w:tcPr>
            <w:tcW w:w="1399" w:type="dxa"/>
            <w:tcBorders>
              <w:top w:val="double" w:sz="4" w:space="0" w:color="auto"/>
            </w:tcBorders>
            <w:noWrap/>
            <w:vAlign w:val="bottom"/>
          </w:tcPr>
          <w:p w14:paraId="3668CC7F" w14:textId="5085BD8A"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99.2%</w:t>
            </w:r>
          </w:p>
        </w:tc>
      </w:tr>
      <w:tr w:rsidR="005C57D5" w:rsidRPr="00A51BC3" w14:paraId="4700CD0B" w14:textId="77777777" w:rsidTr="005C57D5">
        <w:trPr>
          <w:cnfStyle w:val="000000010000" w:firstRow="0" w:lastRow="0" w:firstColumn="0" w:lastColumn="0" w:oddVBand="0" w:evenVBand="0" w:oddHBand="0" w:evenHBand="1"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14:paraId="7C956B8A" w14:textId="77777777" w:rsidR="005C57D5" w:rsidRPr="00E44B23" w:rsidRDefault="005C57D5" w:rsidP="003649E9">
            <w:pPr>
              <w:rPr>
                <w:rFonts w:asciiTheme="minorHAnsi" w:hAnsiTheme="minorHAnsi"/>
                <w:color w:val="000000"/>
                <w:sz w:val="20"/>
                <w:szCs w:val="20"/>
              </w:rPr>
            </w:pPr>
            <w:r w:rsidRPr="00E44B23">
              <w:rPr>
                <w:rFonts w:asciiTheme="minorHAnsi" w:hAnsiTheme="minorHAnsi"/>
                <w:b w:val="0"/>
                <w:bCs w:val="0"/>
                <w:color w:val="000000"/>
                <w:sz w:val="20"/>
                <w:szCs w:val="20"/>
              </w:rPr>
              <w:t>Northeast</w:t>
            </w:r>
          </w:p>
        </w:tc>
        <w:tc>
          <w:tcPr>
            <w:tcW w:w="915" w:type="dxa"/>
            <w:noWrap/>
            <w:vAlign w:val="bottom"/>
          </w:tcPr>
          <w:p w14:paraId="0B4B8F23" w14:textId="6878F7B0"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highlight w:val="yellow"/>
              </w:rPr>
            </w:pPr>
            <w:r w:rsidRPr="005C57D5">
              <w:rPr>
                <w:rFonts w:ascii="Calibri" w:hAnsi="Calibri"/>
                <w:color w:val="000000"/>
                <w:sz w:val="20"/>
                <w:szCs w:val="20"/>
              </w:rPr>
              <w:t>217</w:t>
            </w:r>
          </w:p>
        </w:tc>
        <w:tc>
          <w:tcPr>
            <w:tcW w:w="1399" w:type="dxa"/>
            <w:noWrap/>
            <w:vAlign w:val="bottom"/>
          </w:tcPr>
          <w:p w14:paraId="6CBEEAE2" w14:textId="6CB33FBE"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highlight w:val="yellow"/>
              </w:rPr>
            </w:pPr>
            <w:r w:rsidRPr="005C57D5">
              <w:rPr>
                <w:rFonts w:ascii="Calibri" w:hAnsi="Calibri"/>
                <w:color w:val="000000"/>
                <w:sz w:val="20"/>
                <w:szCs w:val="20"/>
              </w:rPr>
              <w:t>97.9%</w:t>
            </w:r>
          </w:p>
        </w:tc>
        <w:tc>
          <w:tcPr>
            <w:tcW w:w="915" w:type="dxa"/>
            <w:noWrap/>
            <w:vAlign w:val="bottom"/>
            <w:hideMark/>
          </w:tcPr>
          <w:p w14:paraId="7345D0A4" w14:textId="4DF1EA8C"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highlight w:val="yellow"/>
              </w:rPr>
            </w:pPr>
            <w:r w:rsidRPr="005C57D5">
              <w:rPr>
                <w:rFonts w:ascii="Calibri" w:hAnsi="Calibri"/>
                <w:color w:val="000000"/>
                <w:sz w:val="20"/>
                <w:szCs w:val="20"/>
              </w:rPr>
              <w:t>200</w:t>
            </w:r>
          </w:p>
        </w:tc>
        <w:tc>
          <w:tcPr>
            <w:tcW w:w="1399" w:type="dxa"/>
            <w:noWrap/>
            <w:vAlign w:val="bottom"/>
          </w:tcPr>
          <w:p w14:paraId="58621D09" w14:textId="5F17FD23"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97.8%</w:t>
            </w:r>
          </w:p>
        </w:tc>
      </w:tr>
      <w:tr w:rsidR="005C57D5" w:rsidRPr="00A51BC3" w14:paraId="6699C9E3" w14:textId="77777777" w:rsidTr="005C57D5">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14:paraId="04C6F29F" w14:textId="77777777" w:rsidR="005C57D5" w:rsidRPr="00E44B23" w:rsidRDefault="005C57D5" w:rsidP="003649E9">
            <w:pPr>
              <w:rPr>
                <w:rFonts w:asciiTheme="minorHAnsi" w:hAnsiTheme="minorHAnsi"/>
                <w:color w:val="000000"/>
                <w:sz w:val="20"/>
                <w:szCs w:val="20"/>
              </w:rPr>
            </w:pPr>
            <w:r w:rsidRPr="00E44B23">
              <w:rPr>
                <w:rFonts w:asciiTheme="minorHAnsi" w:hAnsiTheme="minorHAnsi"/>
                <w:b w:val="0"/>
                <w:bCs w:val="0"/>
                <w:color w:val="000000"/>
                <w:sz w:val="20"/>
                <w:szCs w:val="20"/>
              </w:rPr>
              <w:t>Central</w:t>
            </w:r>
          </w:p>
        </w:tc>
        <w:tc>
          <w:tcPr>
            <w:tcW w:w="915" w:type="dxa"/>
            <w:noWrap/>
            <w:vAlign w:val="bottom"/>
          </w:tcPr>
          <w:p w14:paraId="5F566626" w14:textId="4502BDD1"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179</w:t>
            </w:r>
          </w:p>
        </w:tc>
        <w:tc>
          <w:tcPr>
            <w:tcW w:w="1399" w:type="dxa"/>
            <w:noWrap/>
            <w:vAlign w:val="bottom"/>
          </w:tcPr>
          <w:p w14:paraId="109995FA" w14:textId="3E7869B2"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96.2%</w:t>
            </w:r>
          </w:p>
        </w:tc>
        <w:tc>
          <w:tcPr>
            <w:tcW w:w="915" w:type="dxa"/>
            <w:noWrap/>
            <w:vAlign w:val="bottom"/>
            <w:hideMark/>
          </w:tcPr>
          <w:p w14:paraId="6F1B46F3" w14:textId="211012C9"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187</w:t>
            </w:r>
          </w:p>
        </w:tc>
        <w:tc>
          <w:tcPr>
            <w:tcW w:w="1399" w:type="dxa"/>
            <w:noWrap/>
            <w:vAlign w:val="bottom"/>
          </w:tcPr>
          <w:p w14:paraId="047DBBC9" w14:textId="1820CA86"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96.3%</w:t>
            </w:r>
          </w:p>
        </w:tc>
      </w:tr>
      <w:tr w:rsidR="005C57D5" w:rsidRPr="00A51BC3" w14:paraId="321D2EF3" w14:textId="77777777" w:rsidTr="005C57D5">
        <w:trPr>
          <w:cnfStyle w:val="000000010000" w:firstRow="0" w:lastRow="0" w:firstColumn="0" w:lastColumn="0" w:oddVBand="0" w:evenVBand="0" w:oddHBand="0" w:evenHBand="1"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438" w:type="dxa"/>
            <w:noWrap/>
            <w:vAlign w:val="center"/>
            <w:hideMark/>
          </w:tcPr>
          <w:p w14:paraId="34E2E853" w14:textId="77777777" w:rsidR="005C57D5" w:rsidRPr="00E44B23" w:rsidRDefault="005C57D5" w:rsidP="003649E9">
            <w:pPr>
              <w:rPr>
                <w:rFonts w:asciiTheme="minorHAnsi" w:hAnsiTheme="minorHAnsi"/>
                <w:color w:val="000000"/>
                <w:sz w:val="20"/>
                <w:szCs w:val="20"/>
              </w:rPr>
            </w:pPr>
            <w:r w:rsidRPr="00E44B23">
              <w:rPr>
                <w:rFonts w:asciiTheme="minorHAnsi" w:hAnsiTheme="minorHAnsi"/>
                <w:b w:val="0"/>
                <w:bCs w:val="0"/>
                <w:color w:val="000000"/>
                <w:sz w:val="20"/>
                <w:szCs w:val="20"/>
              </w:rPr>
              <w:t>Suncoast</w:t>
            </w:r>
          </w:p>
        </w:tc>
        <w:tc>
          <w:tcPr>
            <w:tcW w:w="915" w:type="dxa"/>
            <w:noWrap/>
            <w:vAlign w:val="bottom"/>
          </w:tcPr>
          <w:p w14:paraId="7FF79057" w14:textId="3266685E"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191</w:t>
            </w:r>
          </w:p>
        </w:tc>
        <w:tc>
          <w:tcPr>
            <w:tcW w:w="1399" w:type="dxa"/>
            <w:noWrap/>
            <w:vAlign w:val="bottom"/>
          </w:tcPr>
          <w:p w14:paraId="576951CA" w14:textId="369CEDFE"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97.2%</w:t>
            </w:r>
          </w:p>
        </w:tc>
        <w:tc>
          <w:tcPr>
            <w:tcW w:w="915" w:type="dxa"/>
            <w:noWrap/>
            <w:vAlign w:val="bottom"/>
            <w:hideMark/>
          </w:tcPr>
          <w:p w14:paraId="7E7399B5" w14:textId="1736C6D8"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182</w:t>
            </w:r>
          </w:p>
        </w:tc>
        <w:tc>
          <w:tcPr>
            <w:tcW w:w="1399" w:type="dxa"/>
            <w:noWrap/>
            <w:vAlign w:val="bottom"/>
          </w:tcPr>
          <w:p w14:paraId="33DCA11A" w14:textId="10B2C82A"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98.2%</w:t>
            </w:r>
          </w:p>
        </w:tc>
      </w:tr>
      <w:tr w:rsidR="005C57D5" w:rsidRPr="00A51BC3" w14:paraId="3B2B7FC1" w14:textId="77777777" w:rsidTr="005C57D5">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single" w:sz="8" w:space="0" w:color="F9B074" w:themeColor="accent6" w:themeTint="BF"/>
            </w:tcBorders>
            <w:noWrap/>
            <w:vAlign w:val="center"/>
            <w:hideMark/>
          </w:tcPr>
          <w:p w14:paraId="249EE537" w14:textId="77777777" w:rsidR="005C57D5" w:rsidRPr="00E44B23" w:rsidRDefault="005C57D5" w:rsidP="003649E9">
            <w:pPr>
              <w:rPr>
                <w:rFonts w:asciiTheme="minorHAnsi" w:hAnsiTheme="minorHAnsi"/>
                <w:color w:val="000000"/>
                <w:sz w:val="20"/>
                <w:szCs w:val="20"/>
              </w:rPr>
            </w:pPr>
            <w:r w:rsidRPr="00E44B23">
              <w:rPr>
                <w:rFonts w:asciiTheme="minorHAnsi" w:hAnsiTheme="minorHAnsi"/>
                <w:b w:val="0"/>
                <w:bCs w:val="0"/>
                <w:color w:val="000000"/>
                <w:sz w:val="20"/>
                <w:szCs w:val="20"/>
              </w:rPr>
              <w:t>Southeast</w:t>
            </w:r>
          </w:p>
        </w:tc>
        <w:tc>
          <w:tcPr>
            <w:tcW w:w="915" w:type="dxa"/>
            <w:tcBorders>
              <w:bottom w:val="single" w:sz="8" w:space="0" w:color="F9B074" w:themeColor="accent6" w:themeTint="BF"/>
            </w:tcBorders>
            <w:noWrap/>
            <w:vAlign w:val="bottom"/>
          </w:tcPr>
          <w:p w14:paraId="7ECC26A6" w14:textId="16C71515"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209</w:t>
            </w:r>
          </w:p>
        </w:tc>
        <w:tc>
          <w:tcPr>
            <w:tcW w:w="1399" w:type="dxa"/>
            <w:tcBorders>
              <w:bottom w:val="single" w:sz="8" w:space="0" w:color="F9B074" w:themeColor="accent6" w:themeTint="BF"/>
            </w:tcBorders>
            <w:noWrap/>
            <w:vAlign w:val="bottom"/>
          </w:tcPr>
          <w:p w14:paraId="78F3ACEE" w14:textId="51B3D129"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95.3%</w:t>
            </w:r>
          </w:p>
        </w:tc>
        <w:tc>
          <w:tcPr>
            <w:tcW w:w="915" w:type="dxa"/>
            <w:tcBorders>
              <w:bottom w:val="single" w:sz="8" w:space="0" w:color="F9B074" w:themeColor="accent6" w:themeTint="BF"/>
            </w:tcBorders>
            <w:noWrap/>
            <w:vAlign w:val="bottom"/>
            <w:hideMark/>
          </w:tcPr>
          <w:p w14:paraId="373E259D" w14:textId="1B78835D"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208</w:t>
            </w:r>
          </w:p>
        </w:tc>
        <w:tc>
          <w:tcPr>
            <w:tcW w:w="1399" w:type="dxa"/>
            <w:tcBorders>
              <w:bottom w:val="single" w:sz="8" w:space="0" w:color="F9B074" w:themeColor="accent6" w:themeTint="BF"/>
            </w:tcBorders>
            <w:noWrap/>
            <w:vAlign w:val="bottom"/>
          </w:tcPr>
          <w:p w14:paraId="6635DB50" w14:textId="336DBE6C"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95.9%</w:t>
            </w:r>
          </w:p>
        </w:tc>
      </w:tr>
      <w:tr w:rsidR="005C57D5" w:rsidRPr="00A51BC3" w14:paraId="081C0AFC" w14:textId="77777777" w:rsidTr="005C57D5">
        <w:trPr>
          <w:cnfStyle w:val="000000010000" w:firstRow="0" w:lastRow="0" w:firstColumn="0" w:lastColumn="0" w:oddVBand="0" w:evenVBand="0" w:oddHBand="0" w:evenHBand="1"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438" w:type="dxa"/>
            <w:tcBorders>
              <w:bottom w:val="double" w:sz="4" w:space="0" w:color="auto"/>
            </w:tcBorders>
            <w:noWrap/>
            <w:vAlign w:val="center"/>
            <w:hideMark/>
          </w:tcPr>
          <w:p w14:paraId="0ED0D3FA" w14:textId="77777777" w:rsidR="005C57D5" w:rsidRPr="00E44B23" w:rsidRDefault="005C57D5" w:rsidP="003649E9">
            <w:pPr>
              <w:rPr>
                <w:rFonts w:asciiTheme="minorHAnsi" w:hAnsiTheme="minorHAnsi"/>
                <w:color w:val="000000"/>
                <w:sz w:val="20"/>
                <w:szCs w:val="20"/>
              </w:rPr>
            </w:pPr>
            <w:r w:rsidRPr="00E44B23">
              <w:rPr>
                <w:rFonts w:asciiTheme="minorHAnsi" w:hAnsiTheme="minorHAnsi"/>
                <w:b w:val="0"/>
                <w:bCs w:val="0"/>
                <w:color w:val="000000"/>
                <w:sz w:val="20"/>
                <w:szCs w:val="20"/>
              </w:rPr>
              <w:t>Southern</w:t>
            </w:r>
          </w:p>
        </w:tc>
        <w:tc>
          <w:tcPr>
            <w:tcW w:w="915" w:type="dxa"/>
            <w:tcBorders>
              <w:bottom w:val="double" w:sz="4" w:space="0" w:color="auto"/>
            </w:tcBorders>
            <w:noWrap/>
            <w:vAlign w:val="bottom"/>
          </w:tcPr>
          <w:p w14:paraId="7C60CE85" w14:textId="69430186"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198</w:t>
            </w:r>
          </w:p>
        </w:tc>
        <w:tc>
          <w:tcPr>
            <w:tcW w:w="1399" w:type="dxa"/>
            <w:tcBorders>
              <w:bottom w:val="double" w:sz="4" w:space="0" w:color="auto"/>
            </w:tcBorders>
            <w:noWrap/>
            <w:vAlign w:val="bottom"/>
          </w:tcPr>
          <w:p w14:paraId="28DFC711" w14:textId="3AA9469A"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96.1%</w:t>
            </w:r>
          </w:p>
        </w:tc>
        <w:tc>
          <w:tcPr>
            <w:tcW w:w="915" w:type="dxa"/>
            <w:tcBorders>
              <w:bottom w:val="double" w:sz="4" w:space="0" w:color="auto"/>
            </w:tcBorders>
            <w:noWrap/>
            <w:vAlign w:val="bottom"/>
            <w:hideMark/>
          </w:tcPr>
          <w:p w14:paraId="2BE4AFAB" w14:textId="0EDC359B"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201</w:t>
            </w:r>
          </w:p>
        </w:tc>
        <w:tc>
          <w:tcPr>
            <w:tcW w:w="1399" w:type="dxa"/>
            <w:tcBorders>
              <w:bottom w:val="double" w:sz="4" w:space="0" w:color="auto"/>
            </w:tcBorders>
            <w:noWrap/>
            <w:vAlign w:val="bottom"/>
          </w:tcPr>
          <w:p w14:paraId="7F33FA73" w14:textId="18ED7E58" w:rsidR="005C57D5" w:rsidRPr="005C57D5" w:rsidRDefault="005C57D5" w:rsidP="005C57D5">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0"/>
                <w:szCs w:val="20"/>
              </w:rPr>
            </w:pPr>
            <w:r w:rsidRPr="005C57D5">
              <w:rPr>
                <w:rFonts w:ascii="Calibri" w:hAnsi="Calibri"/>
                <w:color w:val="000000"/>
                <w:sz w:val="20"/>
                <w:szCs w:val="20"/>
              </w:rPr>
              <w:t>96.9%</w:t>
            </w:r>
          </w:p>
        </w:tc>
      </w:tr>
      <w:tr w:rsidR="005C57D5" w:rsidRPr="00464DF0" w14:paraId="167B927D" w14:textId="77777777" w:rsidTr="005C57D5">
        <w:trPr>
          <w:cnfStyle w:val="000000100000" w:firstRow="0" w:lastRow="0" w:firstColumn="0" w:lastColumn="0" w:oddVBand="0" w:evenVBand="0" w:oddHBand="1" w:evenHBand="0" w:firstRowFirstColumn="0" w:firstRowLastColumn="0" w:lastRowFirstColumn="0" w:lastRowLastColumn="0"/>
          <w:trHeight w:val="337"/>
          <w:jc w:val="center"/>
        </w:trPr>
        <w:tc>
          <w:tcPr>
            <w:cnfStyle w:val="001000000000" w:firstRow="0" w:lastRow="0" w:firstColumn="1" w:lastColumn="0" w:oddVBand="0" w:evenVBand="0" w:oddHBand="0" w:evenHBand="0" w:firstRowFirstColumn="0" w:firstRowLastColumn="0" w:lastRowFirstColumn="0" w:lastRowLastColumn="0"/>
            <w:tcW w:w="2438" w:type="dxa"/>
            <w:tcBorders>
              <w:top w:val="double" w:sz="4" w:space="0" w:color="auto"/>
            </w:tcBorders>
            <w:noWrap/>
            <w:vAlign w:val="center"/>
            <w:hideMark/>
          </w:tcPr>
          <w:p w14:paraId="36DE2D1B" w14:textId="77777777" w:rsidR="005C57D5" w:rsidRPr="00E44B23" w:rsidRDefault="005C57D5" w:rsidP="003649E9">
            <w:pPr>
              <w:rPr>
                <w:rFonts w:asciiTheme="minorHAnsi" w:hAnsiTheme="minorHAnsi"/>
                <w:color w:val="000000"/>
                <w:sz w:val="20"/>
                <w:szCs w:val="20"/>
              </w:rPr>
            </w:pPr>
            <w:r w:rsidRPr="00E44B23">
              <w:rPr>
                <w:rFonts w:asciiTheme="minorHAnsi" w:hAnsiTheme="minorHAnsi"/>
                <w:b w:val="0"/>
                <w:bCs w:val="0"/>
                <w:color w:val="000000"/>
                <w:sz w:val="20"/>
                <w:szCs w:val="20"/>
              </w:rPr>
              <w:t xml:space="preserve">State </w:t>
            </w:r>
          </w:p>
        </w:tc>
        <w:tc>
          <w:tcPr>
            <w:tcW w:w="915" w:type="dxa"/>
            <w:tcBorders>
              <w:top w:val="double" w:sz="4" w:space="0" w:color="auto"/>
            </w:tcBorders>
            <w:noWrap/>
            <w:vAlign w:val="bottom"/>
          </w:tcPr>
          <w:p w14:paraId="04752A32" w14:textId="44FC676F"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b/>
                <w:bCs/>
                <w:color w:val="000000"/>
                <w:sz w:val="20"/>
                <w:szCs w:val="20"/>
              </w:rPr>
              <w:t>1</w:t>
            </w:r>
            <w:r>
              <w:rPr>
                <w:rFonts w:ascii="Calibri" w:hAnsi="Calibri"/>
                <w:b/>
                <w:bCs/>
                <w:color w:val="000000"/>
                <w:sz w:val="20"/>
                <w:szCs w:val="20"/>
              </w:rPr>
              <w:t>,</w:t>
            </w:r>
            <w:r w:rsidRPr="005C57D5">
              <w:rPr>
                <w:rFonts w:ascii="Calibri" w:hAnsi="Calibri"/>
                <w:b/>
                <w:bCs/>
                <w:color w:val="000000"/>
                <w:sz w:val="20"/>
                <w:szCs w:val="20"/>
              </w:rPr>
              <w:t>038</w:t>
            </w:r>
          </w:p>
        </w:tc>
        <w:tc>
          <w:tcPr>
            <w:tcW w:w="1399" w:type="dxa"/>
            <w:tcBorders>
              <w:top w:val="double" w:sz="4" w:space="0" w:color="auto"/>
            </w:tcBorders>
            <w:noWrap/>
            <w:vAlign w:val="bottom"/>
          </w:tcPr>
          <w:p w14:paraId="1DE07B49" w14:textId="2C0F6BE6"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b/>
                <w:bCs/>
                <w:color w:val="000000"/>
                <w:sz w:val="20"/>
                <w:szCs w:val="20"/>
              </w:rPr>
              <w:t>96.7%</w:t>
            </w:r>
          </w:p>
        </w:tc>
        <w:tc>
          <w:tcPr>
            <w:tcW w:w="915" w:type="dxa"/>
            <w:tcBorders>
              <w:top w:val="double" w:sz="4" w:space="0" w:color="auto"/>
            </w:tcBorders>
            <w:noWrap/>
            <w:vAlign w:val="bottom"/>
            <w:hideMark/>
          </w:tcPr>
          <w:p w14:paraId="47E65F0F" w14:textId="2218D868"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b/>
                <w:bCs/>
                <w:color w:val="000000"/>
                <w:sz w:val="20"/>
                <w:szCs w:val="20"/>
              </w:rPr>
              <w:t>1</w:t>
            </w:r>
            <w:r>
              <w:rPr>
                <w:rFonts w:ascii="Calibri" w:hAnsi="Calibri"/>
                <w:b/>
                <w:bCs/>
                <w:color w:val="000000"/>
                <w:sz w:val="20"/>
                <w:szCs w:val="20"/>
              </w:rPr>
              <w:t>,</w:t>
            </w:r>
            <w:r w:rsidRPr="005C57D5">
              <w:rPr>
                <w:rFonts w:ascii="Calibri" w:hAnsi="Calibri"/>
                <w:b/>
                <w:bCs/>
                <w:color w:val="000000"/>
                <w:sz w:val="20"/>
                <w:szCs w:val="20"/>
              </w:rPr>
              <w:t>017</w:t>
            </w:r>
          </w:p>
        </w:tc>
        <w:tc>
          <w:tcPr>
            <w:tcW w:w="1399" w:type="dxa"/>
            <w:tcBorders>
              <w:top w:val="double" w:sz="4" w:space="0" w:color="auto"/>
            </w:tcBorders>
            <w:noWrap/>
            <w:vAlign w:val="bottom"/>
          </w:tcPr>
          <w:p w14:paraId="6BD99D7C" w14:textId="5DBDB926" w:rsidR="005C57D5" w:rsidRPr="005C57D5" w:rsidRDefault="005C57D5" w:rsidP="005C57D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0"/>
                <w:szCs w:val="20"/>
              </w:rPr>
            </w:pPr>
            <w:r w:rsidRPr="005C57D5">
              <w:rPr>
                <w:rFonts w:ascii="Calibri" w:hAnsi="Calibri"/>
                <w:b/>
                <w:bCs/>
                <w:color w:val="000000"/>
                <w:sz w:val="20"/>
                <w:szCs w:val="20"/>
              </w:rPr>
              <w:t>97.1%</w:t>
            </w:r>
          </w:p>
        </w:tc>
      </w:tr>
    </w:tbl>
    <w:p w14:paraId="1DAF833A" w14:textId="77777777" w:rsidR="003649E9" w:rsidRDefault="003649E9" w:rsidP="003649E9">
      <w:pPr>
        <w:spacing w:line="240" w:lineRule="auto"/>
      </w:pPr>
    </w:p>
    <w:p w14:paraId="714A1C49" w14:textId="77777777" w:rsidR="003649E9" w:rsidRDefault="003649E9" w:rsidP="003649E9">
      <w:pPr>
        <w:spacing w:line="240" w:lineRule="auto"/>
      </w:pPr>
    </w:p>
    <w:p w14:paraId="1BD3FCB3" w14:textId="66CD265B" w:rsidR="00403742" w:rsidRDefault="00403742" w:rsidP="003649E9">
      <w:pPr>
        <w:spacing w:line="240" w:lineRule="auto"/>
      </w:pPr>
      <w:r>
        <w:t xml:space="preserve">While scores on the Individual and Staff Interviews through the first two quarters of the year have been quite high, four indicators showed results of less than 90 percent, </w:t>
      </w:r>
      <w:r w:rsidR="009D1A9B">
        <w:t>three on the PDR II and one on the Staff Interview.  A</w:t>
      </w:r>
      <w:r>
        <w:t xml:space="preserve">ll pertain to social roles and building friendships.  </w:t>
      </w:r>
    </w:p>
    <w:p w14:paraId="01563A97" w14:textId="77777777" w:rsidR="00403742" w:rsidRDefault="00403742" w:rsidP="003649E9">
      <w:pPr>
        <w:spacing w:line="240" w:lineRule="auto"/>
      </w:pPr>
    </w:p>
    <w:p w14:paraId="336C6502" w14:textId="606BD8B0" w:rsidR="00403742" w:rsidRPr="00403742" w:rsidRDefault="00403742" w:rsidP="003649E9">
      <w:pPr>
        <w:spacing w:line="240" w:lineRule="auto"/>
        <w:rPr>
          <w:b/>
        </w:rPr>
      </w:pPr>
      <w:r w:rsidRPr="00403742">
        <w:rPr>
          <w:b/>
        </w:rPr>
        <w:t>Low Scoring PDR II Indicators</w:t>
      </w:r>
    </w:p>
    <w:p w14:paraId="3322E313" w14:textId="3F1AE408" w:rsidR="00403742" w:rsidRDefault="00403742" w:rsidP="003649E9">
      <w:pPr>
        <w:spacing w:line="240" w:lineRule="auto"/>
      </w:pPr>
      <w:r>
        <w:rPr>
          <w:noProof/>
        </w:rPr>
        <w:drawing>
          <wp:inline distT="0" distB="0" distL="0" distR="0" wp14:anchorId="05AAD403" wp14:editId="00FF094D">
            <wp:extent cx="5493715" cy="1477670"/>
            <wp:effectExtent l="38100" t="0" r="12065" b="27305"/>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494441D6" w14:textId="77777777" w:rsidR="009D1A9B" w:rsidRDefault="009D1A9B" w:rsidP="003649E9">
      <w:pPr>
        <w:spacing w:line="240" w:lineRule="auto"/>
      </w:pPr>
    </w:p>
    <w:p w14:paraId="6C9DBBEC" w14:textId="77777777" w:rsidR="009D1A9B" w:rsidRDefault="009D1A9B" w:rsidP="003649E9">
      <w:pPr>
        <w:spacing w:line="240" w:lineRule="auto"/>
        <w:rPr>
          <w:b/>
        </w:rPr>
      </w:pPr>
    </w:p>
    <w:p w14:paraId="5A9E7B18" w14:textId="70CCC7C9" w:rsidR="009D1A9B" w:rsidRPr="009D1A9B" w:rsidRDefault="009D1A9B" w:rsidP="003649E9">
      <w:pPr>
        <w:spacing w:line="240" w:lineRule="auto"/>
        <w:rPr>
          <w:b/>
        </w:rPr>
      </w:pPr>
      <w:r w:rsidRPr="009D1A9B">
        <w:rPr>
          <w:b/>
        </w:rPr>
        <w:t>Low Scorin</w:t>
      </w:r>
      <w:r>
        <w:rPr>
          <w:b/>
        </w:rPr>
        <w:t>g PDR Staff Interview Indicator</w:t>
      </w:r>
    </w:p>
    <w:p w14:paraId="4DCC568B" w14:textId="40D31792" w:rsidR="009D1A9B" w:rsidRDefault="009D1A9B" w:rsidP="003649E9">
      <w:pPr>
        <w:spacing w:line="240" w:lineRule="auto"/>
      </w:pPr>
      <w:r>
        <w:rPr>
          <w:noProof/>
        </w:rPr>
        <w:drawing>
          <wp:inline distT="0" distB="0" distL="0" distR="0" wp14:anchorId="7D3C05D7" wp14:editId="7132C40A">
            <wp:extent cx="5502302" cy="564542"/>
            <wp:effectExtent l="38100" t="0" r="22225" b="26035"/>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0CE52515" w14:textId="77777777" w:rsidR="009D1A9B" w:rsidRDefault="009D1A9B" w:rsidP="003649E9">
      <w:pPr>
        <w:spacing w:line="240" w:lineRule="auto"/>
      </w:pPr>
    </w:p>
    <w:p w14:paraId="432C2304" w14:textId="77777777" w:rsidR="003649E9" w:rsidRPr="00B41112" w:rsidRDefault="003649E9" w:rsidP="001B6245">
      <w:pPr>
        <w:pStyle w:val="Heading3"/>
      </w:pPr>
      <w:bookmarkStart w:id="55" w:name="_Toc459080646"/>
      <w:r w:rsidRPr="00B41112">
        <w:t>Observation</w:t>
      </w:r>
      <w:r>
        <w:t>s</w:t>
      </w:r>
      <w:bookmarkEnd w:id="55"/>
      <w:r w:rsidRPr="00B41112">
        <w:t xml:space="preserve"> </w:t>
      </w:r>
      <w:bookmarkEnd w:id="54"/>
    </w:p>
    <w:p w14:paraId="663265DE" w14:textId="20E5FF42" w:rsidR="004A3547" w:rsidRDefault="003649E9" w:rsidP="003649E9">
      <w:r w:rsidRPr="00BB7FDE">
        <w:t xml:space="preserve">Delmarva reviewers conduct onsite observations of up to 10 </w:t>
      </w:r>
      <w:r w:rsidR="00F413D3" w:rsidRPr="00BB7FDE">
        <w:t>licensed residential facilities</w:t>
      </w:r>
      <w:r w:rsidRPr="00BB7FDE">
        <w:t xml:space="preserve"> </w:t>
      </w:r>
      <w:r w:rsidR="007506B6" w:rsidRPr="00BB7FDE">
        <w:t xml:space="preserve">(LRF) </w:t>
      </w:r>
      <w:r w:rsidRPr="00BB7FDE">
        <w:t xml:space="preserve">when reviewing providers of Residential Habilitation.  For Life Skills Development 3 </w:t>
      </w:r>
      <w:r w:rsidR="00430FBA">
        <w:t>(LSD 3)</w:t>
      </w:r>
      <w:r w:rsidR="00892B42">
        <w:t xml:space="preserve"> </w:t>
      </w:r>
      <w:r w:rsidRPr="00BB7FDE">
        <w:t>facilities</w:t>
      </w:r>
      <w:r w:rsidRPr="00B41112">
        <w:t xml:space="preserve"> (Day Pro</w:t>
      </w:r>
      <w:r w:rsidRPr="00B41112">
        <w:lastRenderedPageBreak/>
        <w:t>grams), all locations operated by the providers receive an onsite observation.  During</w:t>
      </w:r>
      <w:r>
        <w:t xml:space="preserve"> this portion of the PDR</w:t>
      </w:r>
      <w:r w:rsidRPr="00B41112">
        <w:t>, reviewers observe the physical facility</w:t>
      </w:r>
      <w:r w:rsidR="0040507A">
        <w:t>, interactions among staff and individuals,</w:t>
      </w:r>
      <w:r w:rsidRPr="00B41112">
        <w:t xml:space="preserve"> and informally interview staff, residents, and day program </w:t>
      </w:r>
      <w:r w:rsidRPr="00430FBA">
        <w:t xml:space="preserve">participants as needed and as possible. </w:t>
      </w:r>
    </w:p>
    <w:p w14:paraId="2242AB64" w14:textId="77777777" w:rsidR="004A3547" w:rsidRDefault="004A3547" w:rsidP="003649E9"/>
    <w:p w14:paraId="5ED04DD0" w14:textId="367ADB7A" w:rsidR="003649E9" w:rsidRDefault="00AA0D23" w:rsidP="003649E9">
      <w:r w:rsidRPr="00430FBA">
        <w:t>During</w:t>
      </w:r>
      <w:r w:rsidR="003649E9" w:rsidRPr="00430FBA">
        <w:t xml:space="preserve"> the first </w:t>
      </w:r>
      <w:r w:rsidRPr="00430FBA">
        <w:t xml:space="preserve">two </w:t>
      </w:r>
      <w:r w:rsidR="003649E9" w:rsidRPr="00430FBA">
        <w:t>quarter</w:t>
      </w:r>
      <w:r w:rsidRPr="00430FBA">
        <w:t>s</w:t>
      </w:r>
      <w:r w:rsidR="003649E9" w:rsidRPr="00430FBA">
        <w:t xml:space="preserve"> of 2016, observations were completed at </w:t>
      </w:r>
      <w:r w:rsidR="00430FBA" w:rsidRPr="00430FBA">
        <w:t>3</w:t>
      </w:r>
      <w:r w:rsidR="003649E9" w:rsidRPr="00430FBA">
        <w:t xml:space="preserve">3 </w:t>
      </w:r>
      <w:r w:rsidRPr="00430FBA">
        <w:t>Day Program</w:t>
      </w:r>
      <w:r w:rsidR="003649E9" w:rsidRPr="00430FBA">
        <w:t xml:space="preserve"> locations and </w:t>
      </w:r>
      <w:r w:rsidR="00430FBA" w:rsidRPr="00430FBA">
        <w:t>428</w:t>
      </w:r>
      <w:r w:rsidR="003649E9" w:rsidRPr="00430FBA">
        <w:t xml:space="preserve"> </w:t>
      </w:r>
      <w:r w:rsidR="007506B6" w:rsidRPr="00430FBA">
        <w:t>LRFs</w:t>
      </w:r>
      <w:r w:rsidR="003649E9" w:rsidRPr="00430FBA">
        <w:t>. P</w:t>
      </w:r>
      <w:r w:rsidR="003649E9" w:rsidRPr="00B41112">
        <w:t>DR Observation score</w:t>
      </w:r>
      <w:r w:rsidR="003649E9">
        <w:t>s</w:t>
      </w:r>
      <w:r w:rsidR="003649E9" w:rsidRPr="00B41112">
        <w:t xml:space="preserve"> </w:t>
      </w:r>
      <w:r w:rsidR="003649E9">
        <w:t xml:space="preserve">are shown by Region for </w:t>
      </w:r>
      <w:r w:rsidR="00430FBA">
        <w:t>LSD 3</w:t>
      </w:r>
      <w:r w:rsidR="003649E9">
        <w:t xml:space="preserve"> </w:t>
      </w:r>
      <w:r w:rsidR="00430FBA">
        <w:t xml:space="preserve">(N=33) </w:t>
      </w:r>
      <w:r w:rsidR="003649E9">
        <w:t xml:space="preserve">and </w:t>
      </w:r>
      <w:r w:rsidR="007506B6">
        <w:t>LRF</w:t>
      </w:r>
      <w:r w:rsidR="00430FBA">
        <w:t xml:space="preserve">s (N=428)  in Table 15. </w:t>
      </w:r>
      <w:r w:rsidR="00F45233">
        <w:t>The number of Observations completed at Day Programs is quite small in most regions and should not be used for comparative analysis. All r</w:t>
      </w:r>
      <w:r w:rsidR="004055E6">
        <w:t>esults to date are only preliminary</w:t>
      </w:r>
      <w:r w:rsidR="00F45233">
        <w:t xml:space="preserve"> and</w:t>
      </w:r>
      <w:r w:rsidR="00236581">
        <w:t xml:space="preserve"> should not be used to generalize to the population or make cross-regional comparisons</w:t>
      </w:r>
      <w:r w:rsidR="004055E6">
        <w:t xml:space="preserve">.  </w:t>
      </w:r>
    </w:p>
    <w:p w14:paraId="78460E22" w14:textId="77777777" w:rsidR="003649E9" w:rsidRDefault="003649E9" w:rsidP="003649E9"/>
    <w:tbl>
      <w:tblPr>
        <w:tblStyle w:val="MediumShading1-Accent6"/>
        <w:tblW w:w="6340" w:type="dxa"/>
        <w:jc w:val="center"/>
        <w:tblLook w:val="04A0" w:firstRow="1" w:lastRow="0" w:firstColumn="1" w:lastColumn="0" w:noHBand="0" w:noVBand="1"/>
      </w:tblPr>
      <w:tblGrid>
        <w:gridCol w:w="2071"/>
        <w:gridCol w:w="1009"/>
        <w:gridCol w:w="1111"/>
        <w:gridCol w:w="1009"/>
        <w:gridCol w:w="1140"/>
      </w:tblGrid>
      <w:tr w:rsidR="003649E9" w:rsidRPr="00F45233" w14:paraId="393733C9" w14:textId="77777777" w:rsidTr="00F45233">
        <w:trPr>
          <w:cnfStyle w:val="100000000000" w:firstRow="1" w:lastRow="0" w:firstColumn="0" w:lastColumn="0" w:oddVBand="0" w:evenVBand="0" w:oddHBand="0"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6340" w:type="dxa"/>
            <w:gridSpan w:val="5"/>
            <w:shd w:val="clear" w:color="auto" w:fill="984806" w:themeFill="accent6" w:themeFillShade="80"/>
            <w:noWrap/>
            <w:vAlign w:val="bottom"/>
            <w:hideMark/>
          </w:tcPr>
          <w:p w14:paraId="32992BEF" w14:textId="77777777" w:rsidR="003649E9" w:rsidRPr="00F45233" w:rsidRDefault="003649E9" w:rsidP="00F45233">
            <w:pPr>
              <w:spacing w:line="240" w:lineRule="auto"/>
              <w:jc w:val="center"/>
              <w:rPr>
                <w:rFonts w:ascii="Franklin Gothic Medium" w:eastAsia="Times New Roman" w:hAnsi="Franklin Gothic Medium" w:cs="Times New Roman"/>
                <w:b w:val="0"/>
                <w:szCs w:val="24"/>
              </w:rPr>
            </w:pPr>
            <w:r w:rsidRPr="00F45233">
              <w:rPr>
                <w:rFonts w:ascii="Franklin Gothic Medium" w:eastAsia="Times New Roman" w:hAnsi="Franklin Gothic Medium" w:cs="Times New Roman"/>
                <w:b w:val="0"/>
                <w:szCs w:val="24"/>
              </w:rPr>
              <w:t>Table 15: PDR Observation Scores by Region and Location</w:t>
            </w:r>
          </w:p>
        </w:tc>
      </w:tr>
      <w:tr w:rsidR="003649E9" w:rsidRPr="00F45233" w14:paraId="13251D48" w14:textId="77777777" w:rsidTr="00F45233">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340" w:type="dxa"/>
            <w:gridSpan w:val="5"/>
            <w:shd w:val="clear" w:color="auto" w:fill="984806" w:themeFill="accent6" w:themeFillShade="80"/>
            <w:noWrap/>
            <w:vAlign w:val="bottom"/>
            <w:hideMark/>
          </w:tcPr>
          <w:p w14:paraId="15CA7632" w14:textId="0AE2A820" w:rsidR="003649E9" w:rsidRPr="00F45233" w:rsidRDefault="003649E9" w:rsidP="00F45233">
            <w:pPr>
              <w:spacing w:line="240" w:lineRule="auto"/>
              <w:jc w:val="center"/>
              <w:rPr>
                <w:rFonts w:ascii="Franklin Gothic Medium" w:eastAsia="Times New Roman" w:hAnsi="Franklin Gothic Medium" w:cs="Times New Roman"/>
                <w:b w:val="0"/>
                <w:color w:val="FFFFFF" w:themeColor="background1"/>
                <w:szCs w:val="24"/>
              </w:rPr>
            </w:pPr>
            <w:r w:rsidRPr="00F45233">
              <w:rPr>
                <w:rFonts w:ascii="Franklin Gothic Medium" w:eastAsia="Times New Roman" w:hAnsi="Franklin Gothic Medium" w:cs="Times New Roman"/>
                <w:b w:val="0"/>
                <w:color w:val="FFFFFF" w:themeColor="background1"/>
                <w:szCs w:val="24"/>
              </w:rPr>
              <w:t xml:space="preserve">January – </w:t>
            </w:r>
            <w:r w:rsidR="00430FBA" w:rsidRPr="00F45233">
              <w:rPr>
                <w:rFonts w:ascii="Franklin Gothic Medium" w:eastAsia="Times New Roman" w:hAnsi="Franklin Gothic Medium" w:cs="Times New Roman"/>
                <w:b w:val="0"/>
                <w:color w:val="FFFFFF" w:themeColor="background1"/>
                <w:szCs w:val="24"/>
              </w:rPr>
              <w:t>June</w:t>
            </w:r>
            <w:r w:rsidRPr="00F45233">
              <w:rPr>
                <w:rFonts w:ascii="Franklin Gothic Medium" w:eastAsia="Times New Roman" w:hAnsi="Franklin Gothic Medium" w:cs="Times New Roman"/>
                <w:b w:val="0"/>
                <w:color w:val="FFFFFF" w:themeColor="background1"/>
                <w:szCs w:val="24"/>
              </w:rPr>
              <w:t xml:space="preserve"> 2016</w:t>
            </w:r>
          </w:p>
        </w:tc>
      </w:tr>
      <w:tr w:rsidR="003649E9" w:rsidRPr="00F45233" w14:paraId="07BA2CC0" w14:textId="77777777" w:rsidTr="00F45233">
        <w:trPr>
          <w:cnfStyle w:val="000000010000" w:firstRow="0" w:lastRow="0" w:firstColumn="0" w:lastColumn="0" w:oddVBand="0" w:evenVBand="0" w:oddHBand="0" w:evenHBand="1"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2071" w:type="dxa"/>
            <w:tcBorders>
              <w:right w:val="single" w:sz="8" w:space="0" w:color="F9B074" w:themeColor="accent6" w:themeTint="BF"/>
            </w:tcBorders>
            <w:shd w:val="clear" w:color="auto" w:fill="984806" w:themeFill="accent6" w:themeFillShade="80"/>
            <w:noWrap/>
            <w:vAlign w:val="bottom"/>
            <w:hideMark/>
          </w:tcPr>
          <w:p w14:paraId="11E100B7" w14:textId="6568E177" w:rsidR="003649E9" w:rsidRPr="00F45233" w:rsidRDefault="003649E9" w:rsidP="00F45233">
            <w:pPr>
              <w:spacing w:line="240" w:lineRule="auto"/>
              <w:rPr>
                <w:rFonts w:ascii="Franklin Gothic Medium" w:eastAsia="Times New Roman" w:hAnsi="Franklin Gothic Medium" w:cs="Times New Roman"/>
                <w:b w:val="0"/>
                <w:color w:val="FFFFFF" w:themeColor="background1"/>
                <w:szCs w:val="24"/>
              </w:rPr>
            </w:pPr>
          </w:p>
        </w:tc>
        <w:tc>
          <w:tcPr>
            <w:tcW w:w="2120" w:type="dxa"/>
            <w:gridSpan w:val="2"/>
            <w:tcBorders>
              <w:left w:val="single" w:sz="8" w:space="0" w:color="F9B074" w:themeColor="accent6" w:themeTint="BF"/>
              <w:right w:val="single" w:sz="8" w:space="0" w:color="F9B074" w:themeColor="accent6" w:themeTint="BF"/>
            </w:tcBorders>
            <w:shd w:val="clear" w:color="auto" w:fill="984806" w:themeFill="accent6" w:themeFillShade="80"/>
            <w:noWrap/>
            <w:vAlign w:val="bottom"/>
            <w:hideMark/>
          </w:tcPr>
          <w:p w14:paraId="7FE530BD" w14:textId="75C507EC" w:rsidR="003649E9" w:rsidRPr="00F45233" w:rsidRDefault="00430FBA" w:rsidP="00F45233">
            <w:pPr>
              <w:spacing w:line="240" w:lineRule="auto"/>
              <w:jc w:val="center"/>
              <w:cnfStyle w:val="000000010000" w:firstRow="0" w:lastRow="0" w:firstColumn="0" w:lastColumn="0" w:oddVBand="0" w:evenVBand="0" w:oddHBand="0" w:evenHBand="1" w:firstRowFirstColumn="0" w:firstRowLastColumn="0" w:lastRowFirstColumn="0" w:lastRowLastColumn="0"/>
              <w:rPr>
                <w:rFonts w:ascii="Franklin Gothic Medium" w:eastAsia="Times New Roman" w:hAnsi="Franklin Gothic Medium" w:cs="Times New Roman"/>
                <w:color w:val="FFFFFF" w:themeColor="background1"/>
                <w:szCs w:val="24"/>
              </w:rPr>
            </w:pPr>
            <w:r w:rsidRPr="00F45233">
              <w:rPr>
                <w:rFonts w:ascii="Franklin Gothic Medium" w:eastAsia="Times New Roman" w:hAnsi="Franklin Gothic Medium" w:cs="Times New Roman"/>
                <w:color w:val="FFFFFF" w:themeColor="background1"/>
                <w:szCs w:val="24"/>
              </w:rPr>
              <w:t>LSD 3</w:t>
            </w:r>
          </w:p>
        </w:tc>
        <w:tc>
          <w:tcPr>
            <w:tcW w:w="2149" w:type="dxa"/>
            <w:gridSpan w:val="2"/>
            <w:tcBorders>
              <w:left w:val="single" w:sz="8" w:space="0" w:color="F9B074" w:themeColor="accent6" w:themeTint="BF"/>
            </w:tcBorders>
            <w:shd w:val="clear" w:color="auto" w:fill="984806" w:themeFill="accent6" w:themeFillShade="80"/>
            <w:noWrap/>
            <w:vAlign w:val="bottom"/>
            <w:hideMark/>
          </w:tcPr>
          <w:p w14:paraId="168BAEB6" w14:textId="6AC37104" w:rsidR="003649E9" w:rsidRPr="00F45233" w:rsidRDefault="007506B6" w:rsidP="00F45233">
            <w:pPr>
              <w:spacing w:line="240" w:lineRule="auto"/>
              <w:jc w:val="center"/>
              <w:cnfStyle w:val="000000010000" w:firstRow="0" w:lastRow="0" w:firstColumn="0" w:lastColumn="0" w:oddVBand="0" w:evenVBand="0" w:oddHBand="0" w:evenHBand="1" w:firstRowFirstColumn="0" w:firstRowLastColumn="0" w:lastRowFirstColumn="0" w:lastRowLastColumn="0"/>
              <w:rPr>
                <w:rFonts w:ascii="Franklin Gothic Medium" w:eastAsia="Times New Roman" w:hAnsi="Franklin Gothic Medium" w:cs="Times New Roman"/>
                <w:color w:val="FFFFFF" w:themeColor="background1"/>
                <w:szCs w:val="24"/>
              </w:rPr>
            </w:pPr>
            <w:r w:rsidRPr="00F45233">
              <w:rPr>
                <w:rFonts w:ascii="Franklin Gothic Medium" w:eastAsia="Times New Roman" w:hAnsi="Franklin Gothic Medium" w:cs="Times New Roman"/>
                <w:color w:val="FFFFFF" w:themeColor="background1"/>
                <w:szCs w:val="24"/>
              </w:rPr>
              <w:t>LRF</w:t>
            </w:r>
          </w:p>
        </w:tc>
      </w:tr>
      <w:tr w:rsidR="003649E9" w:rsidRPr="00900391" w14:paraId="4890A838" w14:textId="77777777" w:rsidTr="00F4523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71" w:type="dxa"/>
            <w:noWrap/>
            <w:vAlign w:val="bottom"/>
            <w:hideMark/>
          </w:tcPr>
          <w:p w14:paraId="0C5370CF" w14:textId="77777777" w:rsidR="003649E9" w:rsidRPr="00900391" w:rsidRDefault="003649E9" w:rsidP="00F45233">
            <w:pPr>
              <w:spacing w:line="240" w:lineRule="auto"/>
              <w:rPr>
                <w:rFonts w:ascii="Franklin Gothic Medium" w:eastAsia="Times New Roman" w:hAnsi="Franklin Gothic Medium" w:cs="Times New Roman"/>
                <w:color w:val="000000"/>
                <w:sz w:val="22"/>
              </w:rPr>
            </w:pPr>
            <w:r w:rsidRPr="00900391">
              <w:rPr>
                <w:rFonts w:ascii="Franklin Gothic Medium" w:eastAsia="Times New Roman" w:hAnsi="Franklin Gothic Medium" w:cs="Times New Roman"/>
                <w:color w:val="000000"/>
                <w:sz w:val="22"/>
              </w:rPr>
              <w:t>Region</w:t>
            </w:r>
          </w:p>
        </w:tc>
        <w:tc>
          <w:tcPr>
            <w:tcW w:w="1009" w:type="dxa"/>
            <w:noWrap/>
            <w:vAlign w:val="bottom"/>
            <w:hideMark/>
          </w:tcPr>
          <w:p w14:paraId="781B6B5F" w14:textId="77777777" w:rsidR="003649E9" w:rsidRPr="00900391" w:rsidRDefault="003649E9" w:rsidP="00F4523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sidRPr="00900391">
              <w:rPr>
                <w:rFonts w:ascii="Calibri" w:eastAsia="Times New Roman" w:hAnsi="Calibri" w:cs="Times New Roman"/>
                <w:sz w:val="22"/>
              </w:rPr>
              <w:t># OBS</w:t>
            </w:r>
          </w:p>
        </w:tc>
        <w:tc>
          <w:tcPr>
            <w:tcW w:w="1111" w:type="dxa"/>
            <w:noWrap/>
            <w:vAlign w:val="bottom"/>
            <w:hideMark/>
          </w:tcPr>
          <w:p w14:paraId="4EF301DD" w14:textId="77777777" w:rsidR="003649E9" w:rsidRPr="00900391" w:rsidRDefault="003649E9" w:rsidP="00F4523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900391">
              <w:rPr>
                <w:rFonts w:ascii="Calibri" w:eastAsia="Times New Roman" w:hAnsi="Calibri" w:cs="Times New Roman"/>
                <w:color w:val="000000"/>
                <w:sz w:val="22"/>
              </w:rPr>
              <w:t>% Met</w:t>
            </w:r>
          </w:p>
        </w:tc>
        <w:tc>
          <w:tcPr>
            <w:tcW w:w="1009" w:type="dxa"/>
            <w:noWrap/>
            <w:vAlign w:val="bottom"/>
            <w:hideMark/>
          </w:tcPr>
          <w:p w14:paraId="5B9B59C5" w14:textId="77777777" w:rsidR="003649E9" w:rsidRPr="00900391" w:rsidRDefault="003649E9" w:rsidP="00F4523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sz w:val="22"/>
              </w:rPr>
            </w:pPr>
            <w:r w:rsidRPr="00900391">
              <w:rPr>
                <w:rFonts w:ascii="Calibri" w:eastAsia="Times New Roman" w:hAnsi="Calibri" w:cs="Times New Roman"/>
                <w:sz w:val="22"/>
              </w:rPr>
              <w:t># OBS</w:t>
            </w:r>
          </w:p>
        </w:tc>
        <w:tc>
          <w:tcPr>
            <w:tcW w:w="1140" w:type="dxa"/>
            <w:noWrap/>
            <w:vAlign w:val="bottom"/>
            <w:hideMark/>
          </w:tcPr>
          <w:p w14:paraId="71CFB647" w14:textId="77777777" w:rsidR="003649E9" w:rsidRPr="00900391" w:rsidRDefault="003649E9" w:rsidP="00F45233">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900391">
              <w:rPr>
                <w:rFonts w:ascii="Calibri" w:eastAsia="Times New Roman" w:hAnsi="Calibri" w:cs="Times New Roman"/>
                <w:color w:val="000000"/>
                <w:sz w:val="22"/>
              </w:rPr>
              <w:t>% Met</w:t>
            </w:r>
          </w:p>
        </w:tc>
      </w:tr>
      <w:tr w:rsidR="00430FBA" w:rsidRPr="00900391" w14:paraId="419437EC" w14:textId="77777777" w:rsidTr="00F45233">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71" w:type="dxa"/>
            <w:noWrap/>
            <w:vAlign w:val="bottom"/>
            <w:hideMark/>
          </w:tcPr>
          <w:p w14:paraId="709251DE" w14:textId="77777777" w:rsidR="00430FBA" w:rsidRPr="00900391" w:rsidRDefault="00430FBA" w:rsidP="00F45233">
            <w:pPr>
              <w:spacing w:line="240" w:lineRule="auto"/>
              <w:rPr>
                <w:rFonts w:ascii="Calibri" w:eastAsia="Times New Roman" w:hAnsi="Calibri" w:cs="Times New Roman"/>
                <w:b w:val="0"/>
                <w:bCs w:val="0"/>
                <w:color w:val="000000"/>
                <w:sz w:val="22"/>
              </w:rPr>
            </w:pPr>
            <w:r w:rsidRPr="00900391">
              <w:rPr>
                <w:rFonts w:ascii="Calibri" w:eastAsia="Times New Roman" w:hAnsi="Calibri" w:cs="Times New Roman"/>
                <w:b w:val="0"/>
                <w:bCs w:val="0"/>
                <w:color w:val="000000"/>
                <w:sz w:val="22"/>
              </w:rPr>
              <w:t>Northwest</w:t>
            </w:r>
          </w:p>
        </w:tc>
        <w:tc>
          <w:tcPr>
            <w:tcW w:w="1009" w:type="dxa"/>
            <w:noWrap/>
            <w:vAlign w:val="bottom"/>
            <w:hideMark/>
          </w:tcPr>
          <w:p w14:paraId="385BB692" w14:textId="38A2D5A0"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0</w:t>
            </w:r>
          </w:p>
        </w:tc>
        <w:tc>
          <w:tcPr>
            <w:tcW w:w="1111" w:type="dxa"/>
            <w:noWrap/>
            <w:vAlign w:val="bottom"/>
            <w:hideMark/>
          </w:tcPr>
          <w:p w14:paraId="3177E1B9" w14:textId="4866117C" w:rsidR="00430FBA" w:rsidRPr="00F45233" w:rsidRDefault="004A3547"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Pr>
                <w:rFonts w:asciiTheme="minorHAnsi" w:hAnsiTheme="minorHAnsi" w:cs="Arial"/>
                <w:color w:val="000000"/>
                <w:sz w:val="22"/>
              </w:rPr>
              <w:t>-</w:t>
            </w:r>
          </w:p>
        </w:tc>
        <w:tc>
          <w:tcPr>
            <w:tcW w:w="1009" w:type="dxa"/>
            <w:noWrap/>
            <w:vAlign w:val="bottom"/>
            <w:hideMark/>
          </w:tcPr>
          <w:p w14:paraId="5F1B3226" w14:textId="4F8CC388"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18</w:t>
            </w:r>
          </w:p>
        </w:tc>
        <w:tc>
          <w:tcPr>
            <w:tcW w:w="1140" w:type="dxa"/>
            <w:noWrap/>
            <w:vAlign w:val="bottom"/>
            <w:hideMark/>
          </w:tcPr>
          <w:p w14:paraId="315FC1A2" w14:textId="417E228B"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97.2%</w:t>
            </w:r>
          </w:p>
        </w:tc>
      </w:tr>
      <w:tr w:rsidR="00430FBA" w:rsidRPr="00900391" w14:paraId="192412B7" w14:textId="77777777" w:rsidTr="00F4523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71" w:type="dxa"/>
            <w:noWrap/>
            <w:vAlign w:val="bottom"/>
            <w:hideMark/>
          </w:tcPr>
          <w:p w14:paraId="6E322AEE" w14:textId="77777777" w:rsidR="00430FBA" w:rsidRPr="00900391" w:rsidRDefault="00430FBA" w:rsidP="00F45233">
            <w:pPr>
              <w:spacing w:line="240" w:lineRule="auto"/>
              <w:rPr>
                <w:rFonts w:ascii="Calibri" w:eastAsia="Times New Roman" w:hAnsi="Calibri" w:cs="Times New Roman"/>
                <w:b w:val="0"/>
                <w:bCs w:val="0"/>
                <w:color w:val="000000"/>
                <w:sz w:val="22"/>
              </w:rPr>
            </w:pPr>
            <w:r w:rsidRPr="00900391">
              <w:rPr>
                <w:rFonts w:ascii="Calibri" w:eastAsia="Times New Roman" w:hAnsi="Calibri" w:cs="Times New Roman"/>
                <w:b w:val="0"/>
                <w:bCs w:val="0"/>
                <w:color w:val="000000"/>
                <w:sz w:val="22"/>
              </w:rPr>
              <w:t>Northeast</w:t>
            </w:r>
          </w:p>
        </w:tc>
        <w:tc>
          <w:tcPr>
            <w:tcW w:w="1009" w:type="dxa"/>
            <w:noWrap/>
            <w:vAlign w:val="bottom"/>
            <w:hideMark/>
          </w:tcPr>
          <w:p w14:paraId="15A5D045" w14:textId="4AAA5C09"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5</w:t>
            </w:r>
          </w:p>
        </w:tc>
        <w:tc>
          <w:tcPr>
            <w:tcW w:w="1111" w:type="dxa"/>
            <w:noWrap/>
            <w:vAlign w:val="bottom"/>
            <w:hideMark/>
          </w:tcPr>
          <w:p w14:paraId="15339872" w14:textId="17B88179"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99.2%</w:t>
            </w:r>
          </w:p>
        </w:tc>
        <w:tc>
          <w:tcPr>
            <w:tcW w:w="1009" w:type="dxa"/>
            <w:noWrap/>
            <w:vAlign w:val="bottom"/>
            <w:hideMark/>
          </w:tcPr>
          <w:p w14:paraId="776C1BC9" w14:textId="60BC8C5C"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67</w:t>
            </w:r>
          </w:p>
        </w:tc>
        <w:tc>
          <w:tcPr>
            <w:tcW w:w="1140" w:type="dxa"/>
            <w:noWrap/>
            <w:vAlign w:val="bottom"/>
            <w:hideMark/>
          </w:tcPr>
          <w:p w14:paraId="0972EE13" w14:textId="04BAAF3D"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96.4%</w:t>
            </w:r>
          </w:p>
        </w:tc>
      </w:tr>
      <w:tr w:rsidR="00430FBA" w:rsidRPr="00900391" w14:paraId="3A56B564" w14:textId="77777777" w:rsidTr="00F45233">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71" w:type="dxa"/>
            <w:noWrap/>
            <w:vAlign w:val="bottom"/>
            <w:hideMark/>
          </w:tcPr>
          <w:p w14:paraId="17EEB8B8" w14:textId="77777777" w:rsidR="00430FBA" w:rsidRPr="00900391" w:rsidRDefault="00430FBA" w:rsidP="00F45233">
            <w:pPr>
              <w:spacing w:line="240" w:lineRule="auto"/>
              <w:rPr>
                <w:rFonts w:ascii="Calibri" w:eastAsia="Times New Roman" w:hAnsi="Calibri" w:cs="Times New Roman"/>
                <w:b w:val="0"/>
                <w:bCs w:val="0"/>
                <w:color w:val="000000"/>
                <w:sz w:val="22"/>
              </w:rPr>
            </w:pPr>
            <w:r w:rsidRPr="00900391">
              <w:rPr>
                <w:rFonts w:ascii="Calibri" w:eastAsia="Times New Roman" w:hAnsi="Calibri" w:cs="Times New Roman"/>
                <w:b w:val="0"/>
                <w:bCs w:val="0"/>
                <w:color w:val="000000"/>
                <w:sz w:val="22"/>
              </w:rPr>
              <w:t>Central</w:t>
            </w:r>
          </w:p>
        </w:tc>
        <w:tc>
          <w:tcPr>
            <w:tcW w:w="1009" w:type="dxa"/>
            <w:noWrap/>
            <w:vAlign w:val="bottom"/>
            <w:hideMark/>
          </w:tcPr>
          <w:p w14:paraId="3C313433" w14:textId="1EB5C1C0"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11</w:t>
            </w:r>
          </w:p>
        </w:tc>
        <w:tc>
          <w:tcPr>
            <w:tcW w:w="1111" w:type="dxa"/>
            <w:noWrap/>
            <w:vAlign w:val="bottom"/>
            <w:hideMark/>
          </w:tcPr>
          <w:p w14:paraId="46AC5BB3" w14:textId="6CE659E3"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98.8%</w:t>
            </w:r>
          </w:p>
        </w:tc>
        <w:tc>
          <w:tcPr>
            <w:tcW w:w="1009" w:type="dxa"/>
            <w:noWrap/>
            <w:vAlign w:val="bottom"/>
            <w:hideMark/>
          </w:tcPr>
          <w:p w14:paraId="5D46AD54" w14:textId="4A1848A5"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94</w:t>
            </w:r>
          </w:p>
        </w:tc>
        <w:tc>
          <w:tcPr>
            <w:tcW w:w="1140" w:type="dxa"/>
            <w:noWrap/>
            <w:vAlign w:val="bottom"/>
            <w:hideMark/>
          </w:tcPr>
          <w:p w14:paraId="7B745E68" w14:textId="6059DC9E"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95.4%</w:t>
            </w:r>
          </w:p>
        </w:tc>
      </w:tr>
      <w:tr w:rsidR="00430FBA" w:rsidRPr="00900391" w14:paraId="387EC310" w14:textId="77777777" w:rsidTr="00F4523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71" w:type="dxa"/>
            <w:noWrap/>
            <w:vAlign w:val="bottom"/>
            <w:hideMark/>
          </w:tcPr>
          <w:p w14:paraId="2B798FAD" w14:textId="77777777" w:rsidR="00430FBA" w:rsidRPr="00900391" w:rsidRDefault="00430FBA" w:rsidP="00F45233">
            <w:pPr>
              <w:spacing w:line="240" w:lineRule="auto"/>
              <w:rPr>
                <w:rFonts w:ascii="Calibri" w:eastAsia="Times New Roman" w:hAnsi="Calibri" w:cs="Times New Roman"/>
                <w:b w:val="0"/>
                <w:bCs w:val="0"/>
                <w:color w:val="000000"/>
                <w:sz w:val="22"/>
              </w:rPr>
            </w:pPr>
            <w:r w:rsidRPr="00900391">
              <w:rPr>
                <w:rFonts w:ascii="Calibri" w:eastAsia="Times New Roman" w:hAnsi="Calibri" w:cs="Times New Roman"/>
                <w:b w:val="0"/>
                <w:bCs w:val="0"/>
                <w:color w:val="000000"/>
                <w:sz w:val="22"/>
              </w:rPr>
              <w:t>Suncoast</w:t>
            </w:r>
          </w:p>
        </w:tc>
        <w:tc>
          <w:tcPr>
            <w:tcW w:w="1009" w:type="dxa"/>
            <w:noWrap/>
            <w:vAlign w:val="bottom"/>
            <w:hideMark/>
          </w:tcPr>
          <w:p w14:paraId="7189AB39" w14:textId="6956157A"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8</w:t>
            </w:r>
          </w:p>
        </w:tc>
        <w:tc>
          <w:tcPr>
            <w:tcW w:w="1111" w:type="dxa"/>
            <w:noWrap/>
            <w:vAlign w:val="bottom"/>
            <w:hideMark/>
          </w:tcPr>
          <w:p w14:paraId="497A9F92" w14:textId="05EF7ABF"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99.5%</w:t>
            </w:r>
          </w:p>
        </w:tc>
        <w:tc>
          <w:tcPr>
            <w:tcW w:w="1009" w:type="dxa"/>
            <w:noWrap/>
            <w:vAlign w:val="bottom"/>
            <w:hideMark/>
          </w:tcPr>
          <w:p w14:paraId="0048733E" w14:textId="062DB386"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83</w:t>
            </w:r>
          </w:p>
        </w:tc>
        <w:tc>
          <w:tcPr>
            <w:tcW w:w="1140" w:type="dxa"/>
            <w:noWrap/>
            <w:vAlign w:val="bottom"/>
            <w:hideMark/>
          </w:tcPr>
          <w:p w14:paraId="7679C4C5" w14:textId="7929B263"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97.2%</w:t>
            </w:r>
          </w:p>
        </w:tc>
      </w:tr>
      <w:tr w:rsidR="00430FBA" w:rsidRPr="00900391" w14:paraId="48D53AD7" w14:textId="77777777" w:rsidTr="00F45233">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71" w:type="dxa"/>
            <w:noWrap/>
            <w:vAlign w:val="bottom"/>
            <w:hideMark/>
          </w:tcPr>
          <w:p w14:paraId="720E0A83" w14:textId="77777777" w:rsidR="00430FBA" w:rsidRPr="00900391" w:rsidRDefault="00430FBA" w:rsidP="00F45233">
            <w:pPr>
              <w:spacing w:line="240" w:lineRule="auto"/>
              <w:rPr>
                <w:rFonts w:ascii="Calibri" w:eastAsia="Times New Roman" w:hAnsi="Calibri" w:cs="Times New Roman"/>
                <w:b w:val="0"/>
                <w:bCs w:val="0"/>
                <w:color w:val="000000"/>
                <w:sz w:val="22"/>
              </w:rPr>
            </w:pPr>
            <w:r w:rsidRPr="00900391">
              <w:rPr>
                <w:rFonts w:ascii="Calibri" w:eastAsia="Times New Roman" w:hAnsi="Calibri" w:cs="Times New Roman"/>
                <w:b w:val="0"/>
                <w:bCs w:val="0"/>
                <w:color w:val="000000"/>
                <w:sz w:val="22"/>
              </w:rPr>
              <w:t>Southeast</w:t>
            </w:r>
          </w:p>
        </w:tc>
        <w:tc>
          <w:tcPr>
            <w:tcW w:w="1009" w:type="dxa"/>
            <w:noWrap/>
            <w:vAlign w:val="bottom"/>
            <w:hideMark/>
          </w:tcPr>
          <w:p w14:paraId="1FB62B4B" w14:textId="16253317"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1</w:t>
            </w:r>
          </w:p>
        </w:tc>
        <w:tc>
          <w:tcPr>
            <w:tcW w:w="1111" w:type="dxa"/>
            <w:noWrap/>
            <w:vAlign w:val="bottom"/>
            <w:hideMark/>
          </w:tcPr>
          <w:p w14:paraId="2AA79EB6" w14:textId="3F977431"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100.0%</w:t>
            </w:r>
          </w:p>
        </w:tc>
        <w:tc>
          <w:tcPr>
            <w:tcW w:w="1009" w:type="dxa"/>
            <w:noWrap/>
            <w:vAlign w:val="bottom"/>
            <w:hideMark/>
          </w:tcPr>
          <w:p w14:paraId="7B806403" w14:textId="4E3D41D1"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93</w:t>
            </w:r>
          </w:p>
        </w:tc>
        <w:tc>
          <w:tcPr>
            <w:tcW w:w="1140" w:type="dxa"/>
            <w:noWrap/>
            <w:vAlign w:val="bottom"/>
            <w:hideMark/>
          </w:tcPr>
          <w:p w14:paraId="0789B444" w14:textId="2DFD80C4"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96.0%</w:t>
            </w:r>
          </w:p>
        </w:tc>
      </w:tr>
      <w:tr w:rsidR="00430FBA" w:rsidRPr="00900391" w14:paraId="26C4D93F" w14:textId="77777777" w:rsidTr="00F45233">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071" w:type="dxa"/>
            <w:noWrap/>
            <w:vAlign w:val="bottom"/>
            <w:hideMark/>
          </w:tcPr>
          <w:p w14:paraId="373F3567" w14:textId="77777777" w:rsidR="00430FBA" w:rsidRPr="00900391" w:rsidRDefault="00430FBA" w:rsidP="00F45233">
            <w:pPr>
              <w:spacing w:line="240" w:lineRule="auto"/>
              <w:rPr>
                <w:rFonts w:ascii="Calibri" w:eastAsia="Times New Roman" w:hAnsi="Calibri" w:cs="Times New Roman"/>
                <w:b w:val="0"/>
                <w:bCs w:val="0"/>
                <w:color w:val="000000"/>
                <w:sz w:val="22"/>
              </w:rPr>
            </w:pPr>
            <w:r w:rsidRPr="00900391">
              <w:rPr>
                <w:rFonts w:ascii="Calibri" w:eastAsia="Times New Roman" w:hAnsi="Calibri" w:cs="Times New Roman"/>
                <w:b w:val="0"/>
                <w:bCs w:val="0"/>
                <w:color w:val="000000"/>
                <w:sz w:val="22"/>
              </w:rPr>
              <w:t>Southern</w:t>
            </w:r>
          </w:p>
        </w:tc>
        <w:tc>
          <w:tcPr>
            <w:tcW w:w="1009" w:type="dxa"/>
            <w:noWrap/>
            <w:vAlign w:val="bottom"/>
            <w:hideMark/>
          </w:tcPr>
          <w:p w14:paraId="0EF08E75" w14:textId="3D744D8D"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8</w:t>
            </w:r>
          </w:p>
        </w:tc>
        <w:tc>
          <w:tcPr>
            <w:tcW w:w="1111" w:type="dxa"/>
            <w:noWrap/>
            <w:vAlign w:val="bottom"/>
            <w:hideMark/>
          </w:tcPr>
          <w:p w14:paraId="3D95D068" w14:textId="0EC7DE89"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97.1%</w:t>
            </w:r>
          </w:p>
        </w:tc>
        <w:tc>
          <w:tcPr>
            <w:tcW w:w="1009" w:type="dxa"/>
            <w:noWrap/>
            <w:vAlign w:val="bottom"/>
            <w:hideMark/>
          </w:tcPr>
          <w:p w14:paraId="3768FE92" w14:textId="7EC12B0E"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73</w:t>
            </w:r>
          </w:p>
        </w:tc>
        <w:tc>
          <w:tcPr>
            <w:tcW w:w="1140" w:type="dxa"/>
            <w:noWrap/>
            <w:vAlign w:val="bottom"/>
            <w:hideMark/>
          </w:tcPr>
          <w:p w14:paraId="51FB0A3E" w14:textId="660CB11C" w:rsidR="00430FBA" w:rsidRPr="00F45233" w:rsidRDefault="00430FBA" w:rsidP="00F4523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95.8%</w:t>
            </w:r>
          </w:p>
        </w:tc>
      </w:tr>
      <w:tr w:rsidR="00430FBA" w:rsidRPr="00900391" w14:paraId="28F6FE20" w14:textId="77777777" w:rsidTr="00F45233">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071" w:type="dxa"/>
            <w:noWrap/>
            <w:vAlign w:val="bottom"/>
            <w:hideMark/>
          </w:tcPr>
          <w:p w14:paraId="68CF0EDD" w14:textId="77777777" w:rsidR="00430FBA" w:rsidRPr="00900391" w:rsidRDefault="00430FBA" w:rsidP="00F45233">
            <w:pPr>
              <w:spacing w:line="240" w:lineRule="auto"/>
              <w:rPr>
                <w:rFonts w:ascii="Calibri" w:eastAsia="Times New Roman" w:hAnsi="Calibri" w:cs="Times New Roman"/>
                <w:b w:val="0"/>
                <w:bCs w:val="0"/>
                <w:color w:val="000000"/>
                <w:sz w:val="22"/>
              </w:rPr>
            </w:pPr>
            <w:r w:rsidRPr="00900391">
              <w:rPr>
                <w:rFonts w:ascii="Calibri" w:eastAsia="Times New Roman" w:hAnsi="Calibri" w:cs="Times New Roman"/>
                <w:b w:val="0"/>
                <w:bCs w:val="0"/>
                <w:color w:val="000000"/>
                <w:sz w:val="22"/>
              </w:rPr>
              <w:t xml:space="preserve">State </w:t>
            </w:r>
          </w:p>
        </w:tc>
        <w:tc>
          <w:tcPr>
            <w:tcW w:w="1009" w:type="dxa"/>
            <w:noWrap/>
            <w:vAlign w:val="bottom"/>
            <w:hideMark/>
          </w:tcPr>
          <w:p w14:paraId="6A7A3157" w14:textId="315098F7"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33</w:t>
            </w:r>
          </w:p>
        </w:tc>
        <w:tc>
          <w:tcPr>
            <w:tcW w:w="1111" w:type="dxa"/>
            <w:noWrap/>
            <w:vAlign w:val="bottom"/>
            <w:hideMark/>
          </w:tcPr>
          <w:p w14:paraId="6CC3B683" w14:textId="00BBD42D"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98.6%</w:t>
            </w:r>
          </w:p>
        </w:tc>
        <w:tc>
          <w:tcPr>
            <w:tcW w:w="1009" w:type="dxa"/>
            <w:noWrap/>
            <w:vAlign w:val="bottom"/>
            <w:hideMark/>
          </w:tcPr>
          <w:p w14:paraId="2B3DAC9D" w14:textId="0745A746"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428</w:t>
            </w:r>
          </w:p>
        </w:tc>
        <w:tc>
          <w:tcPr>
            <w:tcW w:w="1140" w:type="dxa"/>
            <w:noWrap/>
            <w:vAlign w:val="bottom"/>
            <w:hideMark/>
          </w:tcPr>
          <w:p w14:paraId="7813C199" w14:textId="1C921DA8" w:rsidR="00430FBA" w:rsidRPr="00F45233" w:rsidRDefault="00430FBA" w:rsidP="00F45233">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F45233">
              <w:rPr>
                <w:rFonts w:asciiTheme="minorHAnsi" w:hAnsiTheme="minorHAnsi" w:cs="Arial"/>
                <w:color w:val="000000"/>
                <w:sz w:val="22"/>
              </w:rPr>
              <w:t>96.2%</w:t>
            </w:r>
          </w:p>
        </w:tc>
      </w:tr>
    </w:tbl>
    <w:p w14:paraId="267FC88D" w14:textId="77777777" w:rsidR="003649E9" w:rsidRDefault="003649E9" w:rsidP="003649E9"/>
    <w:p w14:paraId="6A7A3622" w14:textId="77777777" w:rsidR="00236581" w:rsidRDefault="00236581" w:rsidP="003649E9"/>
    <w:p w14:paraId="4AE1D4FD" w14:textId="77777777" w:rsidR="00AC046B" w:rsidRDefault="00AC046B" w:rsidP="003649E9"/>
    <w:p w14:paraId="45B78742" w14:textId="759EDB05" w:rsidR="003649E9" w:rsidRDefault="003649E9" w:rsidP="003649E9">
      <w:r w:rsidRPr="00CC11AD">
        <w:t xml:space="preserve">Observations are shown by Standard </w:t>
      </w:r>
      <w:r w:rsidR="004A3547">
        <w:t>and Location</w:t>
      </w:r>
      <w:r w:rsidR="002A7A38">
        <w:t xml:space="preserve"> </w:t>
      </w:r>
      <w:r w:rsidRPr="00CC11AD">
        <w:t xml:space="preserve">in Figure </w:t>
      </w:r>
      <w:r w:rsidR="001F2934">
        <w:t>10</w:t>
      </w:r>
      <w:r w:rsidRPr="00CC11AD">
        <w:t>.</w:t>
      </w:r>
      <w:r w:rsidR="006E5F6B">
        <w:t xml:space="preserve"> To date, </w:t>
      </w:r>
      <w:r w:rsidR="00AC046B">
        <w:t>scores are generally quite high across all the standards</w:t>
      </w:r>
      <w:r w:rsidR="006E5F6B">
        <w:t>.</w:t>
      </w:r>
      <w:r w:rsidR="00AC046B">
        <w:t xml:space="preserve"> </w:t>
      </w:r>
      <w:r w:rsidR="004A3547">
        <w:t xml:space="preserve"> </w:t>
      </w:r>
      <w:r w:rsidR="00A32DB9">
        <w:t>Given the p</w:t>
      </w:r>
      <w:r w:rsidR="004A3547">
        <w:t>reliminary results, measures of Autonomy/Independence and Privacy showed somewhat lower compliance than did oth</w:t>
      </w:r>
      <w:r w:rsidR="00A32DB9">
        <w:t>er areas during the Observation in LRFs.</w:t>
      </w:r>
    </w:p>
    <w:p w14:paraId="5CA70BD6" w14:textId="77777777" w:rsidR="00E27DE3" w:rsidRDefault="00E27DE3" w:rsidP="003649E9"/>
    <w:p w14:paraId="56BC3391" w14:textId="54B4BD12" w:rsidR="007506B6" w:rsidRDefault="003649E9" w:rsidP="003649E9">
      <w:pPr>
        <w:tabs>
          <w:tab w:val="left" w:pos="4032"/>
        </w:tabs>
      </w:pPr>
      <w:r>
        <w:tab/>
      </w:r>
    </w:p>
    <w:p w14:paraId="7AAEEEE3" w14:textId="77F93466" w:rsidR="003649E9" w:rsidRDefault="006E5F6B" w:rsidP="003649E9">
      <w:pPr>
        <w:spacing w:line="240" w:lineRule="auto"/>
        <w:jc w:val="center"/>
        <w:rPr>
          <w:noProof/>
        </w:rPr>
      </w:pPr>
      <w:r>
        <w:rPr>
          <w:noProof/>
        </w:rPr>
        <w:lastRenderedPageBreak/>
        <w:t xml:space="preserve"> </w:t>
      </w:r>
      <w:r w:rsidR="00A32DB9">
        <w:rPr>
          <w:noProof/>
        </w:rPr>
        <w:drawing>
          <wp:inline distT="0" distB="0" distL="0" distR="0" wp14:anchorId="2E5C241E" wp14:editId="1FE25E81">
            <wp:extent cx="5400676" cy="4152901"/>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40F7101" w14:textId="77777777" w:rsidR="003649E9" w:rsidRDefault="003649E9" w:rsidP="003649E9">
      <w:pPr>
        <w:spacing w:line="240" w:lineRule="auto"/>
        <w:rPr>
          <w:noProof/>
        </w:rPr>
      </w:pPr>
    </w:p>
    <w:p w14:paraId="0F7DF599" w14:textId="77777777" w:rsidR="00E27DE3" w:rsidRDefault="00E27DE3" w:rsidP="003649E9">
      <w:pPr>
        <w:spacing w:line="240" w:lineRule="auto"/>
        <w:rPr>
          <w:noProof/>
        </w:rPr>
      </w:pPr>
    </w:p>
    <w:p w14:paraId="17CCCEC9" w14:textId="4EC7341C" w:rsidR="003649E9" w:rsidRDefault="006E5F6B" w:rsidP="003649E9">
      <w:pPr>
        <w:pStyle w:val="Heading4"/>
      </w:pPr>
      <w:r>
        <w:t xml:space="preserve">Observation Type: </w:t>
      </w:r>
      <w:r w:rsidR="003649E9" w:rsidRPr="00CC11AD">
        <w:t xml:space="preserve">Announced vs Unannounced </w:t>
      </w:r>
    </w:p>
    <w:p w14:paraId="2725BAB4" w14:textId="44F82580" w:rsidR="003649E9" w:rsidRDefault="003649E9" w:rsidP="003649E9">
      <w:r>
        <w:t xml:space="preserve">Of the </w:t>
      </w:r>
      <w:r w:rsidR="00A451DB">
        <w:t>461</w:t>
      </w:r>
      <w:r>
        <w:t xml:space="preserve"> Observations, </w:t>
      </w:r>
      <w:r w:rsidR="00A451DB">
        <w:t>126</w:t>
      </w:r>
      <w:r>
        <w:t xml:space="preserve"> (</w:t>
      </w:r>
      <w:r w:rsidR="00A451DB">
        <w:t>27.3</w:t>
      </w:r>
      <w:r>
        <w:t>%) were unannounced observations. While providers knew when the PDR would occur, they did not always know which facilities would be chosen for the Observation and when it would occur.  Table 16 shows results by location and Observation Type (</w:t>
      </w:r>
      <w:r w:rsidR="006E5F6B">
        <w:t>A</w:t>
      </w:r>
      <w:r>
        <w:t xml:space="preserve">nnounced vs. </w:t>
      </w:r>
      <w:r w:rsidR="006E5F6B">
        <w:t>U</w:t>
      </w:r>
      <w:r>
        <w:t>nannounced</w:t>
      </w:r>
      <w:r w:rsidRPr="004A3547">
        <w:t xml:space="preserve">). </w:t>
      </w:r>
      <w:r w:rsidR="006E5F6B" w:rsidRPr="004A3547">
        <w:t xml:space="preserve"> Findings for Observation Type</w:t>
      </w:r>
      <w:r w:rsidRPr="004A3547">
        <w:t xml:space="preserve"> </w:t>
      </w:r>
      <w:r w:rsidR="006E5F6B" w:rsidRPr="004A3547">
        <w:t xml:space="preserve">by </w:t>
      </w:r>
      <w:r w:rsidR="00A451DB" w:rsidRPr="004A3547">
        <w:t xml:space="preserve">Region are shown in Figure 11 and by </w:t>
      </w:r>
      <w:r w:rsidR="006E5F6B" w:rsidRPr="004A3547">
        <w:t>Standard</w:t>
      </w:r>
      <w:r w:rsidRPr="004A3547">
        <w:t xml:space="preserve"> </w:t>
      </w:r>
      <w:r w:rsidR="006E5F6B" w:rsidRPr="004A3547">
        <w:t xml:space="preserve">in </w:t>
      </w:r>
      <w:r w:rsidRPr="004A3547">
        <w:t xml:space="preserve">Figure </w:t>
      </w:r>
      <w:r w:rsidR="00A451DB" w:rsidRPr="004A3547">
        <w:t>12</w:t>
      </w:r>
      <w:r w:rsidRPr="004A3547">
        <w:t>.</w:t>
      </w:r>
      <w:r w:rsidR="004A3547">
        <w:t xml:space="preserve"> </w:t>
      </w:r>
      <w:r w:rsidR="007704AC">
        <w:t xml:space="preserve">There is some variation across regions and standards by location and type.  However, results are preliminary and further analysis will be completed when more data from the sample are available. </w:t>
      </w:r>
    </w:p>
    <w:p w14:paraId="04286063" w14:textId="77777777" w:rsidR="00E27DE3" w:rsidRDefault="00E27DE3" w:rsidP="003649E9"/>
    <w:tbl>
      <w:tblPr>
        <w:tblW w:w="7711" w:type="dxa"/>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554"/>
        <w:gridCol w:w="904"/>
        <w:gridCol w:w="1206"/>
        <w:gridCol w:w="1005"/>
        <w:gridCol w:w="1042"/>
      </w:tblGrid>
      <w:tr w:rsidR="003649E9" w:rsidRPr="00266686" w14:paraId="342B706B" w14:textId="77777777" w:rsidTr="003649E9">
        <w:trPr>
          <w:trHeight w:val="483"/>
          <w:jc w:val="center"/>
        </w:trPr>
        <w:tc>
          <w:tcPr>
            <w:tcW w:w="7711" w:type="dxa"/>
            <w:gridSpan w:val="5"/>
            <w:tcBorders>
              <w:top w:val="single" w:sz="4" w:space="0" w:color="auto"/>
              <w:bottom w:val="single" w:sz="4" w:space="0" w:color="auto"/>
            </w:tcBorders>
            <w:shd w:val="clear" w:color="000000" w:fill="943634" w:themeFill="accent2" w:themeFillShade="BF"/>
            <w:noWrap/>
            <w:vAlign w:val="bottom"/>
            <w:hideMark/>
          </w:tcPr>
          <w:p w14:paraId="304F1C05" w14:textId="77777777" w:rsidR="003649E9" w:rsidRDefault="003649E9" w:rsidP="003649E9">
            <w:pPr>
              <w:spacing w:line="240" w:lineRule="auto"/>
              <w:jc w:val="center"/>
              <w:rPr>
                <w:rFonts w:ascii="Franklin Gothic Medium" w:eastAsia="Times New Roman" w:hAnsi="Franklin Gothic Medium" w:cs="Times New Roman"/>
                <w:color w:val="FFFFFF"/>
                <w:szCs w:val="24"/>
              </w:rPr>
            </w:pPr>
            <w:r w:rsidRPr="00A51BC3">
              <w:rPr>
                <w:rFonts w:ascii="Franklin Gothic Medium" w:eastAsia="Times New Roman" w:hAnsi="Franklin Gothic Medium" w:cs="Times New Roman"/>
                <w:color w:val="FFFFFF"/>
                <w:szCs w:val="24"/>
              </w:rPr>
              <w:t>Table 16:  Observation Scores by Observation Type and Location</w:t>
            </w:r>
          </w:p>
          <w:p w14:paraId="14E51A37" w14:textId="5ACF39C9" w:rsidR="006E5F6B" w:rsidRPr="00A51BC3" w:rsidRDefault="006E5F6B" w:rsidP="00A451DB">
            <w:pPr>
              <w:spacing w:line="240" w:lineRule="auto"/>
              <w:jc w:val="center"/>
              <w:rPr>
                <w:rFonts w:ascii="Franklin Gothic Medium" w:eastAsia="Times New Roman" w:hAnsi="Franklin Gothic Medium" w:cs="Times New Roman"/>
                <w:color w:val="FFFFFF"/>
                <w:szCs w:val="24"/>
              </w:rPr>
            </w:pPr>
            <w:r>
              <w:rPr>
                <w:rFonts w:ascii="Franklin Gothic Medium" w:eastAsia="Times New Roman" w:hAnsi="Franklin Gothic Medium" w:cs="Times New Roman"/>
                <w:color w:val="FFFFFF"/>
                <w:szCs w:val="24"/>
              </w:rPr>
              <w:t xml:space="preserve">January – </w:t>
            </w:r>
            <w:r w:rsidR="00A451DB">
              <w:rPr>
                <w:rFonts w:ascii="Franklin Gothic Medium" w:eastAsia="Times New Roman" w:hAnsi="Franklin Gothic Medium" w:cs="Times New Roman"/>
                <w:color w:val="FFFFFF"/>
                <w:szCs w:val="24"/>
              </w:rPr>
              <w:t>June</w:t>
            </w:r>
            <w:r>
              <w:rPr>
                <w:rFonts w:ascii="Franklin Gothic Medium" w:eastAsia="Times New Roman" w:hAnsi="Franklin Gothic Medium" w:cs="Times New Roman"/>
                <w:color w:val="FFFFFF"/>
                <w:szCs w:val="24"/>
              </w:rPr>
              <w:t xml:space="preserve"> 2016</w:t>
            </w:r>
          </w:p>
        </w:tc>
      </w:tr>
      <w:tr w:rsidR="003649E9" w:rsidRPr="00266686" w14:paraId="48962A84" w14:textId="77777777" w:rsidTr="00E27DE3">
        <w:trPr>
          <w:trHeight w:val="441"/>
          <w:jc w:val="center"/>
        </w:trPr>
        <w:tc>
          <w:tcPr>
            <w:tcW w:w="3554" w:type="dxa"/>
            <w:vMerge w:val="restart"/>
            <w:tcBorders>
              <w:top w:val="single" w:sz="4" w:space="0" w:color="auto"/>
              <w:bottom w:val="nil"/>
              <w:right w:val="single" w:sz="4" w:space="0" w:color="auto"/>
            </w:tcBorders>
            <w:shd w:val="clear" w:color="000000" w:fill="D9D9D9"/>
            <w:noWrap/>
            <w:vAlign w:val="bottom"/>
            <w:hideMark/>
          </w:tcPr>
          <w:p w14:paraId="01849ACE" w14:textId="77777777" w:rsidR="003649E9" w:rsidRPr="00A51BC3" w:rsidRDefault="003649E9" w:rsidP="00E27DE3">
            <w:pPr>
              <w:spacing w:line="240" w:lineRule="auto"/>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Observation Type</w:t>
            </w:r>
          </w:p>
        </w:tc>
        <w:tc>
          <w:tcPr>
            <w:tcW w:w="211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73393D2" w14:textId="6B0BDC05" w:rsidR="003649E9" w:rsidRPr="00A51BC3" w:rsidRDefault="00E27DE3" w:rsidP="003649E9">
            <w:pPr>
              <w:spacing w:line="240" w:lineRule="auto"/>
              <w:jc w:val="center"/>
              <w:rPr>
                <w:rFonts w:ascii="Franklin Gothic Medium" w:eastAsia="Times New Roman" w:hAnsi="Franklin Gothic Medium" w:cs="Times New Roman"/>
                <w:color w:val="000000"/>
                <w:szCs w:val="24"/>
              </w:rPr>
            </w:pPr>
            <w:r>
              <w:rPr>
                <w:rFonts w:ascii="Franklin Gothic Medium" w:eastAsia="Times New Roman" w:hAnsi="Franklin Gothic Medium" w:cs="Times New Roman"/>
                <w:color w:val="000000"/>
                <w:szCs w:val="24"/>
              </w:rPr>
              <w:t>LSD 3</w:t>
            </w:r>
          </w:p>
        </w:tc>
        <w:tc>
          <w:tcPr>
            <w:tcW w:w="2047" w:type="dxa"/>
            <w:gridSpan w:val="2"/>
            <w:tcBorders>
              <w:top w:val="single" w:sz="4" w:space="0" w:color="auto"/>
              <w:left w:val="single" w:sz="4" w:space="0" w:color="auto"/>
              <w:bottom w:val="single" w:sz="4" w:space="0" w:color="auto"/>
            </w:tcBorders>
            <w:shd w:val="clear" w:color="000000" w:fill="D9D9D9"/>
            <w:noWrap/>
            <w:vAlign w:val="bottom"/>
            <w:hideMark/>
          </w:tcPr>
          <w:p w14:paraId="70BAC7F6" w14:textId="071AAD35" w:rsidR="003649E9" w:rsidRPr="00A51BC3" w:rsidRDefault="007506B6" w:rsidP="003649E9">
            <w:pPr>
              <w:spacing w:line="240" w:lineRule="auto"/>
              <w:jc w:val="center"/>
              <w:rPr>
                <w:rFonts w:ascii="Franklin Gothic Medium" w:eastAsia="Times New Roman" w:hAnsi="Franklin Gothic Medium" w:cs="Times New Roman"/>
                <w:color w:val="000000"/>
                <w:szCs w:val="24"/>
              </w:rPr>
            </w:pPr>
            <w:r>
              <w:rPr>
                <w:rFonts w:ascii="Franklin Gothic Medium" w:eastAsia="Times New Roman" w:hAnsi="Franklin Gothic Medium" w:cs="Times New Roman"/>
                <w:color w:val="000000"/>
                <w:szCs w:val="24"/>
              </w:rPr>
              <w:t>LRF</w:t>
            </w:r>
          </w:p>
        </w:tc>
      </w:tr>
      <w:tr w:rsidR="003649E9" w:rsidRPr="00266686" w14:paraId="7B41DDB8" w14:textId="77777777" w:rsidTr="003649E9">
        <w:trPr>
          <w:trHeight w:val="441"/>
          <w:jc w:val="center"/>
        </w:trPr>
        <w:tc>
          <w:tcPr>
            <w:tcW w:w="3554" w:type="dxa"/>
            <w:vMerge/>
            <w:tcBorders>
              <w:top w:val="nil"/>
              <w:bottom w:val="single" w:sz="4" w:space="0" w:color="auto"/>
              <w:right w:val="single" w:sz="4" w:space="0" w:color="auto"/>
            </w:tcBorders>
            <w:shd w:val="clear" w:color="000000" w:fill="D9D9D9"/>
            <w:noWrap/>
            <w:vAlign w:val="bottom"/>
          </w:tcPr>
          <w:p w14:paraId="43E9F76C" w14:textId="77777777" w:rsidR="003649E9" w:rsidRPr="00A51BC3" w:rsidRDefault="003649E9" w:rsidP="003649E9">
            <w:pPr>
              <w:spacing w:line="240" w:lineRule="auto"/>
              <w:jc w:val="center"/>
              <w:rPr>
                <w:rFonts w:ascii="Franklin Gothic Medium" w:eastAsia="Times New Roman" w:hAnsi="Franklin Gothic Medium" w:cs="Times New Roman"/>
                <w:color w:val="000000"/>
                <w:szCs w:val="24"/>
              </w:rPr>
            </w:pPr>
          </w:p>
        </w:tc>
        <w:tc>
          <w:tcPr>
            <w:tcW w:w="904" w:type="dxa"/>
            <w:tcBorders>
              <w:top w:val="nil"/>
              <w:left w:val="single" w:sz="4" w:space="0" w:color="auto"/>
              <w:bottom w:val="single" w:sz="4" w:space="0" w:color="auto"/>
            </w:tcBorders>
            <w:shd w:val="clear" w:color="000000" w:fill="D9D9D9"/>
            <w:vAlign w:val="bottom"/>
          </w:tcPr>
          <w:p w14:paraId="01C5D28A" w14:textId="77777777" w:rsidR="003649E9" w:rsidRPr="00A51BC3" w:rsidRDefault="003649E9" w:rsidP="003649E9">
            <w:pPr>
              <w:spacing w:line="240" w:lineRule="auto"/>
              <w:jc w:val="center"/>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 OBS</w:t>
            </w:r>
          </w:p>
        </w:tc>
        <w:tc>
          <w:tcPr>
            <w:tcW w:w="1206" w:type="dxa"/>
            <w:tcBorders>
              <w:top w:val="nil"/>
              <w:bottom w:val="single" w:sz="4" w:space="0" w:color="auto"/>
              <w:right w:val="single" w:sz="4" w:space="0" w:color="auto"/>
            </w:tcBorders>
            <w:shd w:val="clear" w:color="000000" w:fill="D9D9D9"/>
            <w:vAlign w:val="bottom"/>
          </w:tcPr>
          <w:p w14:paraId="1D2AA59E" w14:textId="77777777" w:rsidR="003649E9" w:rsidRPr="00A51BC3" w:rsidRDefault="003649E9" w:rsidP="003649E9">
            <w:pPr>
              <w:spacing w:line="240" w:lineRule="auto"/>
              <w:jc w:val="center"/>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 Met</w:t>
            </w:r>
          </w:p>
        </w:tc>
        <w:tc>
          <w:tcPr>
            <w:tcW w:w="1005" w:type="dxa"/>
            <w:tcBorders>
              <w:top w:val="nil"/>
              <w:left w:val="single" w:sz="4" w:space="0" w:color="auto"/>
              <w:bottom w:val="single" w:sz="4" w:space="0" w:color="auto"/>
            </w:tcBorders>
            <w:shd w:val="clear" w:color="000000" w:fill="D9D9D9"/>
            <w:vAlign w:val="bottom"/>
          </w:tcPr>
          <w:p w14:paraId="08205BB2" w14:textId="77777777" w:rsidR="003649E9" w:rsidRPr="00A51BC3" w:rsidRDefault="003649E9" w:rsidP="003649E9">
            <w:pPr>
              <w:spacing w:line="240" w:lineRule="auto"/>
              <w:jc w:val="center"/>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 OBS</w:t>
            </w:r>
          </w:p>
        </w:tc>
        <w:tc>
          <w:tcPr>
            <w:tcW w:w="1042" w:type="dxa"/>
            <w:tcBorders>
              <w:top w:val="nil"/>
              <w:bottom w:val="single" w:sz="4" w:space="0" w:color="auto"/>
            </w:tcBorders>
            <w:shd w:val="clear" w:color="000000" w:fill="D9D9D9"/>
            <w:vAlign w:val="bottom"/>
          </w:tcPr>
          <w:p w14:paraId="5C6A761B" w14:textId="77777777" w:rsidR="003649E9" w:rsidRPr="00A51BC3" w:rsidRDefault="003649E9" w:rsidP="003649E9">
            <w:pPr>
              <w:spacing w:line="240" w:lineRule="auto"/>
              <w:jc w:val="center"/>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 Met</w:t>
            </w:r>
          </w:p>
        </w:tc>
      </w:tr>
      <w:tr w:rsidR="003649E9" w:rsidRPr="00266686" w14:paraId="61A93935" w14:textId="77777777" w:rsidTr="0046430B">
        <w:trPr>
          <w:trHeight w:val="359"/>
          <w:jc w:val="center"/>
        </w:trPr>
        <w:tc>
          <w:tcPr>
            <w:tcW w:w="3554" w:type="dxa"/>
            <w:tcBorders>
              <w:top w:val="single" w:sz="4" w:space="0" w:color="auto"/>
              <w:bottom w:val="single" w:sz="4" w:space="0" w:color="auto"/>
              <w:right w:val="single" w:sz="4" w:space="0" w:color="auto"/>
            </w:tcBorders>
            <w:shd w:val="clear" w:color="auto" w:fill="auto"/>
            <w:noWrap/>
            <w:vAlign w:val="center"/>
            <w:hideMark/>
          </w:tcPr>
          <w:p w14:paraId="28E3DBF9" w14:textId="77777777" w:rsidR="003649E9" w:rsidRPr="00FE4065" w:rsidRDefault="003649E9" w:rsidP="003649E9">
            <w:pPr>
              <w:spacing w:line="240" w:lineRule="auto"/>
              <w:rPr>
                <w:rFonts w:ascii="Calibri" w:eastAsia="Times New Roman" w:hAnsi="Calibri" w:cs="Times New Roman"/>
                <w:color w:val="000000"/>
                <w:sz w:val="22"/>
              </w:rPr>
            </w:pPr>
            <w:r w:rsidRPr="00FE4065">
              <w:rPr>
                <w:rFonts w:ascii="Calibri" w:eastAsia="Times New Roman" w:hAnsi="Calibri" w:cs="Times New Roman"/>
                <w:color w:val="000000"/>
                <w:sz w:val="22"/>
              </w:rPr>
              <w:t>Announced</w:t>
            </w:r>
          </w:p>
        </w:tc>
        <w:tc>
          <w:tcPr>
            <w:tcW w:w="904" w:type="dxa"/>
            <w:tcBorders>
              <w:top w:val="single" w:sz="4" w:space="0" w:color="auto"/>
              <w:left w:val="single" w:sz="4" w:space="0" w:color="auto"/>
              <w:bottom w:val="single" w:sz="4" w:space="0" w:color="auto"/>
            </w:tcBorders>
            <w:shd w:val="clear" w:color="auto" w:fill="auto"/>
            <w:noWrap/>
            <w:vAlign w:val="bottom"/>
            <w:hideMark/>
          </w:tcPr>
          <w:p w14:paraId="487AAA29" w14:textId="41048D26" w:rsidR="003649E9" w:rsidRPr="00FE4065" w:rsidRDefault="00E27DE3" w:rsidP="003649E9">
            <w:pPr>
              <w:jc w:val="center"/>
              <w:rPr>
                <w:rFonts w:asciiTheme="minorHAnsi" w:hAnsiTheme="minorHAnsi" w:cs="Arial"/>
                <w:color w:val="000000"/>
                <w:sz w:val="22"/>
              </w:rPr>
            </w:pPr>
            <w:r>
              <w:rPr>
                <w:rFonts w:asciiTheme="minorHAnsi" w:hAnsiTheme="minorHAnsi" w:cs="Arial"/>
                <w:color w:val="000000"/>
                <w:sz w:val="22"/>
              </w:rPr>
              <w:t>1</w:t>
            </w:r>
            <w:r w:rsidR="003649E9" w:rsidRPr="00FE4065">
              <w:rPr>
                <w:rFonts w:asciiTheme="minorHAnsi" w:hAnsiTheme="minorHAnsi" w:cs="Arial"/>
                <w:color w:val="000000"/>
                <w:sz w:val="22"/>
              </w:rPr>
              <w:t>7</w:t>
            </w:r>
          </w:p>
        </w:tc>
        <w:tc>
          <w:tcPr>
            <w:tcW w:w="1206" w:type="dxa"/>
            <w:tcBorders>
              <w:top w:val="single" w:sz="4" w:space="0" w:color="auto"/>
              <w:bottom w:val="single" w:sz="4" w:space="0" w:color="auto"/>
              <w:right w:val="single" w:sz="4" w:space="0" w:color="auto"/>
            </w:tcBorders>
            <w:shd w:val="clear" w:color="auto" w:fill="auto"/>
            <w:noWrap/>
            <w:vAlign w:val="bottom"/>
            <w:hideMark/>
          </w:tcPr>
          <w:p w14:paraId="24DEC468" w14:textId="2F760B8D" w:rsidR="003649E9" w:rsidRPr="00FE4065" w:rsidRDefault="003649E9" w:rsidP="00E27DE3">
            <w:pPr>
              <w:jc w:val="center"/>
              <w:rPr>
                <w:rFonts w:asciiTheme="minorHAnsi" w:hAnsiTheme="minorHAnsi" w:cs="Arial"/>
                <w:color w:val="000000"/>
                <w:sz w:val="22"/>
              </w:rPr>
            </w:pPr>
            <w:r w:rsidRPr="00FE4065">
              <w:rPr>
                <w:rFonts w:asciiTheme="minorHAnsi" w:hAnsiTheme="minorHAnsi" w:cs="Arial"/>
                <w:color w:val="000000"/>
                <w:sz w:val="22"/>
              </w:rPr>
              <w:t>99.</w:t>
            </w:r>
            <w:r w:rsidR="00E27DE3">
              <w:rPr>
                <w:rFonts w:asciiTheme="minorHAnsi" w:hAnsiTheme="minorHAnsi" w:cs="Arial"/>
                <w:color w:val="000000"/>
                <w:sz w:val="22"/>
              </w:rPr>
              <w:t>9</w:t>
            </w:r>
            <w:r w:rsidRPr="00FE4065">
              <w:rPr>
                <w:rFonts w:asciiTheme="minorHAnsi" w:hAnsiTheme="minorHAnsi" w:cs="Arial"/>
                <w:color w:val="000000"/>
                <w:sz w:val="22"/>
              </w:rPr>
              <w:t>%</w:t>
            </w:r>
          </w:p>
        </w:tc>
        <w:tc>
          <w:tcPr>
            <w:tcW w:w="1005" w:type="dxa"/>
            <w:tcBorders>
              <w:top w:val="single" w:sz="4" w:space="0" w:color="auto"/>
              <w:left w:val="single" w:sz="4" w:space="0" w:color="auto"/>
              <w:bottom w:val="single" w:sz="4" w:space="0" w:color="auto"/>
            </w:tcBorders>
            <w:shd w:val="clear" w:color="auto" w:fill="auto"/>
            <w:noWrap/>
            <w:vAlign w:val="bottom"/>
            <w:hideMark/>
          </w:tcPr>
          <w:p w14:paraId="112197A3" w14:textId="43F6D640" w:rsidR="003649E9" w:rsidRPr="00FE4065" w:rsidRDefault="00E27DE3" w:rsidP="003649E9">
            <w:pPr>
              <w:jc w:val="center"/>
              <w:rPr>
                <w:rFonts w:asciiTheme="minorHAnsi" w:hAnsiTheme="minorHAnsi" w:cs="Arial"/>
                <w:color w:val="000000"/>
                <w:sz w:val="22"/>
              </w:rPr>
            </w:pPr>
            <w:r>
              <w:rPr>
                <w:rFonts w:asciiTheme="minorHAnsi" w:hAnsiTheme="minorHAnsi" w:cs="Arial"/>
                <w:color w:val="000000"/>
                <w:sz w:val="22"/>
              </w:rPr>
              <w:t>318</w:t>
            </w:r>
          </w:p>
        </w:tc>
        <w:tc>
          <w:tcPr>
            <w:tcW w:w="1042" w:type="dxa"/>
            <w:tcBorders>
              <w:top w:val="single" w:sz="4" w:space="0" w:color="auto"/>
              <w:bottom w:val="single" w:sz="4" w:space="0" w:color="auto"/>
            </w:tcBorders>
            <w:shd w:val="clear" w:color="auto" w:fill="auto"/>
            <w:noWrap/>
            <w:vAlign w:val="bottom"/>
            <w:hideMark/>
          </w:tcPr>
          <w:p w14:paraId="50C2F120" w14:textId="2B7F3921" w:rsidR="003649E9" w:rsidRPr="00E27DE3" w:rsidRDefault="00E27DE3" w:rsidP="003649E9">
            <w:pPr>
              <w:jc w:val="center"/>
              <w:rPr>
                <w:rFonts w:asciiTheme="minorHAnsi" w:hAnsiTheme="minorHAnsi" w:cs="Arial"/>
                <w:color w:val="000000"/>
                <w:sz w:val="22"/>
              </w:rPr>
            </w:pPr>
            <w:r>
              <w:rPr>
                <w:rFonts w:asciiTheme="minorHAnsi" w:hAnsiTheme="minorHAnsi" w:cs="Arial"/>
                <w:color w:val="000000"/>
                <w:sz w:val="22"/>
              </w:rPr>
              <w:t>96.7</w:t>
            </w:r>
            <w:r w:rsidR="003649E9" w:rsidRPr="00E27DE3">
              <w:rPr>
                <w:rFonts w:asciiTheme="minorHAnsi" w:hAnsiTheme="minorHAnsi" w:cs="Arial"/>
                <w:color w:val="000000"/>
                <w:sz w:val="22"/>
              </w:rPr>
              <w:t>%</w:t>
            </w:r>
          </w:p>
        </w:tc>
      </w:tr>
      <w:tr w:rsidR="003649E9" w:rsidRPr="00266686" w14:paraId="7F7833C4" w14:textId="77777777" w:rsidTr="0046430B">
        <w:trPr>
          <w:trHeight w:val="269"/>
          <w:jc w:val="center"/>
        </w:trPr>
        <w:tc>
          <w:tcPr>
            <w:tcW w:w="3554" w:type="dxa"/>
            <w:tcBorders>
              <w:top w:val="single" w:sz="4" w:space="0" w:color="auto"/>
              <w:bottom w:val="double" w:sz="4" w:space="0" w:color="auto"/>
              <w:right w:val="single" w:sz="4" w:space="0" w:color="auto"/>
            </w:tcBorders>
            <w:shd w:val="clear" w:color="auto" w:fill="auto"/>
            <w:noWrap/>
            <w:vAlign w:val="bottom"/>
            <w:hideMark/>
          </w:tcPr>
          <w:p w14:paraId="34048544" w14:textId="77777777" w:rsidR="003649E9" w:rsidRPr="00FE4065" w:rsidRDefault="003649E9" w:rsidP="003649E9">
            <w:pPr>
              <w:spacing w:line="240" w:lineRule="auto"/>
              <w:rPr>
                <w:rFonts w:ascii="Calibri" w:eastAsia="Times New Roman" w:hAnsi="Calibri" w:cs="Times New Roman"/>
                <w:color w:val="000000"/>
                <w:sz w:val="22"/>
              </w:rPr>
            </w:pPr>
            <w:r w:rsidRPr="00FE4065">
              <w:rPr>
                <w:rFonts w:ascii="Calibri" w:eastAsia="Times New Roman" w:hAnsi="Calibri" w:cs="Times New Roman"/>
                <w:color w:val="000000"/>
                <w:sz w:val="22"/>
              </w:rPr>
              <w:t>Unannounced</w:t>
            </w:r>
          </w:p>
        </w:tc>
        <w:tc>
          <w:tcPr>
            <w:tcW w:w="904" w:type="dxa"/>
            <w:tcBorders>
              <w:top w:val="single" w:sz="4" w:space="0" w:color="auto"/>
              <w:left w:val="single" w:sz="4" w:space="0" w:color="auto"/>
              <w:bottom w:val="double" w:sz="4" w:space="0" w:color="auto"/>
            </w:tcBorders>
            <w:shd w:val="clear" w:color="auto" w:fill="auto"/>
            <w:noWrap/>
            <w:vAlign w:val="bottom"/>
            <w:hideMark/>
          </w:tcPr>
          <w:p w14:paraId="2C794178" w14:textId="66A7C2D8" w:rsidR="003649E9" w:rsidRPr="00FE4065" w:rsidRDefault="00E27DE3" w:rsidP="003649E9">
            <w:pPr>
              <w:jc w:val="center"/>
              <w:rPr>
                <w:rFonts w:asciiTheme="minorHAnsi" w:hAnsiTheme="minorHAnsi" w:cs="Arial"/>
                <w:color w:val="000000"/>
                <w:sz w:val="22"/>
              </w:rPr>
            </w:pPr>
            <w:r>
              <w:rPr>
                <w:rFonts w:asciiTheme="minorHAnsi" w:hAnsiTheme="minorHAnsi" w:cs="Arial"/>
                <w:color w:val="000000"/>
                <w:sz w:val="22"/>
              </w:rPr>
              <w:t>1</w:t>
            </w:r>
            <w:r w:rsidR="003649E9" w:rsidRPr="00FE4065">
              <w:rPr>
                <w:rFonts w:asciiTheme="minorHAnsi" w:hAnsiTheme="minorHAnsi" w:cs="Arial"/>
                <w:color w:val="000000"/>
                <w:sz w:val="22"/>
              </w:rPr>
              <w:t>6</w:t>
            </w:r>
          </w:p>
        </w:tc>
        <w:tc>
          <w:tcPr>
            <w:tcW w:w="1206" w:type="dxa"/>
            <w:tcBorders>
              <w:top w:val="single" w:sz="4" w:space="0" w:color="auto"/>
              <w:bottom w:val="double" w:sz="4" w:space="0" w:color="auto"/>
              <w:right w:val="single" w:sz="4" w:space="0" w:color="auto"/>
            </w:tcBorders>
            <w:shd w:val="clear" w:color="auto" w:fill="auto"/>
            <w:noWrap/>
            <w:vAlign w:val="bottom"/>
            <w:hideMark/>
          </w:tcPr>
          <w:p w14:paraId="42D1622C" w14:textId="416A03C9" w:rsidR="003649E9" w:rsidRPr="00FE4065" w:rsidRDefault="00E27DE3" w:rsidP="003649E9">
            <w:pPr>
              <w:jc w:val="center"/>
              <w:rPr>
                <w:rFonts w:asciiTheme="minorHAnsi" w:hAnsiTheme="minorHAnsi" w:cs="Arial"/>
                <w:color w:val="000000"/>
                <w:sz w:val="22"/>
              </w:rPr>
            </w:pPr>
            <w:r>
              <w:rPr>
                <w:rFonts w:asciiTheme="minorHAnsi" w:hAnsiTheme="minorHAnsi" w:cs="Arial"/>
                <w:color w:val="000000"/>
                <w:sz w:val="22"/>
              </w:rPr>
              <w:t>98.4</w:t>
            </w:r>
            <w:r w:rsidR="003649E9" w:rsidRPr="00FE4065">
              <w:rPr>
                <w:rFonts w:asciiTheme="minorHAnsi" w:hAnsiTheme="minorHAnsi" w:cs="Arial"/>
                <w:color w:val="000000"/>
                <w:sz w:val="22"/>
              </w:rPr>
              <w:t>%</w:t>
            </w:r>
          </w:p>
        </w:tc>
        <w:tc>
          <w:tcPr>
            <w:tcW w:w="1005" w:type="dxa"/>
            <w:tcBorders>
              <w:top w:val="single" w:sz="4" w:space="0" w:color="auto"/>
              <w:left w:val="single" w:sz="4" w:space="0" w:color="auto"/>
              <w:bottom w:val="double" w:sz="4" w:space="0" w:color="auto"/>
            </w:tcBorders>
            <w:shd w:val="clear" w:color="auto" w:fill="auto"/>
            <w:noWrap/>
            <w:vAlign w:val="bottom"/>
            <w:hideMark/>
          </w:tcPr>
          <w:p w14:paraId="75B01A0F" w14:textId="3D3D40FF" w:rsidR="003649E9" w:rsidRPr="00FE4065" w:rsidRDefault="00E27DE3" w:rsidP="003649E9">
            <w:pPr>
              <w:jc w:val="center"/>
              <w:rPr>
                <w:rFonts w:asciiTheme="minorHAnsi" w:hAnsiTheme="minorHAnsi" w:cs="Arial"/>
                <w:color w:val="000000"/>
                <w:sz w:val="22"/>
              </w:rPr>
            </w:pPr>
            <w:r>
              <w:rPr>
                <w:rFonts w:asciiTheme="minorHAnsi" w:hAnsiTheme="minorHAnsi" w:cs="Arial"/>
                <w:color w:val="000000"/>
                <w:sz w:val="22"/>
              </w:rPr>
              <w:t>110</w:t>
            </w:r>
          </w:p>
        </w:tc>
        <w:tc>
          <w:tcPr>
            <w:tcW w:w="1042" w:type="dxa"/>
            <w:tcBorders>
              <w:top w:val="single" w:sz="4" w:space="0" w:color="auto"/>
              <w:bottom w:val="double" w:sz="4" w:space="0" w:color="auto"/>
            </w:tcBorders>
            <w:shd w:val="clear" w:color="auto" w:fill="auto"/>
            <w:noWrap/>
            <w:vAlign w:val="bottom"/>
            <w:hideMark/>
          </w:tcPr>
          <w:p w14:paraId="7FE496C0" w14:textId="2CD2B850" w:rsidR="003649E9" w:rsidRPr="00E27DE3" w:rsidRDefault="003649E9" w:rsidP="00E27DE3">
            <w:pPr>
              <w:jc w:val="center"/>
              <w:rPr>
                <w:rFonts w:asciiTheme="minorHAnsi" w:hAnsiTheme="minorHAnsi" w:cs="Arial"/>
                <w:color w:val="000000"/>
                <w:sz w:val="22"/>
              </w:rPr>
            </w:pPr>
            <w:r w:rsidRPr="00E27DE3">
              <w:rPr>
                <w:rFonts w:asciiTheme="minorHAnsi" w:hAnsiTheme="minorHAnsi" w:cs="Arial"/>
                <w:color w:val="000000"/>
                <w:sz w:val="22"/>
              </w:rPr>
              <w:t>94.</w:t>
            </w:r>
            <w:r w:rsidR="00E27DE3">
              <w:rPr>
                <w:rFonts w:asciiTheme="minorHAnsi" w:hAnsiTheme="minorHAnsi" w:cs="Arial"/>
                <w:color w:val="000000"/>
                <w:sz w:val="22"/>
              </w:rPr>
              <w:t>6</w:t>
            </w:r>
            <w:r w:rsidRPr="00E27DE3">
              <w:rPr>
                <w:rFonts w:asciiTheme="minorHAnsi" w:hAnsiTheme="minorHAnsi" w:cs="Arial"/>
                <w:color w:val="000000"/>
                <w:sz w:val="22"/>
              </w:rPr>
              <w:t>%</w:t>
            </w:r>
          </w:p>
        </w:tc>
      </w:tr>
      <w:tr w:rsidR="003649E9" w:rsidRPr="0075255A" w14:paraId="0910E3FD" w14:textId="77777777" w:rsidTr="0046430B">
        <w:trPr>
          <w:trHeight w:val="269"/>
          <w:jc w:val="center"/>
        </w:trPr>
        <w:tc>
          <w:tcPr>
            <w:tcW w:w="3554" w:type="dxa"/>
            <w:tcBorders>
              <w:top w:val="double" w:sz="4" w:space="0" w:color="auto"/>
              <w:right w:val="single" w:sz="4" w:space="0" w:color="auto"/>
            </w:tcBorders>
            <w:shd w:val="clear" w:color="auto" w:fill="auto"/>
            <w:noWrap/>
            <w:vAlign w:val="bottom"/>
            <w:hideMark/>
          </w:tcPr>
          <w:p w14:paraId="4166D552" w14:textId="77777777" w:rsidR="003649E9" w:rsidRPr="0046430B" w:rsidRDefault="003649E9" w:rsidP="003649E9">
            <w:pPr>
              <w:spacing w:line="240" w:lineRule="auto"/>
              <w:rPr>
                <w:rFonts w:asciiTheme="minorHAnsi" w:eastAsia="Times New Roman" w:hAnsiTheme="minorHAnsi" w:cs="Times New Roman"/>
                <w:color w:val="000000"/>
                <w:sz w:val="22"/>
              </w:rPr>
            </w:pPr>
            <w:r w:rsidRPr="0046430B">
              <w:rPr>
                <w:rFonts w:asciiTheme="minorHAnsi" w:eastAsia="Times New Roman" w:hAnsiTheme="minorHAnsi" w:cs="Times New Roman"/>
                <w:color w:val="000000"/>
                <w:sz w:val="22"/>
              </w:rPr>
              <w:t>Total</w:t>
            </w:r>
          </w:p>
        </w:tc>
        <w:tc>
          <w:tcPr>
            <w:tcW w:w="904" w:type="dxa"/>
            <w:tcBorders>
              <w:top w:val="double" w:sz="4" w:space="0" w:color="auto"/>
              <w:left w:val="single" w:sz="4" w:space="0" w:color="auto"/>
              <w:bottom w:val="single" w:sz="4" w:space="0" w:color="auto"/>
            </w:tcBorders>
            <w:shd w:val="clear" w:color="auto" w:fill="auto"/>
            <w:noWrap/>
            <w:vAlign w:val="bottom"/>
            <w:hideMark/>
          </w:tcPr>
          <w:p w14:paraId="21129304" w14:textId="653CD60C" w:rsidR="003649E9" w:rsidRPr="0046430B" w:rsidRDefault="00E27DE3" w:rsidP="003649E9">
            <w:pPr>
              <w:jc w:val="center"/>
              <w:rPr>
                <w:rFonts w:asciiTheme="minorHAnsi" w:hAnsiTheme="minorHAnsi" w:cs="Arial"/>
                <w:color w:val="000000"/>
                <w:sz w:val="22"/>
              </w:rPr>
            </w:pPr>
            <w:r>
              <w:rPr>
                <w:rFonts w:asciiTheme="minorHAnsi" w:hAnsiTheme="minorHAnsi" w:cs="Arial"/>
                <w:color w:val="000000"/>
                <w:sz w:val="22"/>
              </w:rPr>
              <w:t>3</w:t>
            </w:r>
            <w:r w:rsidR="003649E9" w:rsidRPr="0046430B">
              <w:rPr>
                <w:rFonts w:asciiTheme="minorHAnsi" w:hAnsiTheme="minorHAnsi" w:cs="Arial"/>
                <w:color w:val="000000"/>
                <w:sz w:val="22"/>
              </w:rPr>
              <w:t>3</w:t>
            </w:r>
          </w:p>
        </w:tc>
        <w:tc>
          <w:tcPr>
            <w:tcW w:w="1206" w:type="dxa"/>
            <w:tcBorders>
              <w:top w:val="double" w:sz="4" w:space="0" w:color="auto"/>
              <w:bottom w:val="single" w:sz="4" w:space="0" w:color="auto"/>
              <w:right w:val="single" w:sz="4" w:space="0" w:color="auto"/>
            </w:tcBorders>
            <w:shd w:val="clear" w:color="auto" w:fill="auto"/>
            <w:noWrap/>
            <w:vAlign w:val="bottom"/>
            <w:hideMark/>
          </w:tcPr>
          <w:p w14:paraId="609ECD54" w14:textId="3A0725D5" w:rsidR="003649E9" w:rsidRPr="0046430B" w:rsidRDefault="003649E9" w:rsidP="00E27DE3">
            <w:pPr>
              <w:jc w:val="center"/>
              <w:rPr>
                <w:rFonts w:asciiTheme="minorHAnsi" w:hAnsiTheme="minorHAnsi" w:cs="Arial"/>
                <w:color w:val="000000"/>
                <w:sz w:val="22"/>
              </w:rPr>
            </w:pPr>
            <w:r w:rsidRPr="0046430B">
              <w:rPr>
                <w:rFonts w:asciiTheme="minorHAnsi" w:hAnsiTheme="minorHAnsi" w:cs="Arial"/>
                <w:color w:val="000000"/>
                <w:sz w:val="22"/>
              </w:rPr>
              <w:t>9</w:t>
            </w:r>
            <w:r w:rsidR="00E27DE3">
              <w:rPr>
                <w:rFonts w:asciiTheme="minorHAnsi" w:hAnsiTheme="minorHAnsi" w:cs="Arial"/>
                <w:color w:val="000000"/>
                <w:sz w:val="22"/>
              </w:rPr>
              <w:t>8</w:t>
            </w:r>
            <w:r w:rsidRPr="0046430B">
              <w:rPr>
                <w:rFonts w:asciiTheme="minorHAnsi" w:hAnsiTheme="minorHAnsi" w:cs="Arial"/>
                <w:color w:val="000000"/>
                <w:sz w:val="22"/>
              </w:rPr>
              <w:t>.6%</w:t>
            </w:r>
          </w:p>
        </w:tc>
        <w:tc>
          <w:tcPr>
            <w:tcW w:w="1005" w:type="dxa"/>
            <w:tcBorders>
              <w:top w:val="double" w:sz="4" w:space="0" w:color="auto"/>
              <w:left w:val="single" w:sz="4" w:space="0" w:color="auto"/>
            </w:tcBorders>
            <w:shd w:val="clear" w:color="auto" w:fill="auto"/>
            <w:noWrap/>
            <w:vAlign w:val="bottom"/>
            <w:hideMark/>
          </w:tcPr>
          <w:p w14:paraId="4737F74B" w14:textId="1111216F" w:rsidR="003649E9" w:rsidRPr="0046430B" w:rsidRDefault="00E27DE3" w:rsidP="003649E9">
            <w:pPr>
              <w:jc w:val="center"/>
              <w:rPr>
                <w:rFonts w:asciiTheme="minorHAnsi" w:hAnsiTheme="minorHAnsi" w:cs="Arial"/>
                <w:color w:val="000000"/>
                <w:sz w:val="22"/>
              </w:rPr>
            </w:pPr>
            <w:r>
              <w:rPr>
                <w:rFonts w:asciiTheme="minorHAnsi" w:hAnsiTheme="minorHAnsi" w:cs="Arial"/>
                <w:color w:val="000000"/>
                <w:sz w:val="22"/>
              </w:rPr>
              <w:t>428</w:t>
            </w:r>
          </w:p>
        </w:tc>
        <w:tc>
          <w:tcPr>
            <w:tcW w:w="1042" w:type="dxa"/>
            <w:tcBorders>
              <w:top w:val="double" w:sz="4" w:space="0" w:color="auto"/>
            </w:tcBorders>
            <w:shd w:val="clear" w:color="auto" w:fill="auto"/>
            <w:noWrap/>
            <w:vAlign w:val="bottom"/>
            <w:hideMark/>
          </w:tcPr>
          <w:p w14:paraId="4916C1AD" w14:textId="2DCAEB06" w:rsidR="003649E9" w:rsidRPr="00E27DE3" w:rsidRDefault="003649E9" w:rsidP="00E27DE3">
            <w:pPr>
              <w:jc w:val="center"/>
              <w:rPr>
                <w:rFonts w:asciiTheme="minorHAnsi" w:hAnsiTheme="minorHAnsi" w:cs="Arial"/>
                <w:color w:val="000000"/>
                <w:sz w:val="22"/>
              </w:rPr>
            </w:pPr>
            <w:r w:rsidRPr="00E27DE3">
              <w:rPr>
                <w:rFonts w:asciiTheme="minorHAnsi" w:hAnsiTheme="minorHAnsi" w:cs="Arial"/>
                <w:color w:val="000000"/>
                <w:sz w:val="22"/>
              </w:rPr>
              <w:t>96.</w:t>
            </w:r>
            <w:r w:rsidR="00E27DE3" w:rsidRPr="00E27DE3">
              <w:rPr>
                <w:rFonts w:asciiTheme="minorHAnsi" w:hAnsiTheme="minorHAnsi" w:cs="Arial"/>
                <w:color w:val="000000"/>
                <w:sz w:val="22"/>
              </w:rPr>
              <w:t>2</w:t>
            </w:r>
            <w:r w:rsidRPr="00E27DE3">
              <w:rPr>
                <w:rFonts w:asciiTheme="minorHAnsi" w:hAnsiTheme="minorHAnsi" w:cs="Arial"/>
                <w:color w:val="000000"/>
                <w:sz w:val="22"/>
              </w:rPr>
              <w:t>%</w:t>
            </w:r>
          </w:p>
        </w:tc>
      </w:tr>
    </w:tbl>
    <w:p w14:paraId="68072817" w14:textId="77777777" w:rsidR="003649E9" w:rsidRDefault="003649E9" w:rsidP="003649E9">
      <w:pPr>
        <w:rPr>
          <w:b/>
        </w:rPr>
      </w:pPr>
    </w:p>
    <w:p w14:paraId="0AFEC2A2" w14:textId="6257F0CF" w:rsidR="004A3547" w:rsidRDefault="00275091" w:rsidP="004A3547">
      <w:pPr>
        <w:spacing w:line="240" w:lineRule="auto"/>
        <w:jc w:val="center"/>
      </w:pPr>
      <w:r>
        <w:rPr>
          <w:noProof/>
        </w:rPr>
        <w:drawing>
          <wp:inline distT="0" distB="0" distL="0" distR="0" wp14:anchorId="62BE261D" wp14:editId="77B0D370">
            <wp:extent cx="4953662" cy="3323645"/>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E3B450D" w14:textId="6BB6373C" w:rsidR="003649E9" w:rsidRDefault="003649E9" w:rsidP="004A3547">
      <w:pPr>
        <w:spacing w:line="240" w:lineRule="auto"/>
        <w:jc w:val="center"/>
      </w:pPr>
    </w:p>
    <w:p w14:paraId="509D595E" w14:textId="77777777" w:rsidR="00954347" w:rsidRDefault="00954347" w:rsidP="004A3547">
      <w:pPr>
        <w:spacing w:line="240" w:lineRule="auto"/>
        <w:jc w:val="center"/>
      </w:pPr>
    </w:p>
    <w:p w14:paraId="4871E91D" w14:textId="7135E273" w:rsidR="004A3547" w:rsidRDefault="007704AC" w:rsidP="004A3547">
      <w:pPr>
        <w:spacing w:line="240" w:lineRule="auto"/>
        <w:jc w:val="center"/>
      </w:pPr>
      <w:r>
        <w:rPr>
          <w:noProof/>
        </w:rPr>
        <w:drawing>
          <wp:inline distT="0" distB="0" distL="0" distR="0" wp14:anchorId="3B3D3ADB" wp14:editId="428A59A1">
            <wp:extent cx="5168348" cy="4126727"/>
            <wp:effectExtent l="0" t="0" r="0" b="762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F827223" w14:textId="77777777" w:rsidR="004A3547" w:rsidRDefault="004A3547" w:rsidP="003649E9"/>
    <w:p w14:paraId="62A53588" w14:textId="77777777" w:rsidR="003649E9" w:rsidRDefault="003649E9" w:rsidP="003649E9">
      <w:pPr>
        <w:pStyle w:val="Heading4"/>
      </w:pPr>
      <w:r>
        <w:lastRenderedPageBreak/>
        <w:t xml:space="preserve">Observation Results by Indicator </w:t>
      </w:r>
    </w:p>
    <w:p w14:paraId="77039B90" w14:textId="5DBB5ECE" w:rsidR="003649E9" w:rsidRDefault="003649E9" w:rsidP="003649E9">
      <w:r>
        <w:t xml:space="preserve">Each location is scored on up to 71 different indicators.  For day programs, </w:t>
      </w:r>
      <w:r w:rsidR="006A3293">
        <w:t>5</w:t>
      </w:r>
      <w:r w:rsidR="00E14B76">
        <w:t>3</w:t>
      </w:r>
      <w:r>
        <w:t xml:space="preserve"> indicators (</w:t>
      </w:r>
      <w:r w:rsidR="006A3293">
        <w:t>7</w:t>
      </w:r>
      <w:r w:rsidR="00E14B76">
        <w:t>6.8</w:t>
      </w:r>
      <w:r>
        <w:t xml:space="preserve">%) reflected </w:t>
      </w:r>
      <w:r w:rsidR="00E14B76">
        <w:t>scores of 100 percent, compared to 13 indicators (33.3%) for the LRF Observations that had a score of 100 percent</w:t>
      </w:r>
      <w:r>
        <w:t xml:space="preserve">.  </w:t>
      </w:r>
      <w:r w:rsidR="006B36FF">
        <w:t xml:space="preserve">For Day Programs, no indicators showed a score lower than 85 percent.  </w:t>
      </w:r>
      <w:r>
        <w:t>The following indicator</w:t>
      </w:r>
      <w:r w:rsidR="007E0896">
        <w:t xml:space="preserve">s showed the lowest scores </w:t>
      </w:r>
      <w:r w:rsidR="00D31DCF">
        <w:t>to date</w:t>
      </w:r>
      <w:r w:rsidR="006B36FF">
        <w:t xml:space="preserve"> for LRF Observations</w:t>
      </w:r>
      <w:r>
        <w:t>, lower than 85 percent present:</w:t>
      </w:r>
    </w:p>
    <w:p w14:paraId="6073D880" w14:textId="77777777" w:rsidR="003649E9" w:rsidRDefault="003649E9" w:rsidP="003649E9"/>
    <w:p w14:paraId="67B009EA" w14:textId="14ACDC12" w:rsidR="006B36FF" w:rsidRPr="006B36FF" w:rsidRDefault="006B36FF" w:rsidP="003649E9">
      <w:pPr>
        <w:rPr>
          <w:b/>
        </w:rPr>
      </w:pPr>
      <w:r w:rsidRPr="006B36FF">
        <w:rPr>
          <w:b/>
        </w:rPr>
        <w:t>Low scoring indicators for LRFs</w:t>
      </w:r>
    </w:p>
    <w:p w14:paraId="574583A3" w14:textId="77777777" w:rsidR="003649E9" w:rsidRDefault="003649E9" w:rsidP="003649E9">
      <w:pPr>
        <w:spacing w:line="240" w:lineRule="auto"/>
      </w:pPr>
      <w:r>
        <w:rPr>
          <w:noProof/>
        </w:rPr>
        <mc:AlternateContent>
          <mc:Choice Requires="wps">
            <w:drawing>
              <wp:anchor distT="0" distB="0" distL="114300" distR="114300" simplePos="0" relativeHeight="251659264" behindDoc="0" locked="0" layoutInCell="1" allowOverlap="1" wp14:anchorId="18B2C916" wp14:editId="134FAE71">
                <wp:simplePos x="0" y="0"/>
                <wp:positionH relativeFrom="column">
                  <wp:posOffset>39370</wp:posOffset>
                </wp:positionH>
                <wp:positionV relativeFrom="paragraph">
                  <wp:posOffset>1378833</wp:posOffset>
                </wp:positionV>
                <wp:extent cx="5326794" cy="404633"/>
                <wp:effectExtent l="0" t="0" r="0" b="0"/>
                <wp:wrapNone/>
                <wp:docPr id="13" name="Text Box 13"/>
                <wp:cNvGraphicFramePr/>
                <a:graphic xmlns:a="http://schemas.openxmlformats.org/drawingml/2006/main">
                  <a:graphicData uri="http://schemas.microsoft.com/office/word/2010/wordprocessingShape">
                    <wps:wsp>
                      <wps:cNvSpPr txBox="1"/>
                      <wps:spPr>
                        <a:xfrm>
                          <a:off x="0" y="0"/>
                          <a:ext cx="5326794" cy="404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C611C5" w14:textId="29A8808F" w:rsidR="00460E0B" w:rsidRPr="00EB5398" w:rsidRDefault="00460E0B" w:rsidP="003649E9">
                            <w:pPr>
                              <w:rPr>
                                <w:rFonts w:asciiTheme="minorHAnsi" w:hAnsiTheme="minorHAnsi"/>
                                <w:b/>
                                <w:color w:val="FFFFFF" w:themeColor="background1"/>
                              </w:rPr>
                            </w:pPr>
                            <w:r>
                              <w:rPr>
                                <w:rFonts w:asciiTheme="minorHAnsi" w:hAnsiTheme="minorHAnsi"/>
                                <w:b/>
                                <w:color w:val="FFFFFF" w:themeColor="background1"/>
                              </w:rPr>
                              <w:t>Bedroom doors lock (81.7%, N=426))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B2C916" id="_x0000_t202" coordsize="21600,21600" o:spt="202" path="m,l,21600r21600,l21600,xe">
                <v:stroke joinstyle="miter"/>
                <v:path gradientshapeok="t" o:connecttype="rect"/>
              </v:shapetype>
              <v:shape id="Text Box 13" o:spid="_x0000_s1026" type="#_x0000_t202" style="position:absolute;margin-left:3.1pt;margin-top:108.55pt;width:419.45pt;height:31.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" filled="f" stroked="f" strokeweight=".5pt">
                <v:textbox>
                  <w:txbxContent>
                    <w:p w14:paraId="13C611C5" w14:textId="29A8808F" w:rsidR="00460E0B" w:rsidRPr="00EB5398" w:rsidRDefault="00460E0B" w:rsidP="003649E9">
                      <w:pPr>
                        <w:rPr>
                          <w:rFonts w:asciiTheme="minorHAnsi" w:hAnsiTheme="minorHAnsi"/>
                          <w:b/>
                          <w:color w:val="FFFFFF" w:themeColor="background1"/>
                        </w:rPr>
                      </w:pPr>
                      <w:r>
                        <w:rPr>
                          <w:rFonts w:asciiTheme="minorHAnsi" w:hAnsiTheme="minorHAnsi"/>
                          <w:b/>
                          <w:color w:val="FFFFFF" w:themeColor="background1"/>
                        </w:rPr>
                        <w:t>Bedroom doors lock (81.7%, N=426))</w:t>
                      </w:r>
                    </w:p>
                  </w:txbxContent>
                </v:textbox>
              </v:shape>
            </w:pict>
          </mc:Fallback>
        </mc:AlternateContent>
      </w:r>
      <w:r>
        <w:rPr>
          <w:noProof/>
        </w:rPr>
        <w:drawing>
          <wp:inline distT="0" distB="0" distL="0" distR="0" wp14:anchorId="2ADD9223" wp14:editId="0A872EB9">
            <wp:extent cx="5470497" cy="1789043"/>
            <wp:effectExtent l="38100" t="0" r="16510" b="1905"/>
            <wp:docPr id="24"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47F07C3" w14:textId="5A609A53" w:rsidR="006B36FF" w:rsidRDefault="006B36FF" w:rsidP="006B36FF">
      <w:pPr>
        <w:spacing w:line="240" w:lineRule="auto"/>
      </w:pPr>
      <w:bookmarkStart w:id="56" w:name="_Toc369864680"/>
    </w:p>
    <w:p w14:paraId="1329BF60" w14:textId="0FA9CE74" w:rsidR="003649E9" w:rsidRDefault="003649E9" w:rsidP="001B6245">
      <w:pPr>
        <w:pStyle w:val="Heading3"/>
      </w:pPr>
      <w:bookmarkStart w:id="57" w:name="_Toc459080647"/>
      <w:r w:rsidRPr="00CC11AD">
        <w:t>Administrative Policy and Procedure</w:t>
      </w:r>
      <w:bookmarkEnd w:id="56"/>
      <w:bookmarkEnd w:id="57"/>
    </w:p>
    <w:p w14:paraId="29637D71" w14:textId="40C2A62E" w:rsidR="00C9152E" w:rsidRDefault="003649E9" w:rsidP="003649E9">
      <w:r w:rsidRPr="009D79F7">
        <w:t xml:space="preserve">Each </w:t>
      </w:r>
      <w:r w:rsidR="00807B1F">
        <w:t>agency</w:t>
      </w:r>
      <w:r w:rsidR="007408F6">
        <w:t xml:space="preserve"> </w:t>
      </w:r>
      <w:r w:rsidRPr="009D79F7">
        <w:t>provider is reviewed to determine compliance with Policies and Procedures as dictated in the Florida Medicaid Developmental Disabilities Waiver Serv</w:t>
      </w:r>
      <w:r>
        <w:t>ices and Limitations Handbook. Each standard is scored as Met, Not Met, or Not Applicable.  Results for all P&amp;P Standards reviewed</w:t>
      </w:r>
      <w:r w:rsidR="006927A0">
        <w:t xml:space="preserve"> to date</w:t>
      </w:r>
      <w:r>
        <w:t xml:space="preserve"> this year are shown in Table 17 and indicate a high degree of compliance across most standards for both service </w:t>
      </w:r>
      <w:r w:rsidRPr="003728F5">
        <w:t>providers (</w:t>
      </w:r>
      <w:r w:rsidR="003728F5" w:rsidRPr="003728F5">
        <w:t>93.0</w:t>
      </w:r>
      <w:r w:rsidRPr="003728F5">
        <w:t xml:space="preserve">%) and support </w:t>
      </w:r>
      <w:r w:rsidRPr="00C9152E">
        <w:t>coordinators (</w:t>
      </w:r>
      <w:r w:rsidR="00C9152E" w:rsidRPr="00C9152E">
        <w:t>98.2</w:t>
      </w:r>
      <w:r w:rsidRPr="00C9152E">
        <w:t>%).</w:t>
      </w:r>
      <w:r w:rsidR="007506B6" w:rsidRPr="00C9152E">
        <w:rPr>
          <w:rStyle w:val="FootnoteReference"/>
        </w:rPr>
        <w:footnoteReference w:id="12"/>
      </w:r>
      <w:r w:rsidRPr="00C9152E">
        <w:t xml:space="preserve">  </w:t>
      </w:r>
      <w:r w:rsidR="00094EBF" w:rsidRPr="00C9152E">
        <w:t>Findings</w:t>
      </w:r>
      <w:r w:rsidR="00094EBF">
        <w:t xml:space="preserve"> by region </w:t>
      </w:r>
      <w:r w:rsidR="00C9152E">
        <w:t xml:space="preserve">are presented in </w:t>
      </w:r>
      <w:r w:rsidR="00094EBF">
        <w:t>Table 1</w:t>
      </w:r>
      <w:r w:rsidR="003505F2">
        <w:t>8</w:t>
      </w:r>
      <w:r w:rsidR="00094EBF">
        <w:t>.</w:t>
      </w:r>
      <w:r w:rsidR="00807B1F">
        <w:rPr>
          <w:rStyle w:val="FootnoteReference"/>
        </w:rPr>
        <w:footnoteReference w:id="13"/>
      </w:r>
      <w:r w:rsidR="007408F6">
        <w:t xml:space="preserve"> </w:t>
      </w:r>
      <w:r w:rsidR="00C9152E">
        <w:t>Service providers were least likely to have documentation detailing their management of personal funds for individuals receiving services.</w:t>
      </w:r>
      <w:r w:rsidR="00C82F55">
        <w:t xml:space="preserve"> There is little variation across regions.</w:t>
      </w:r>
    </w:p>
    <w:p w14:paraId="62A6A941" w14:textId="77777777" w:rsidR="00341DD6" w:rsidRDefault="00341DD6" w:rsidP="003649E9"/>
    <w:p w14:paraId="76A9296E" w14:textId="77777777" w:rsidR="003649E9" w:rsidRDefault="003649E9" w:rsidP="003649E9"/>
    <w:tbl>
      <w:tblPr>
        <w:tblStyle w:val="MediumShading1-Accent5"/>
        <w:tblW w:w="9812" w:type="dxa"/>
        <w:tblLayout w:type="fixed"/>
        <w:tblLook w:val="04A0" w:firstRow="1" w:lastRow="0" w:firstColumn="1" w:lastColumn="0" w:noHBand="0" w:noVBand="1"/>
      </w:tblPr>
      <w:tblGrid>
        <w:gridCol w:w="5328"/>
        <w:gridCol w:w="1260"/>
        <w:gridCol w:w="990"/>
        <w:gridCol w:w="1260"/>
        <w:gridCol w:w="974"/>
      </w:tblGrid>
      <w:tr w:rsidR="003649E9" w:rsidRPr="000E2DA2" w14:paraId="7670463B" w14:textId="77777777" w:rsidTr="003649E9">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812" w:type="dxa"/>
            <w:gridSpan w:val="5"/>
            <w:tcBorders>
              <w:top w:val="single" w:sz="12" w:space="0" w:color="78C0D4" w:themeColor="accent5" w:themeTint="BF"/>
              <w:left w:val="single" w:sz="12" w:space="0" w:color="78C0D4" w:themeColor="accent5" w:themeTint="BF"/>
              <w:right w:val="single" w:sz="12" w:space="0" w:color="78C0D4" w:themeColor="accent5" w:themeTint="BF"/>
            </w:tcBorders>
            <w:shd w:val="clear" w:color="auto" w:fill="215868" w:themeFill="accent5" w:themeFillShade="80"/>
            <w:noWrap/>
            <w:vAlign w:val="bottom"/>
            <w:hideMark/>
          </w:tcPr>
          <w:p w14:paraId="52A74789" w14:textId="2AE377A8" w:rsidR="003649E9" w:rsidRPr="00FC6EF6" w:rsidRDefault="003649E9" w:rsidP="003505F2">
            <w:pPr>
              <w:spacing w:line="240" w:lineRule="auto"/>
              <w:jc w:val="center"/>
              <w:rPr>
                <w:rFonts w:ascii="Franklin Gothic Medium" w:eastAsia="Times New Roman" w:hAnsi="Franklin Gothic Medium" w:cs="Times New Roman"/>
                <w:b w:val="0"/>
                <w:color w:val="000000"/>
                <w:szCs w:val="24"/>
              </w:rPr>
            </w:pPr>
            <w:bookmarkStart w:id="58" w:name="_Toc369864681"/>
            <w:r w:rsidRPr="00FC6EF6">
              <w:rPr>
                <w:rFonts w:ascii="Franklin Gothic Medium" w:eastAsia="Times New Roman" w:hAnsi="Franklin Gothic Medium" w:cs="Times New Roman"/>
                <w:b w:val="0"/>
                <w:szCs w:val="24"/>
              </w:rPr>
              <w:lastRenderedPageBreak/>
              <w:t>Table 1</w:t>
            </w:r>
            <w:r w:rsidR="003505F2">
              <w:rPr>
                <w:rFonts w:ascii="Franklin Gothic Medium" w:eastAsia="Times New Roman" w:hAnsi="Franklin Gothic Medium" w:cs="Times New Roman"/>
                <w:b w:val="0"/>
                <w:szCs w:val="24"/>
              </w:rPr>
              <w:t>7</w:t>
            </w:r>
            <w:r w:rsidRPr="00FC6EF6">
              <w:rPr>
                <w:rFonts w:ascii="Franklin Gothic Medium" w:eastAsia="Times New Roman" w:hAnsi="Franklin Gothic Medium" w:cs="Times New Roman"/>
                <w:b w:val="0"/>
                <w:szCs w:val="24"/>
              </w:rPr>
              <w:t>:  PDR Policies and Procedures Results by Standard</w:t>
            </w:r>
            <w:r w:rsidR="00FC5D73">
              <w:rPr>
                <w:rFonts w:ascii="Franklin Gothic Medium" w:eastAsia="Times New Roman" w:hAnsi="Franklin Gothic Medium" w:cs="Times New Roman"/>
                <w:b w:val="0"/>
                <w:szCs w:val="24"/>
              </w:rPr>
              <w:t xml:space="preserve"> </w:t>
            </w:r>
          </w:p>
        </w:tc>
      </w:tr>
      <w:tr w:rsidR="003649E9" w:rsidRPr="000E2DA2" w14:paraId="4B4C35F7" w14:textId="77777777" w:rsidTr="003649E9">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9812" w:type="dxa"/>
            <w:gridSpan w:val="5"/>
            <w:tcBorders>
              <w:left w:val="single" w:sz="12" w:space="0" w:color="78C0D4" w:themeColor="accent5" w:themeTint="BF"/>
              <w:bottom w:val="single" w:sz="4" w:space="0" w:color="auto"/>
              <w:right w:val="single" w:sz="12" w:space="0" w:color="78C0D4" w:themeColor="accent5" w:themeTint="BF"/>
            </w:tcBorders>
            <w:shd w:val="clear" w:color="auto" w:fill="215868" w:themeFill="accent5" w:themeFillShade="80"/>
            <w:noWrap/>
            <w:vAlign w:val="bottom"/>
            <w:hideMark/>
          </w:tcPr>
          <w:p w14:paraId="4C43421D" w14:textId="795A0756" w:rsidR="003649E9" w:rsidRPr="00FC6EF6" w:rsidRDefault="003649E9" w:rsidP="003728F5">
            <w:pPr>
              <w:spacing w:line="240" w:lineRule="auto"/>
              <w:jc w:val="center"/>
              <w:rPr>
                <w:rFonts w:ascii="Franklin Gothic Medium" w:eastAsia="Times New Roman" w:hAnsi="Franklin Gothic Medium" w:cs="Times New Roman"/>
                <w:b w:val="0"/>
                <w:szCs w:val="24"/>
              </w:rPr>
            </w:pPr>
            <w:r w:rsidRPr="00FC6EF6">
              <w:rPr>
                <w:rFonts w:ascii="Franklin Gothic Medium" w:eastAsia="Times New Roman" w:hAnsi="Franklin Gothic Medium" w:cs="Times New Roman"/>
                <w:b w:val="0"/>
                <w:szCs w:val="24"/>
              </w:rPr>
              <w:t xml:space="preserve">January - </w:t>
            </w:r>
            <w:r w:rsidR="003728F5">
              <w:rPr>
                <w:rFonts w:ascii="Franklin Gothic Medium" w:eastAsia="Times New Roman" w:hAnsi="Franklin Gothic Medium" w:cs="Times New Roman"/>
                <w:b w:val="0"/>
                <w:szCs w:val="24"/>
              </w:rPr>
              <w:t>June</w:t>
            </w:r>
            <w:r w:rsidRPr="00FC6EF6">
              <w:rPr>
                <w:rFonts w:ascii="Franklin Gothic Medium" w:eastAsia="Times New Roman" w:hAnsi="Franklin Gothic Medium" w:cs="Times New Roman"/>
                <w:b w:val="0"/>
                <w:szCs w:val="24"/>
              </w:rPr>
              <w:t xml:space="preserve"> 2016</w:t>
            </w:r>
          </w:p>
        </w:tc>
      </w:tr>
      <w:tr w:rsidR="00A65428" w:rsidRPr="000E2DA2" w14:paraId="304D4AD1" w14:textId="77777777" w:rsidTr="00A65428">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5328" w:type="dxa"/>
            <w:tcBorders>
              <w:top w:val="single" w:sz="4" w:space="0" w:color="auto"/>
              <w:left w:val="single" w:sz="12" w:space="0" w:color="78C0D4" w:themeColor="accent5" w:themeTint="BF"/>
              <w:right w:val="double" w:sz="4" w:space="0" w:color="auto"/>
            </w:tcBorders>
            <w:noWrap/>
            <w:vAlign w:val="bottom"/>
          </w:tcPr>
          <w:p w14:paraId="44C47AEC" w14:textId="77777777" w:rsidR="00A65428" w:rsidRPr="00FC6EF6" w:rsidRDefault="00A65428" w:rsidP="003649E9">
            <w:pPr>
              <w:spacing w:line="240" w:lineRule="auto"/>
              <w:rPr>
                <w:rFonts w:ascii="Calibri" w:eastAsia="Times New Roman" w:hAnsi="Calibri" w:cs="Times New Roman"/>
                <w:color w:val="000000"/>
                <w:szCs w:val="24"/>
              </w:rPr>
            </w:pPr>
          </w:p>
        </w:tc>
        <w:tc>
          <w:tcPr>
            <w:tcW w:w="2250" w:type="dxa"/>
            <w:gridSpan w:val="2"/>
            <w:tcBorders>
              <w:top w:val="single" w:sz="4" w:space="0" w:color="auto"/>
              <w:left w:val="double" w:sz="4" w:space="0" w:color="auto"/>
              <w:right w:val="double" w:sz="4" w:space="0" w:color="auto"/>
            </w:tcBorders>
            <w:vAlign w:val="bottom"/>
          </w:tcPr>
          <w:p w14:paraId="362F3DB0" w14:textId="67F83F68" w:rsidR="00A65428" w:rsidRPr="00FC6EF6" w:rsidRDefault="00A65428"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Pr>
                <w:rFonts w:ascii="Calibri" w:eastAsia="Times New Roman" w:hAnsi="Calibri" w:cs="Times New Roman"/>
                <w:color w:val="000000"/>
                <w:szCs w:val="24"/>
              </w:rPr>
              <w:t>Service Providers</w:t>
            </w:r>
          </w:p>
        </w:tc>
        <w:tc>
          <w:tcPr>
            <w:tcW w:w="2234" w:type="dxa"/>
            <w:gridSpan w:val="2"/>
            <w:tcBorders>
              <w:top w:val="single" w:sz="4" w:space="0" w:color="auto"/>
              <w:left w:val="double" w:sz="4" w:space="0" w:color="auto"/>
              <w:right w:val="single" w:sz="12" w:space="0" w:color="78C0D4" w:themeColor="accent5" w:themeTint="BF"/>
            </w:tcBorders>
            <w:vAlign w:val="bottom"/>
          </w:tcPr>
          <w:p w14:paraId="3714B415" w14:textId="17136A2C" w:rsidR="00A65428" w:rsidRPr="00FC6EF6" w:rsidRDefault="00A65428"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Pr>
                <w:rFonts w:ascii="Calibri" w:eastAsia="Times New Roman" w:hAnsi="Calibri" w:cs="Times New Roman"/>
                <w:color w:val="000000"/>
                <w:szCs w:val="24"/>
              </w:rPr>
              <w:t>WSCs</w:t>
            </w:r>
          </w:p>
        </w:tc>
      </w:tr>
      <w:tr w:rsidR="003649E9" w:rsidRPr="000E2DA2" w14:paraId="17EFEBBB" w14:textId="77777777" w:rsidTr="003649E9">
        <w:trPr>
          <w:cnfStyle w:val="100000000000" w:firstRow="1" w:lastRow="0" w:firstColumn="0" w:lastColumn="0" w:oddVBand="0" w:evenVBand="0" w:oddHBand="0" w:evenHBand="0" w:firstRowFirstColumn="0" w:firstRowLastColumn="0" w:lastRowFirstColumn="0" w:lastRowLastColumn="0"/>
          <w:trHeight w:val="520"/>
          <w:tblHeader/>
        </w:trPr>
        <w:tc>
          <w:tcPr>
            <w:cnfStyle w:val="001000000000" w:firstRow="0" w:lastRow="0" w:firstColumn="1" w:lastColumn="0" w:oddVBand="0" w:evenVBand="0" w:oddHBand="0" w:evenHBand="0" w:firstRowFirstColumn="0" w:firstRowLastColumn="0" w:lastRowFirstColumn="0" w:lastRowLastColumn="0"/>
            <w:tcW w:w="5328" w:type="dxa"/>
            <w:tcBorders>
              <w:top w:val="single" w:sz="4" w:space="0" w:color="auto"/>
              <w:left w:val="single" w:sz="12" w:space="0" w:color="78C0D4" w:themeColor="accent5" w:themeTint="BF"/>
              <w:right w:val="double" w:sz="4" w:space="0" w:color="auto"/>
            </w:tcBorders>
            <w:noWrap/>
            <w:vAlign w:val="bottom"/>
            <w:hideMark/>
          </w:tcPr>
          <w:p w14:paraId="3FD8FDE8" w14:textId="77777777" w:rsidR="003649E9" w:rsidRPr="00FC6EF6" w:rsidRDefault="003649E9" w:rsidP="003649E9">
            <w:pPr>
              <w:spacing w:line="240" w:lineRule="auto"/>
              <w:rPr>
                <w:rFonts w:ascii="Calibri" w:eastAsia="Times New Roman" w:hAnsi="Calibri" w:cs="Times New Roman"/>
                <w:color w:val="000000"/>
                <w:szCs w:val="24"/>
              </w:rPr>
            </w:pPr>
            <w:r w:rsidRPr="00FC6EF6">
              <w:rPr>
                <w:rFonts w:ascii="Calibri" w:eastAsia="Times New Roman" w:hAnsi="Calibri" w:cs="Times New Roman"/>
                <w:color w:val="000000"/>
                <w:szCs w:val="24"/>
              </w:rPr>
              <w:t>P&amp;P Standard</w:t>
            </w:r>
          </w:p>
        </w:tc>
        <w:tc>
          <w:tcPr>
            <w:tcW w:w="1260" w:type="dxa"/>
            <w:tcBorders>
              <w:top w:val="single" w:sz="4" w:space="0" w:color="auto"/>
              <w:left w:val="double" w:sz="4" w:space="0" w:color="auto"/>
            </w:tcBorders>
            <w:vAlign w:val="bottom"/>
            <w:hideMark/>
          </w:tcPr>
          <w:p w14:paraId="02917165" w14:textId="77777777" w:rsidR="003649E9" w:rsidRPr="00FC6EF6"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FC6EF6">
              <w:rPr>
                <w:rFonts w:ascii="Calibri" w:eastAsia="Times New Roman" w:hAnsi="Calibri" w:cs="Times New Roman"/>
                <w:color w:val="000000"/>
                <w:szCs w:val="24"/>
              </w:rPr>
              <w:t># Reviewed</w:t>
            </w:r>
          </w:p>
        </w:tc>
        <w:tc>
          <w:tcPr>
            <w:tcW w:w="990" w:type="dxa"/>
            <w:tcBorders>
              <w:top w:val="single" w:sz="4" w:space="0" w:color="auto"/>
              <w:right w:val="double" w:sz="4" w:space="0" w:color="auto"/>
            </w:tcBorders>
            <w:vAlign w:val="bottom"/>
            <w:hideMark/>
          </w:tcPr>
          <w:p w14:paraId="20B7E771" w14:textId="77777777" w:rsidR="003649E9" w:rsidRPr="00FC6EF6"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FC6EF6">
              <w:rPr>
                <w:rFonts w:ascii="Calibri" w:eastAsia="Times New Roman" w:hAnsi="Calibri" w:cs="Times New Roman"/>
                <w:color w:val="000000"/>
                <w:szCs w:val="24"/>
              </w:rPr>
              <w:t xml:space="preserve">% </w:t>
            </w:r>
          </w:p>
          <w:p w14:paraId="4A3692EC" w14:textId="77777777" w:rsidR="003649E9" w:rsidRPr="00FC6EF6"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FC6EF6">
              <w:rPr>
                <w:rFonts w:ascii="Calibri" w:eastAsia="Times New Roman" w:hAnsi="Calibri" w:cs="Times New Roman"/>
                <w:color w:val="000000"/>
                <w:szCs w:val="24"/>
              </w:rPr>
              <w:t>Met</w:t>
            </w:r>
          </w:p>
        </w:tc>
        <w:tc>
          <w:tcPr>
            <w:tcW w:w="1260" w:type="dxa"/>
            <w:tcBorders>
              <w:top w:val="single" w:sz="4" w:space="0" w:color="auto"/>
              <w:left w:val="double" w:sz="4" w:space="0" w:color="auto"/>
            </w:tcBorders>
            <w:vAlign w:val="bottom"/>
            <w:hideMark/>
          </w:tcPr>
          <w:p w14:paraId="2AAF5368" w14:textId="77777777" w:rsidR="003649E9" w:rsidRPr="00FC6EF6"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FC6EF6">
              <w:rPr>
                <w:rFonts w:ascii="Calibri" w:eastAsia="Times New Roman" w:hAnsi="Calibri" w:cs="Times New Roman"/>
                <w:color w:val="000000"/>
                <w:szCs w:val="24"/>
              </w:rPr>
              <w:t># Reviewed</w:t>
            </w:r>
          </w:p>
        </w:tc>
        <w:tc>
          <w:tcPr>
            <w:tcW w:w="974" w:type="dxa"/>
            <w:tcBorders>
              <w:top w:val="single" w:sz="4" w:space="0" w:color="auto"/>
              <w:right w:val="single" w:sz="12" w:space="0" w:color="78C0D4" w:themeColor="accent5" w:themeTint="BF"/>
            </w:tcBorders>
            <w:vAlign w:val="bottom"/>
            <w:hideMark/>
          </w:tcPr>
          <w:p w14:paraId="231F974C" w14:textId="77777777" w:rsidR="003649E9" w:rsidRPr="00FC6EF6"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FC6EF6">
              <w:rPr>
                <w:rFonts w:ascii="Calibri" w:eastAsia="Times New Roman" w:hAnsi="Calibri" w:cs="Times New Roman"/>
                <w:color w:val="000000"/>
                <w:szCs w:val="24"/>
              </w:rPr>
              <w:t xml:space="preserve">% </w:t>
            </w:r>
          </w:p>
          <w:p w14:paraId="0DFC0246" w14:textId="77777777" w:rsidR="003649E9" w:rsidRPr="00FC6EF6"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Cs w:val="24"/>
              </w:rPr>
            </w:pPr>
            <w:r w:rsidRPr="00FC6EF6">
              <w:rPr>
                <w:rFonts w:ascii="Calibri" w:eastAsia="Times New Roman" w:hAnsi="Calibri" w:cs="Times New Roman"/>
                <w:color w:val="000000"/>
                <w:szCs w:val="24"/>
              </w:rPr>
              <w:t>Met</w:t>
            </w:r>
          </w:p>
        </w:tc>
      </w:tr>
      <w:tr w:rsidR="003728F5" w:rsidRPr="00C9152E" w14:paraId="2589BA9A" w14:textId="77777777" w:rsidTr="00FA0D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bottom w:val="single" w:sz="8" w:space="0" w:color="78C0D4" w:themeColor="accent5" w:themeTint="BF"/>
              <w:right w:val="double" w:sz="4" w:space="0" w:color="auto"/>
            </w:tcBorders>
            <w:vAlign w:val="bottom"/>
            <w:hideMark/>
          </w:tcPr>
          <w:p w14:paraId="6A333687" w14:textId="54CFE792" w:rsidR="003728F5" w:rsidRPr="00FA0DC6" w:rsidRDefault="003728F5" w:rsidP="00FA0DC6">
            <w:pPr>
              <w:spacing w:line="240" w:lineRule="auto"/>
              <w:rPr>
                <w:rFonts w:ascii="Calibri" w:hAnsi="Calibri"/>
                <w:b w:val="0"/>
                <w:color w:val="000000"/>
                <w:sz w:val="22"/>
              </w:rPr>
            </w:pPr>
            <w:r w:rsidRPr="00FA0DC6">
              <w:rPr>
                <w:rFonts w:ascii="Calibri" w:hAnsi="Calibri"/>
                <w:b w:val="0"/>
                <w:color w:val="000000"/>
                <w:sz w:val="22"/>
              </w:rPr>
              <w:t>If provider operates Intensive Behavior group homes the Program or Clinical Services Director meets the qualifications of a Level 1 Behavior Analyst.</w:t>
            </w:r>
          </w:p>
        </w:tc>
        <w:tc>
          <w:tcPr>
            <w:tcW w:w="1260" w:type="dxa"/>
            <w:tcBorders>
              <w:left w:val="double" w:sz="4" w:space="0" w:color="auto"/>
              <w:bottom w:val="single" w:sz="8" w:space="0" w:color="78C0D4" w:themeColor="accent5" w:themeTint="BF"/>
            </w:tcBorders>
            <w:vAlign w:val="center"/>
            <w:hideMark/>
          </w:tcPr>
          <w:p w14:paraId="49BFD1D4" w14:textId="0EBEDCED" w:rsidR="003728F5" w:rsidRDefault="003728F5"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13</w:t>
            </w:r>
          </w:p>
        </w:tc>
        <w:tc>
          <w:tcPr>
            <w:tcW w:w="990" w:type="dxa"/>
            <w:tcBorders>
              <w:bottom w:val="single" w:sz="8" w:space="0" w:color="78C0D4" w:themeColor="accent5" w:themeTint="BF"/>
              <w:right w:val="double" w:sz="4" w:space="0" w:color="auto"/>
            </w:tcBorders>
            <w:vAlign w:val="center"/>
            <w:hideMark/>
          </w:tcPr>
          <w:p w14:paraId="5EE1845C" w14:textId="46F1AF3A" w:rsidR="003728F5" w:rsidRDefault="003728F5"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100.0%</w:t>
            </w:r>
          </w:p>
        </w:tc>
        <w:tc>
          <w:tcPr>
            <w:tcW w:w="1260" w:type="dxa"/>
            <w:tcBorders>
              <w:left w:val="double" w:sz="4" w:space="0" w:color="auto"/>
              <w:bottom w:val="single" w:sz="8" w:space="0" w:color="78C0D4" w:themeColor="accent5" w:themeTint="BF"/>
            </w:tcBorders>
            <w:noWrap/>
            <w:vAlign w:val="center"/>
            <w:hideMark/>
          </w:tcPr>
          <w:p w14:paraId="0C9FAF2B" w14:textId="77777777" w:rsidR="003728F5" w:rsidRPr="00C9152E" w:rsidRDefault="003728F5"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9152E">
              <w:rPr>
                <w:rFonts w:ascii="Calibri" w:eastAsia="Times New Roman" w:hAnsi="Calibri" w:cs="Times New Roman"/>
                <w:color w:val="000000"/>
                <w:sz w:val="22"/>
              </w:rPr>
              <w:t>NA</w:t>
            </w:r>
          </w:p>
        </w:tc>
        <w:tc>
          <w:tcPr>
            <w:tcW w:w="974" w:type="dxa"/>
            <w:tcBorders>
              <w:bottom w:val="single" w:sz="8" w:space="0" w:color="78C0D4" w:themeColor="accent5" w:themeTint="BF"/>
              <w:right w:val="single" w:sz="12" w:space="0" w:color="78C0D4" w:themeColor="accent5" w:themeTint="BF"/>
            </w:tcBorders>
            <w:noWrap/>
            <w:vAlign w:val="center"/>
            <w:hideMark/>
          </w:tcPr>
          <w:p w14:paraId="650FADC1" w14:textId="77777777" w:rsidR="003728F5" w:rsidRPr="00C9152E" w:rsidRDefault="003728F5"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9152E">
              <w:rPr>
                <w:rFonts w:ascii="Calibri" w:eastAsia="Times New Roman" w:hAnsi="Calibri" w:cs="Times New Roman"/>
                <w:color w:val="000000"/>
                <w:sz w:val="22"/>
              </w:rPr>
              <w:t>NA</w:t>
            </w:r>
          </w:p>
        </w:tc>
      </w:tr>
      <w:tr w:rsidR="003728F5" w:rsidRPr="00C9152E" w14:paraId="1516C725" w14:textId="77777777" w:rsidTr="00FA0D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shd w:val="clear" w:color="auto" w:fill="auto"/>
            <w:vAlign w:val="bottom"/>
            <w:hideMark/>
          </w:tcPr>
          <w:p w14:paraId="2FC87898" w14:textId="55BF58F9" w:rsidR="003728F5" w:rsidRPr="00FA0DC6" w:rsidRDefault="003728F5" w:rsidP="00FA0DC6">
            <w:pPr>
              <w:spacing w:line="240" w:lineRule="auto"/>
              <w:rPr>
                <w:rFonts w:ascii="Calibri" w:hAnsi="Calibri"/>
                <w:b w:val="0"/>
                <w:color w:val="000000"/>
                <w:sz w:val="22"/>
              </w:rPr>
            </w:pPr>
            <w:r w:rsidRPr="00FA0DC6">
              <w:rPr>
                <w:rFonts w:ascii="Calibri" w:hAnsi="Calibri"/>
                <w:b w:val="0"/>
                <w:color w:val="000000"/>
                <w:sz w:val="22"/>
              </w:rPr>
              <w:t>Agency vehicles used for transportation are properly insured.</w:t>
            </w:r>
          </w:p>
        </w:tc>
        <w:tc>
          <w:tcPr>
            <w:tcW w:w="1260" w:type="dxa"/>
            <w:tcBorders>
              <w:left w:val="double" w:sz="4" w:space="0" w:color="auto"/>
            </w:tcBorders>
            <w:shd w:val="clear" w:color="auto" w:fill="auto"/>
            <w:vAlign w:val="center"/>
            <w:hideMark/>
          </w:tcPr>
          <w:p w14:paraId="38C7201B" w14:textId="2F933A55" w:rsidR="003728F5" w:rsidRDefault="003728F5"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230</w:t>
            </w:r>
          </w:p>
        </w:tc>
        <w:tc>
          <w:tcPr>
            <w:tcW w:w="990" w:type="dxa"/>
            <w:tcBorders>
              <w:right w:val="double" w:sz="4" w:space="0" w:color="auto"/>
            </w:tcBorders>
            <w:shd w:val="clear" w:color="auto" w:fill="auto"/>
            <w:vAlign w:val="center"/>
            <w:hideMark/>
          </w:tcPr>
          <w:p w14:paraId="4A279130" w14:textId="0FC107F0" w:rsidR="003728F5" w:rsidRDefault="003728F5"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98.3%</w:t>
            </w:r>
          </w:p>
        </w:tc>
        <w:tc>
          <w:tcPr>
            <w:tcW w:w="1260" w:type="dxa"/>
            <w:tcBorders>
              <w:left w:val="double" w:sz="4" w:space="0" w:color="auto"/>
            </w:tcBorders>
            <w:shd w:val="clear" w:color="auto" w:fill="auto"/>
            <w:noWrap/>
            <w:vAlign w:val="center"/>
            <w:hideMark/>
          </w:tcPr>
          <w:p w14:paraId="6AF9AF0F" w14:textId="77777777" w:rsidR="003728F5" w:rsidRPr="00C9152E" w:rsidRDefault="003728F5" w:rsidP="003649E9">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9152E">
              <w:rPr>
                <w:rFonts w:ascii="Calibri" w:eastAsia="Times New Roman" w:hAnsi="Calibri" w:cs="Times New Roman"/>
                <w:color w:val="000000"/>
                <w:sz w:val="22"/>
              </w:rPr>
              <w:t>NA</w:t>
            </w:r>
          </w:p>
        </w:tc>
        <w:tc>
          <w:tcPr>
            <w:tcW w:w="974" w:type="dxa"/>
            <w:tcBorders>
              <w:right w:val="single" w:sz="12" w:space="0" w:color="78C0D4" w:themeColor="accent5" w:themeTint="BF"/>
            </w:tcBorders>
            <w:shd w:val="clear" w:color="auto" w:fill="auto"/>
            <w:noWrap/>
            <w:vAlign w:val="center"/>
            <w:hideMark/>
          </w:tcPr>
          <w:p w14:paraId="07BDBD60" w14:textId="77777777" w:rsidR="003728F5" w:rsidRPr="00C9152E" w:rsidRDefault="003728F5" w:rsidP="003649E9">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9152E">
              <w:rPr>
                <w:rFonts w:ascii="Calibri" w:eastAsia="Times New Roman" w:hAnsi="Calibri" w:cs="Times New Roman"/>
                <w:color w:val="000000"/>
                <w:sz w:val="22"/>
              </w:rPr>
              <w:t>NA</w:t>
            </w:r>
          </w:p>
        </w:tc>
      </w:tr>
      <w:tr w:rsidR="003728F5" w:rsidRPr="00C9152E" w14:paraId="5C276065" w14:textId="77777777" w:rsidTr="00FA0DC6">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25E2A3EB" w14:textId="4D6ADC35" w:rsidR="003728F5" w:rsidRPr="00FA0DC6" w:rsidRDefault="003728F5" w:rsidP="00FA0DC6">
            <w:pPr>
              <w:spacing w:line="240" w:lineRule="auto"/>
              <w:rPr>
                <w:rFonts w:ascii="Calibri" w:hAnsi="Calibri"/>
                <w:b w:val="0"/>
                <w:color w:val="000000"/>
                <w:sz w:val="22"/>
              </w:rPr>
            </w:pPr>
            <w:r w:rsidRPr="00FA0DC6">
              <w:rPr>
                <w:rFonts w:ascii="Calibri" w:hAnsi="Calibri"/>
                <w:b w:val="0"/>
                <w:color w:val="000000"/>
                <w:sz w:val="22"/>
              </w:rPr>
              <w:t>Agency vehicles used for transportation are properly registered.</w:t>
            </w:r>
          </w:p>
        </w:tc>
        <w:tc>
          <w:tcPr>
            <w:tcW w:w="1260" w:type="dxa"/>
            <w:tcBorders>
              <w:left w:val="double" w:sz="4" w:space="0" w:color="auto"/>
            </w:tcBorders>
            <w:vAlign w:val="center"/>
            <w:hideMark/>
          </w:tcPr>
          <w:p w14:paraId="02B7412C" w14:textId="599CDF2F" w:rsidR="003728F5" w:rsidRDefault="003728F5"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231</w:t>
            </w:r>
          </w:p>
        </w:tc>
        <w:tc>
          <w:tcPr>
            <w:tcW w:w="990" w:type="dxa"/>
            <w:tcBorders>
              <w:right w:val="double" w:sz="4" w:space="0" w:color="auto"/>
            </w:tcBorders>
            <w:vAlign w:val="center"/>
            <w:hideMark/>
          </w:tcPr>
          <w:p w14:paraId="4B4BDD72" w14:textId="721898CD" w:rsidR="003728F5" w:rsidRDefault="003728F5"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96.5%</w:t>
            </w:r>
          </w:p>
        </w:tc>
        <w:tc>
          <w:tcPr>
            <w:tcW w:w="1260" w:type="dxa"/>
            <w:tcBorders>
              <w:left w:val="double" w:sz="4" w:space="0" w:color="auto"/>
            </w:tcBorders>
            <w:noWrap/>
            <w:vAlign w:val="center"/>
            <w:hideMark/>
          </w:tcPr>
          <w:p w14:paraId="387B3B8E" w14:textId="77777777" w:rsidR="003728F5" w:rsidRPr="00C9152E" w:rsidRDefault="003728F5"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9152E">
              <w:rPr>
                <w:rFonts w:ascii="Calibri" w:eastAsia="Times New Roman" w:hAnsi="Calibri" w:cs="Times New Roman"/>
                <w:color w:val="000000"/>
                <w:sz w:val="22"/>
              </w:rPr>
              <w:t>NA</w:t>
            </w:r>
          </w:p>
        </w:tc>
        <w:tc>
          <w:tcPr>
            <w:tcW w:w="974" w:type="dxa"/>
            <w:tcBorders>
              <w:right w:val="single" w:sz="12" w:space="0" w:color="78C0D4" w:themeColor="accent5" w:themeTint="BF"/>
            </w:tcBorders>
            <w:noWrap/>
            <w:vAlign w:val="center"/>
            <w:hideMark/>
          </w:tcPr>
          <w:p w14:paraId="6AA87898" w14:textId="77777777" w:rsidR="003728F5" w:rsidRPr="00C9152E" w:rsidRDefault="003728F5"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9152E">
              <w:rPr>
                <w:rFonts w:ascii="Calibri" w:eastAsia="Times New Roman" w:hAnsi="Calibri" w:cs="Times New Roman"/>
                <w:color w:val="000000"/>
                <w:sz w:val="22"/>
              </w:rPr>
              <w:t>NA</w:t>
            </w:r>
          </w:p>
        </w:tc>
      </w:tr>
      <w:tr w:rsidR="00954347" w:rsidRPr="00C9152E" w14:paraId="0C5CDBCE" w14:textId="77777777" w:rsidTr="00FA0DC6">
        <w:trPr>
          <w:cnfStyle w:val="000000010000" w:firstRow="0" w:lastRow="0" w:firstColumn="0" w:lastColumn="0" w:oddVBand="0" w:evenVBand="0" w:oddHBand="0" w:evenHBand="1" w:firstRowFirstColumn="0" w:firstRowLastColumn="0" w:lastRowFirstColumn="0" w:lastRowLastColumn="0"/>
          <w:trHeight w:val="1096"/>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6DA9E239" w14:textId="186DA1CF" w:rsidR="00954347" w:rsidRPr="00FA0DC6" w:rsidRDefault="00954347" w:rsidP="00FA0DC6">
            <w:pPr>
              <w:spacing w:line="240" w:lineRule="auto"/>
              <w:rPr>
                <w:rFonts w:ascii="Calibri" w:hAnsi="Calibri"/>
                <w:b w:val="0"/>
                <w:color w:val="000000"/>
                <w:sz w:val="22"/>
              </w:rPr>
            </w:pPr>
            <w:r w:rsidRPr="00FA0DC6">
              <w:rPr>
                <w:rFonts w:ascii="Calibri" w:hAnsi="Calibri"/>
                <w:b w:val="0"/>
                <w:color w:val="000000"/>
                <w:sz w:val="22"/>
              </w:rPr>
              <w:t>The provider maintains written policies and procedures with a detailed description of how the provider uses a person-centered approach to identify individually determined goals and promote choice.</w:t>
            </w:r>
          </w:p>
        </w:tc>
        <w:tc>
          <w:tcPr>
            <w:tcW w:w="1260" w:type="dxa"/>
            <w:tcBorders>
              <w:left w:val="double" w:sz="4" w:space="0" w:color="auto"/>
            </w:tcBorders>
            <w:vAlign w:val="center"/>
            <w:hideMark/>
          </w:tcPr>
          <w:p w14:paraId="29589540" w14:textId="385C7093"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487</w:t>
            </w:r>
          </w:p>
        </w:tc>
        <w:tc>
          <w:tcPr>
            <w:tcW w:w="990" w:type="dxa"/>
            <w:tcBorders>
              <w:right w:val="double" w:sz="4" w:space="0" w:color="auto"/>
            </w:tcBorders>
            <w:vAlign w:val="center"/>
            <w:hideMark/>
          </w:tcPr>
          <w:p w14:paraId="46628B58" w14:textId="33632996"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98.2%</w:t>
            </w:r>
          </w:p>
        </w:tc>
        <w:tc>
          <w:tcPr>
            <w:tcW w:w="1260" w:type="dxa"/>
            <w:tcBorders>
              <w:left w:val="double" w:sz="4" w:space="0" w:color="auto"/>
            </w:tcBorders>
            <w:noWrap/>
            <w:vAlign w:val="center"/>
            <w:hideMark/>
          </w:tcPr>
          <w:p w14:paraId="4D8899AB" w14:textId="4E52238E" w:rsidR="00954347" w:rsidRPr="00C9152E"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sidRPr="00C9152E">
              <w:rPr>
                <w:rFonts w:ascii="Calibri" w:hAnsi="Calibri"/>
                <w:color w:val="000000"/>
                <w:sz w:val="22"/>
              </w:rPr>
              <w:t>59</w:t>
            </w:r>
          </w:p>
        </w:tc>
        <w:tc>
          <w:tcPr>
            <w:tcW w:w="974" w:type="dxa"/>
            <w:tcBorders>
              <w:right w:val="single" w:sz="12" w:space="0" w:color="78C0D4" w:themeColor="accent5" w:themeTint="BF"/>
            </w:tcBorders>
            <w:noWrap/>
            <w:vAlign w:val="center"/>
            <w:hideMark/>
          </w:tcPr>
          <w:p w14:paraId="0C7C01C7" w14:textId="48BD4840" w:rsidR="00954347" w:rsidRPr="00C9152E"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sidRPr="00C9152E">
              <w:rPr>
                <w:rFonts w:ascii="Calibri" w:hAnsi="Calibri"/>
                <w:color w:val="000000"/>
                <w:sz w:val="22"/>
              </w:rPr>
              <w:t>100.0%</w:t>
            </w:r>
          </w:p>
        </w:tc>
      </w:tr>
      <w:tr w:rsidR="00954347" w:rsidRPr="00C9152E" w14:paraId="6EF46F1E" w14:textId="77777777" w:rsidTr="00FA0DC6">
        <w:trPr>
          <w:cnfStyle w:val="000000100000" w:firstRow="0" w:lastRow="0" w:firstColumn="0" w:lastColumn="0" w:oddVBand="0" w:evenVBand="0" w:oddHBand="1" w:evenHBand="0" w:firstRowFirstColumn="0" w:firstRowLastColumn="0" w:lastRowFirstColumn="0" w:lastRowLastColumn="0"/>
          <w:trHeight w:val="115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61691D44" w14:textId="56909134" w:rsidR="00954347" w:rsidRPr="00FA0DC6" w:rsidRDefault="00954347" w:rsidP="00FA0DC6">
            <w:pPr>
              <w:spacing w:line="240" w:lineRule="auto"/>
              <w:rPr>
                <w:rFonts w:ascii="Calibri" w:hAnsi="Calibri"/>
                <w:b w:val="0"/>
                <w:color w:val="000000"/>
                <w:sz w:val="22"/>
              </w:rPr>
            </w:pPr>
            <w:r w:rsidRPr="00FA0DC6">
              <w:rPr>
                <w:rFonts w:ascii="Calibri" w:hAnsi="Calibri"/>
                <w:b w:val="0"/>
                <w:color w:val="000000"/>
                <w:sz w:val="22"/>
              </w:rPr>
              <w:t>The provider maintains written policies and procedures with a detailed description of how the provider will protect health, safety, and wellbeing of the individuals served.</w:t>
            </w:r>
          </w:p>
        </w:tc>
        <w:tc>
          <w:tcPr>
            <w:tcW w:w="1260" w:type="dxa"/>
            <w:tcBorders>
              <w:left w:val="double" w:sz="4" w:space="0" w:color="auto"/>
            </w:tcBorders>
            <w:vAlign w:val="center"/>
            <w:hideMark/>
          </w:tcPr>
          <w:p w14:paraId="189492B8" w14:textId="630B0A8D"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487</w:t>
            </w:r>
          </w:p>
        </w:tc>
        <w:tc>
          <w:tcPr>
            <w:tcW w:w="990" w:type="dxa"/>
            <w:tcBorders>
              <w:right w:val="double" w:sz="4" w:space="0" w:color="auto"/>
            </w:tcBorders>
            <w:vAlign w:val="center"/>
            <w:hideMark/>
          </w:tcPr>
          <w:p w14:paraId="16CD6E98" w14:textId="670E99ED"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97.9%</w:t>
            </w:r>
          </w:p>
        </w:tc>
        <w:tc>
          <w:tcPr>
            <w:tcW w:w="1260" w:type="dxa"/>
            <w:tcBorders>
              <w:left w:val="double" w:sz="4" w:space="0" w:color="auto"/>
            </w:tcBorders>
            <w:noWrap/>
            <w:vAlign w:val="center"/>
            <w:hideMark/>
          </w:tcPr>
          <w:p w14:paraId="62187736" w14:textId="58FF61D2" w:rsidR="00954347" w:rsidRPr="00C9152E"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C9152E">
              <w:rPr>
                <w:rFonts w:ascii="Calibri" w:hAnsi="Calibri"/>
                <w:color w:val="000000"/>
                <w:sz w:val="22"/>
              </w:rPr>
              <w:t>60</w:t>
            </w:r>
          </w:p>
        </w:tc>
        <w:tc>
          <w:tcPr>
            <w:tcW w:w="974" w:type="dxa"/>
            <w:tcBorders>
              <w:right w:val="single" w:sz="12" w:space="0" w:color="78C0D4" w:themeColor="accent5" w:themeTint="BF"/>
            </w:tcBorders>
            <w:noWrap/>
            <w:vAlign w:val="center"/>
            <w:hideMark/>
          </w:tcPr>
          <w:p w14:paraId="5FA24315" w14:textId="5A26E343" w:rsidR="00954347" w:rsidRPr="00C9152E"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sidRPr="00C9152E">
              <w:rPr>
                <w:rFonts w:ascii="Calibri" w:hAnsi="Calibri"/>
                <w:color w:val="000000"/>
                <w:sz w:val="22"/>
              </w:rPr>
              <w:t>100.0%</w:t>
            </w:r>
          </w:p>
        </w:tc>
      </w:tr>
      <w:tr w:rsidR="00954347" w:rsidRPr="00C9152E" w14:paraId="4894C426" w14:textId="77777777" w:rsidTr="00FA0DC6">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3257C0B8" w14:textId="058AE9DE"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The provider maintains written policies and procedures detailing how the provider will ensure compliance with background screening and five-year rescreening.</w:t>
            </w:r>
          </w:p>
        </w:tc>
        <w:tc>
          <w:tcPr>
            <w:tcW w:w="1260" w:type="dxa"/>
            <w:tcBorders>
              <w:left w:val="double" w:sz="4" w:space="0" w:color="auto"/>
            </w:tcBorders>
            <w:vAlign w:val="center"/>
            <w:hideMark/>
          </w:tcPr>
          <w:p w14:paraId="6B891F31" w14:textId="0C4BCA91"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485</w:t>
            </w:r>
          </w:p>
        </w:tc>
        <w:tc>
          <w:tcPr>
            <w:tcW w:w="990" w:type="dxa"/>
            <w:tcBorders>
              <w:right w:val="double" w:sz="4" w:space="0" w:color="auto"/>
            </w:tcBorders>
            <w:vAlign w:val="center"/>
            <w:hideMark/>
          </w:tcPr>
          <w:p w14:paraId="067E9E87" w14:textId="679CF688"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82.5%</w:t>
            </w:r>
          </w:p>
        </w:tc>
        <w:tc>
          <w:tcPr>
            <w:tcW w:w="1260" w:type="dxa"/>
            <w:tcBorders>
              <w:left w:val="double" w:sz="4" w:space="0" w:color="auto"/>
            </w:tcBorders>
            <w:noWrap/>
            <w:vAlign w:val="center"/>
            <w:hideMark/>
          </w:tcPr>
          <w:p w14:paraId="429460F5" w14:textId="32A3CDA9" w:rsidR="00954347" w:rsidRPr="00C9152E"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sidRPr="00C9152E">
              <w:rPr>
                <w:rFonts w:ascii="Calibri" w:hAnsi="Calibri"/>
                <w:color w:val="000000"/>
                <w:sz w:val="22"/>
              </w:rPr>
              <w:t>60</w:t>
            </w:r>
          </w:p>
        </w:tc>
        <w:tc>
          <w:tcPr>
            <w:tcW w:w="974" w:type="dxa"/>
            <w:tcBorders>
              <w:right w:val="single" w:sz="12" w:space="0" w:color="78C0D4" w:themeColor="accent5" w:themeTint="BF"/>
            </w:tcBorders>
            <w:noWrap/>
            <w:vAlign w:val="center"/>
            <w:hideMark/>
          </w:tcPr>
          <w:p w14:paraId="51586E85" w14:textId="45CDE686" w:rsidR="00954347" w:rsidRPr="00C9152E"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sidRPr="00C9152E">
              <w:rPr>
                <w:rFonts w:ascii="Calibri" w:hAnsi="Calibri"/>
                <w:color w:val="000000"/>
                <w:sz w:val="22"/>
              </w:rPr>
              <w:t>96.7%</w:t>
            </w:r>
          </w:p>
        </w:tc>
      </w:tr>
      <w:tr w:rsidR="00954347" w:rsidRPr="000E2DA2" w14:paraId="3E1E2682" w14:textId="77777777" w:rsidTr="00FA0DC6">
        <w:trPr>
          <w:cnfStyle w:val="000000100000" w:firstRow="0" w:lastRow="0" w:firstColumn="0" w:lastColumn="0" w:oddVBand="0" w:evenVBand="0" w:oddHBand="1" w:evenHBand="0" w:firstRowFirstColumn="0" w:firstRowLastColumn="0" w:lastRowFirstColumn="0" w:lastRowLastColumn="0"/>
          <w:trHeight w:val="601"/>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0E35CBDC" w14:textId="2E944BB8"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The provider maintains written policies and procedures detailing hours and days of operation and the notification process to be used if the provider is unable to provide services for a specific time and day scheduled.</w:t>
            </w:r>
          </w:p>
        </w:tc>
        <w:tc>
          <w:tcPr>
            <w:tcW w:w="1260" w:type="dxa"/>
            <w:tcBorders>
              <w:left w:val="double" w:sz="4" w:space="0" w:color="auto"/>
            </w:tcBorders>
            <w:vAlign w:val="center"/>
            <w:hideMark/>
          </w:tcPr>
          <w:p w14:paraId="40DA7989" w14:textId="7936A691"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485</w:t>
            </w:r>
          </w:p>
        </w:tc>
        <w:tc>
          <w:tcPr>
            <w:tcW w:w="990" w:type="dxa"/>
            <w:tcBorders>
              <w:right w:val="double" w:sz="4" w:space="0" w:color="auto"/>
            </w:tcBorders>
            <w:vAlign w:val="center"/>
            <w:hideMark/>
          </w:tcPr>
          <w:p w14:paraId="1875429B" w14:textId="7A12B19C"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84.9%</w:t>
            </w:r>
          </w:p>
        </w:tc>
        <w:tc>
          <w:tcPr>
            <w:tcW w:w="1260" w:type="dxa"/>
            <w:tcBorders>
              <w:left w:val="double" w:sz="4" w:space="0" w:color="auto"/>
            </w:tcBorders>
            <w:noWrap/>
            <w:vAlign w:val="center"/>
            <w:hideMark/>
          </w:tcPr>
          <w:p w14:paraId="6588F2DF" w14:textId="420E6C94" w:rsidR="00954347"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60</w:t>
            </w:r>
          </w:p>
        </w:tc>
        <w:tc>
          <w:tcPr>
            <w:tcW w:w="974" w:type="dxa"/>
            <w:tcBorders>
              <w:right w:val="single" w:sz="12" w:space="0" w:color="78C0D4" w:themeColor="accent5" w:themeTint="BF"/>
            </w:tcBorders>
            <w:noWrap/>
            <w:vAlign w:val="center"/>
            <w:hideMark/>
          </w:tcPr>
          <w:p w14:paraId="51DA488D" w14:textId="414C9F1A" w:rsidR="00954347"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96.7%</w:t>
            </w:r>
          </w:p>
        </w:tc>
      </w:tr>
      <w:tr w:rsidR="00954347" w:rsidRPr="00094EBF" w14:paraId="4E4BFBEA" w14:textId="77777777" w:rsidTr="00FA0DC6">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25B8288A" w14:textId="107B2D82"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The provider maintains written policies and procedures detailing how the provider will ensure the individuals' medications are administered and handled safely.</w:t>
            </w:r>
          </w:p>
        </w:tc>
        <w:tc>
          <w:tcPr>
            <w:tcW w:w="1260" w:type="dxa"/>
            <w:tcBorders>
              <w:left w:val="double" w:sz="4" w:space="0" w:color="auto"/>
            </w:tcBorders>
            <w:vAlign w:val="center"/>
            <w:hideMark/>
          </w:tcPr>
          <w:p w14:paraId="24F7EB69" w14:textId="336D559A"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379</w:t>
            </w:r>
          </w:p>
        </w:tc>
        <w:tc>
          <w:tcPr>
            <w:tcW w:w="990" w:type="dxa"/>
            <w:tcBorders>
              <w:right w:val="double" w:sz="4" w:space="0" w:color="auto"/>
            </w:tcBorders>
            <w:vAlign w:val="center"/>
            <w:hideMark/>
          </w:tcPr>
          <w:p w14:paraId="560ED43D" w14:textId="50242502"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100.0%</w:t>
            </w:r>
          </w:p>
        </w:tc>
        <w:tc>
          <w:tcPr>
            <w:tcW w:w="1260" w:type="dxa"/>
            <w:tcBorders>
              <w:left w:val="double" w:sz="4" w:space="0" w:color="auto"/>
            </w:tcBorders>
            <w:noWrap/>
            <w:vAlign w:val="center"/>
            <w:hideMark/>
          </w:tcPr>
          <w:p w14:paraId="11F111BD" w14:textId="62BA0BB5" w:rsidR="00954347" w:rsidRPr="00482342"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23</w:t>
            </w:r>
          </w:p>
        </w:tc>
        <w:tc>
          <w:tcPr>
            <w:tcW w:w="974" w:type="dxa"/>
            <w:tcBorders>
              <w:right w:val="single" w:sz="12" w:space="0" w:color="78C0D4" w:themeColor="accent5" w:themeTint="BF"/>
            </w:tcBorders>
            <w:noWrap/>
            <w:vAlign w:val="center"/>
            <w:hideMark/>
          </w:tcPr>
          <w:p w14:paraId="68423083" w14:textId="7FDE36B1" w:rsidR="00954347" w:rsidRPr="00482342"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100.0%</w:t>
            </w:r>
          </w:p>
        </w:tc>
      </w:tr>
      <w:tr w:rsidR="00954347" w:rsidRPr="000E2DA2" w14:paraId="3E8187F8" w14:textId="77777777" w:rsidTr="00FA0DC6">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540C102E" w14:textId="1CA6602A"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The provider maintains written policies and procedures detailing how the provider will ensure a smooth transition to and from another provider.</w:t>
            </w:r>
          </w:p>
        </w:tc>
        <w:tc>
          <w:tcPr>
            <w:tcW w:w="1260" w:type="dxa"/>
            <w:tcBorders>
              <w:left w:val="double" w:sz="4" w:space="0" w:color="auto"/>
            </w:tcBorders>
            <w:vAlign w:val="center"/>
            <w:hideMark/>
          </w:tcPr>
          <w:p w14:paraId="6DD59C2F" w14:textId="38CB66DF"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486</w:t>
            </w:r>
          </w:p>
        </w:tc>
        <w:tc>
          <w:tcPr>
            <w:tcW w:w="990" w:type="dxa"/>
            <w:tcBorders>
              <w:right w:val="double" w:sz="4" w:space="0" w:color="auto"/>
            </w:tcBorders>
            <w:vAlign w:val="center"/>
            <w:hideMark/>
          </w:tcPr>
          <w:p w14:paraId="36D5B15C" w14:textId="3409F2E5"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95.7%</w:t>
            </w:r>
          </w:p>
        </w:tc>
        <w:tc>
          <w:tcPr>
            <w:tcW w:w="1260" w:type="dxa"/>
            <w:tcBorders>
              <w:left w:val="double" w:sz="4" w:space="0" w:color="auto"/>
            </w:tcBorders>
            <w:noWrap/>
            <w:vAlign w:val="center"/>
            <w:hideMark/>
          </w:tcPr>
          <w:p w14:paraId="3F01DAAF" w14:textId="11B0D1E4" w:rsidR="00954347"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60</w:t>
            </w:r>
          </w:p>
        </w:tc>
        <w:tc>
          <w:tcPr>
            <w:tcW w:w="974" w:type="dxa"/>
            <w:tcBorders>
              <w:right w:val="single" w:sz="12" w:space="0" w:color="78C0D4" w:themeColor="accent5" w:themeTint="BF"/>
            </w:tcBorders>
            <w:noWrap/>
            <w:vAlign w:val="center"/>
            <w:hideMark/>
          </w:tcPr>
          <w:p w14:paraId="452F3142" w14:textId="501CBF83" w:rsidR="00954347"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98.3%</w:t>
            </w:r>
          </w:p>
        </w:tc>
      </w:tr>
      <w:tr w:rsidR="00954347" w:rsidRPr="000E2DA2" w14:paraId="6CC6C0A8" w14:textId="77777777" w:rsidTr="00FA0DC6">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0A4A0A84" w14:textId="3CEEE6DF"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The provider maintains written policies and procedures detailing the process for addressing individual complaints and grievances regarding possible service delivery issues.</w:t>
            </w:r>
          </w:p>
        </w:tc>
        <w:tc>
          <w:tcPr>
            <w:tcW w:w="1260" w:type="dxa"/>
            <w:tcBorders>
              <w:left w:val="double" w:sz="4" w:space="0" w:color="auto"/>
            </w:tcBorders>
            <w:vAlign w:val="center"/>
            <w:hideMark/>
          </w:tcPr>
          <w:p w14:paraId="55822020" w14:textId="2AD0C2BB"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488</w:t>
            </w:r>
          </w:p>
        </w:tc>
        <w:tc>
          <w:tcPr>
            <w:tcW w:w="990" w:type="dxa"/>
            <w:tcBorders>
              <w:right w:val="double" w:sz="4" w:space="0" w:color="auto"/>
            </w:tcBorders>
            <w:vAlign w:val="center"/>
            <w:hideMark/>
          </w:tcPr>
          <w:p w14:paraId="7C1751F9" w14:textId="02AAB05A"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99.6%</w:t>
            </w:r>
          </w:p>
        </w:tc>
        <w:tc>
          <w:tcPr>
            <w:tcW w:w="1260" w:type="dxa"/>
            <w:tcBorders>
              <w:left w:val="double" w:sz="4" w:space="0" w:color="auto"/>
            </w:tcBorders>
            <w:noWrap/>
            <w:vAlign w:val="center"/>
            <w:hideMark/>
          </w:tcPr>
          <w:p w14:paraId="25B0C24F" w14:textId="69B548A3" w:rsidR="00954347"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60</w:t>
            </w:r>
          </w:p>
        </w:tc>
        <w:tc>
          <w:tcPr>
            <w:tcW w:w="974" w:type="dxa"/>
            <w:tcBorders>
              <w:right w:val="single" w:sz="12" w:space="0" w:color="78C0D4" w:themeColor="accent5" w:themeTint="BF"/>
            </w:tcBorders>
            <w:noWrap/>
            <w:vAlign w:val="center"/>
            <w:hideMark/>
          </w:tcPr>
          <w:p w14:paraId="091B0620" w14:textId="129204DC" w:rsidR="00954347"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100.0%</w:t>
            </w:r>
          </w:p>
        </w:tc>
      </w:tr>
      <w:tr w:rsidR="00954347" w:rsidRPr="000E2DA2" w14:paraId="649C47C3" w14:textId="77777777" w:rsidTr="00FA0D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1FD9CE5E" w14:textId="40EA9DD5"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The provider maintains written policies and procedures, which detail methods for ensuring the person's confidentiality and maintaining and storing records in a secure manner.</w:t>
            </w:r>
          </w:p>
        </w:tc>
        <w:tc>
          <w:tcPr>
            <w:tcW w:w="1260" w:type="dxa"/>
            <w:tcBorders>
              <w:left w:val="double" w:sz="4" w:space="0" w:color="auto"/>
            </w:tcBorders>
            <w:vAlign w:val="center"/>
            <w:hideMark/>
          </w:tcPr>
          <w:p w14:paraId="01CE9DD4" w14:textId="72B1D51F"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485</w:t>
            </w:r>
          </w:p>
        </w:tc>
        <w:tc>
          <w:tcPr>
            <w:tcW w:w="990" w:type="dxa"/>
            <w:tcBorders>
              <w:right w:val="double" w:sz="4" w:space="0" w:color="auto"/>
            </w:tcBorders>
            <w:vAlign w:val="center"/>
            <w:hideMark/>
          </w:tcPr>
          <w:p w14:paraId="6E8991E6" w14:textId="51C17695"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88.0%</w:t>
            </w:r>
          </w:p>
        </w:tc>
        <w:tc>
          <w:tcPr>
            <w:tcW w:w="1260" w:type="dxa"/>
            <w:tcBorders>
              <w:left w:val="double" w:sz="4" w:space="0" w:color="auto"/>
            </w:tcBorders>
            <w:noWrap/>
            <w:vAlign w:val="center"/>
            <w:hideMark/>
          </w:tcPr>
          <w:p w14:paraId="2EAF1420" w14:textId="1E163018" w:rsidR="00954347"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60</w:t>
            </w:r>
          </w:p>
        </w:tc>
        <w:tc>
          <w:tcPr>
            <w:tcW w:w="974" w:type="dxa"/>
            <w:tcBorders>
              <w:right w:val="single" w:sz="12" w:space="0" w:color="78C0D4" w:themeColor="accent5" w:themeTint="BF"/>
            </w:tcBorders>
            <w:noWrap/>
            <w:vAlign w:val="center"/>
            <w:hideMark/>
          </w:tcPr>
          <w:p w14:paraId="0DA3EBDD" w14:textId="2D880BCD" w:rsidR="00954347"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95.0%</w:t>
            </w:r>
          </w:p>
        </w:tc>
      </w:tr>
      <w:tr w:rsidR="00954347" w:rsidRPr="000E2DA2" w14:paraId="39E3AAB5" w14:textId="77777777" w:rsidTr="00FA0D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5A79F2CF" w14:textId="40E1414A"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The provider maintains written policies and procedures, which detail the methods for management and accounting of any personal funds, of all individuals in the care of, or receiving services from, the provider.</w:t>
            </w:r>
          </w:p>
        </w:tc>
        <w:tc>
          <w:tcPr>
            <w:tcW w:w="1260" w:type="dxa"/>
            <w:tcBorders>
              <w:left w:val="double" w:sz="4" w:space="0" w:color="auto"/>
            </w:tcBorders>
            <w:vAlign w:val="center"/>
            <w:hideMark/>
          </w:tcPr>
          <w:p w14:paraId="1364C96A" w14:textId="3C53EF64"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383</w:t>
            </w:r>
          </w:p>
        </w:tc>
        <w:tc>
          <w:tcPr>
            <w:tcW w:w="990" w:type="dxa"/>
            <w:tcBorders>
              <w:right w:val="double" w:sz="4" w:space="0" w:color="auto"/>
            </w:tcBorders>
            <w:vAlign w:val="center"/>
            <w:hideMark/>
          </w:tcPr>
          <w:p w14:paraId="1C8FB5A9" w14:textId="39B5A62B"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75.5%</w:t>
            </w:r>
          </w:p>
        </w:tc>
        <w:tc>
          <w:tcPr>
            <w:tcW w:w="1260" w:type="dxa"/>
            <w:tcBorders>
              <w:left w:val="double" w:sz="4" w:space="0" w:color="auto"/>
            </w:tcBorders>
            <w:noWrap/>
            <w:vAlign w:val="center"/>
            <w:hideMark/>
          </w:tcPr>
          <w:p w14:paraId="5038D92E" w14:textId="549FD1B8" w:rsidR="00954347" w:rsidRPr="00236581"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11</w:t>
            </w:r>
          </w:p>
        </w:tc>
        <w:tc>
          <w:tcPr>
            <w:tcW w:w="974" w:type="dxa"/>
            <w:tcBorders>
              <w:right w:val="single" w:sz="12" w:space="0" w:color="78C0D4" w:themeColor="accent5" w:themeTint="BF"/>
            </w:tcBorders>
            <w:noWrap/>
            <w:vAlign w:val="center"/>
            <w:hideMark/>
          </w:tcPr>
          <w:p w14:paraId="2FF089D0" w14:textId="58164FB1" w:rsidR="00954347" w:rsidRPr="00236581"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100.0%</w:t>
            </w:r>
          </w:p>
        </w:tc>
      </w:tr>
      <w:tr w:rsidR="00954347" w:rsidRPr="000E2DA2" w14:paraId="43BEFAF8" w14:textId="77777777" w:rsidTr="00FA0DC6">
        <w:trPr>
          <w:cnfStyle w:val="000000100000" w:firstRow="0" w:lastRow="0" w:firstColumn="0" w:lastColumn="0" w:oddVBand="0" w:evenVBand="0" w:oddHBand="1" w:evenHBand="0" w:firstRowFirstColumn="0" w:firstRowLastColumn="0" w:lastRowFirstColumn="0" w:lastRowLastColumn="0"/>
          <w:trHeight w:val="484"/>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6E18B9CB" w14:textId="1250A27A"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The provider maintains written policies and procedures in compliance with 65G-8.003 (Reactive Strategy Policy and Procedures).</w:t>
            </w:r>
          </w:p>
        </w:tc>
        <w:tc>
          <w:tcPr>
            <w:tcW w:w="1260" w:type="dxa"/>
            <w:tcBorders>
              <w:left w:val="double" w:sz="4" w:space="0" w:color="auto"/>
            </w:tcBorders>
            <w:vAlign w:val="center"/>
            <w:hideMark/>
          </w:tcPr>
          <w:p w14:paraId="459C8AFF" w14:textId="540B16A1"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123</w:t>
            </w:r>
          </w:p>
        </w:tc>
        <w:tc>
          <w:tcPr>
            <w:tcW w:w="990" w:type="dxa"/>
            <w:tcBorders>
              <w:right w:val="double" w:sz="4" w:space="0" w:color="auto"/>
            </w:tcBorders>
            <w:vAlign w:val="center"/>
            <w:hideMark/>
          </w:tcPr>
          <w:p w14:paraId="218D21D8" w14:textId="09828C9B"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94.3%</w:t>
            </w:r>
          </w:p>
        </w:tc>
        <w:tc>
          <w:tcPr>
            <w:tcW w:w="1260" w:type="dxa"/>
            <w:tcBorders>
              <w:left w:val="double" w:sz="4" w:space="0" w:color="auto"/>
            </w:tcBorders>
            <w:noWrap/>
            <w:vAlign w:val="center"/>
            <w:hideMark/>
          </w:tcPr>
          <w:p w14:paraId="3E5820B4" w14:textId="64D5CDF8" w:rsidR="00954347" w:rsidRPr="00482342"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3</w:t>
            </w:r>
          </w:p>
        </w:tc>
        <w:tc>
          <w:tcPr>
            <w:tcW w:w="974" w:type="dxa"/>
            <w:tcBorders>
              <w:right w:val="single" w:sz="12" w:space="0" w:color="78C0D4" w:themeColor="accent5" w:themeTint="BF"/>
            </w:tcBorders>
            <w:noWrap/>
            <w:vAlign w:val="center"/>
            <w:hideMark/>
          </w:tcPr>
          <w:p w14:paraId="55EB6CEF" w14:textId="6517F40A" w:rsidR="00954347" w:rsidRPr="00482342"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100.0%</w:t>
            </w:r>
          </w:p>
        </w:tc>
      </w:tr>
      <w:tr w:rsidR="00954347" w:rsidRPr="000E2DA2" w14:paraId="7E2B18B4" w14:textId="77777777" w:rsidTr="00FA0DC6">
        <w:trPr>
          <w:cnfStyle w:val="000000010000" w:firstRow="0" w:lastRow="0" w:firstColumn="0" w:lastColumn="0" w:oddVBand="0" w:evenVBand="0" w:oddHBand="0" w:evenHBand="1" w:firstRowFirstColumn="0" w:firstRowLastColumn="0" w:lastRowFirstColumn="0" w:lastRowLastColumn="0"/>
          <w:trHeight w:val="313"/>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right w:val="double" w:sz="4" w:space="0" w:color="auto"/>
            </w:tcBorders>
            <w:vAlign w:val="bottom"/>
            <w:hideMark/>
          </w:tcPr>
          <w:p w14:paraId="10AED663" w14:textId="1AFCA1C7"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The provider addresses all incident reports.</w:t>
            </w:r>
          </w:p>
        </w:tc>
        <w:tc>
          <w:tcPr>
            <w:tcW w:w="1260" w:type="dxa"/>
            <w:tcBorders>
              <w:left w:val="double" w:sz="4" w:space="0" w:color="auto"/>
            </w:tcBorders>
            <w:vAlign w:val="center"/>
            <w:hideMark/>
          </w:tcPr>
          <w:p w14:paraId="1E6342B9" w14:textId="1E2173C1"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349</w:t>
            </w:r>
          </w:p>
        </w:tc>
        <w:tc>
          <w:tcPr>
            <w:tcW w:w="990" w:type="dxa"/>
            <w:tcBorders>
              <w:right w:val="double" w:sz="4" w:space="0" w:color="auto"/>
            </w:tcBorders>
            <w:vAlign w:val="center"/>
            <w:hideMark/>
          </w:tcPr>
          <w:p w14:paraId="610373DE" w14:textId="50E09FAE"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99.1%</w:t>
            </w:r>
          </w:p>
        </w:tc>
        <w:tc>
          <w:tcPr>
            <w:tcW w:w="1260" w:type="dxa"/>
            <w:tcBorders>
              <w:left w:val="double" w:sz="4" w:space="0" w:color="auto"/>
            </w:tcBorders>
            <w:noWrap/>
            <w:vAlign w:val="center"/>
            <w:hideMark/>
          </w:tcPr>
          <w:p w14:paraId="5C81027C" w14:textId="2DFBFFEC" w:rsidR="00954347"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206</w:t>
            </w:r>
          </w:p>
        </w:tc>
        <w:tc>
          <w:tcPr>
            <w:tcW w:w="974" w:type="dxa"/>
            <w:tcBorders>
              <w:right w:val="single" w:sz="12" w:space="0" w:color="78C0D4" w:themeColor="accent5" w:themeTint="BF"/>
            </w:tcBorders>
            <w:noWrap/>
            <w:vAlign w:val="center"/>
            <w:hideMark/>
          </w:tcPr>
          <w:p w14:paraId="5C492C08" w14:textId="05FE43FB" w:rsidR="00954347"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97.6%</w:t>
            </w:r>
          </w:p>
        </w:tc>
      </w:tr>
      <w:tr w:rsidR="00954347" w:rsidRPr="000E2DA2" w14:paraId="2341CB2B" w14:textId="77777777" w:rsidTr="00FA0D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bottom w:val="single" w:sz="12" w:space="0" w:color="78C0D4" w:themeColor="accent5" w:themeTint="BF"/>
              <w:right w:val="double" w:sz="4" w:space="0" w:color="auto"/>
            </w:tcBorders>
            <w:vAlign w:val="bottom"/>
          </w:tcPr>
          <w:p w14:paraId="565F9D83" w14:textId="346BC80E"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The provider identifies and addresses concerns related to abuse, neglect, and exploitation.</w:t>
            </w:r>
          </w:p>
        </w:tc>
        <w:tc>
          <w:tcPr>
            <w:tcW w:w="1260" w:type="dxa"/>
            <w:tcBorders>
              <w:left w:val="double" w:sz="4" w:space="0" w:color="auto"/>
              <w:bottom w:val="single" w:sz="12" w:space="0" w:color="78C0D4" w:themeColor="accent5" w:themeTint="BF"/>
            </w:tcBorders>
            <w:vAlign w:val="center"/>
          </w:tcPr>
          <w:p w14:paraId="2D2A88A0" w14:textId="16E43509"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138</w:t>
            </w:r>
          </w:p>
        </w:tc>
        <w:tc>
          <w:tcPr>
            <w:tcW w:w="990" w:type="dxa"/>
            <w:tcBorders>
              <w:bottom w:val="single" w:sz="12" w:space="0" w:color="78C0D4" w:themeColor="accent5" w:themeTint="BF"/>
              <w:right w:val="double" w:sz="4" w:space="0" w:color="auto"/>
            </w:tcBorders>
            <w:vAlign w:val="center"/>
          </w:tcPr>
          <w:p w14:paraId="53C83A64" w14:textId="07B8C344"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98.6%</w:t>
            </w:r>
          </w:p>
        </w:tc>
        <w:tc>
          <w:tcPr>
            <w:tcW w:w="1260" w:type="dxa"/>
            <w:tcBorders>
              <w:left w:val="double" w:sz="4" w:space="0" w:color="auto"/>
              <w:bottom w:val="single" w:sz="12" w:space="0" w:color="78C0D4" w:themeColor="accent5" w:themeTint="BF"/>
            </w:tcBorders>
            <w:noWrap/>
            <w:vAlign w:val="center"/>
          </w:tcPr>
          <w:p w14:paraId="4374E71E" w14:textId="5EDC7F41" w:rsidR="00954347"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96</w:t>
            </w:r>
          </w:p>
        </w:tc>
        <w:tc>
          <w:tcPr>
            <w:tcW w:w="974" w:type="dxa"/>
            <w:tcBorders>
              <w:bottom w:val="single" w:sz="12" w:space="0" w:color="78C0D4" w:themeColor="accent5" w:themeTint="BF"/>
              <w:right w:val="single" w:sz="12" w:space="0" w:color="78C0D4" w:themeColor="accent5" w:themeTint="BF"/>
            </w:tcBorders>
            <w:noWrap/>
            <w:vAlign w:val="center"/>
          </w:tcPr>
          <w:p w14:paraId="76D34D1A" w14:textId="52C24442" w:rsidR="00954347"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99.0%</w:t>
            </w:r>
          </w:p>
        </w:tc>
      </w:tr>
      <w:tr w:rsidR="00954347" w:rsidRPr="000E2DA2" w14:paraId="612C3980" w14:textId="77777777" w:rsidTr="00FA0DC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bottom w:val="single" w:sz="12" w:space="0" w:color="78C0D4" w:themeColor="accent5" w:themeTint="BF"/>
              <w:right w:val="double" w:sz="4" w:space="0" w:color="auto"/>
            </w:tcBorders>
            <w:vAlign w:val="bottom"/>
          </w:tcPr>
          <w:p w14:paraId="2E1BF9AD" w14:textId="4BE5F529"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All instances of abuse, neglect, and exploitation are reported.</w:t>
            </w:r>
          </w:p>
        </w:tc>
        <w:tc>
          <w:tcPr>
            <w:tcW w:w="1260" w:type="dxa"/>
            <w:tcBorders>
              <w:left w:val="double" w:sz="4" w:space="0" w:color="auto"/>
              <w:bottom w:val="single" w:sz="12" w:space="0" w:color="78C0D4" w:themeColor="accent5" w:themeTint="BF"/>
            </w:tcBorders>
            <w:vAlign w:val="center"/>
          </w:tcPr>
          <w:p w14:paraId="02463F83" w14:textId="6BBB9AC2"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86</w:t>
            </w:r>
          </w:p>
        </w:tc>
        <w:tc>
          <w:tcPr>
            <w:tcW w:w="990" w:type="dxa"/>
            <w:tcBorders>
              <w:bottom w:val="single" w:sz="12" w:space="0" w:color="78C0D4" w:themeColor="accent5" w:themeTint="BF"/>
              <w:right w:val="double" w:sz="4" w:space="0" w:color="auto"/>
            </w:tcBorders>
            <w:vAlign w:val="center"/>
          </w:tcPr>
          <w:p w14:paraId="5BFF3A03" w14:textId="34222415" w:rsidR="00954347" w:rsidRDefault="00954347" w:rsidP="003728F5">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97.7%</w:t>
            </w:r>
          </w:p>
        </w:tc>
        <w:tc>
          <w:tcPr>
            <w:tcW w:w="1260" w:type="dxa"/>
            <w:tcBorders>
              <w:left w:val="double" w:sz="4" w:space="0" w:color="auto"/>
              <w:bottom w:val="single" w:sz="12" w:space="0" w:color="78C0D4" w:themeColor="accent5" w:themeTint="BF"/>
            </w:tcBorders>
            <w:noWrap/>
            <w:vAlign w:val="center"/>
          </w:tcPr>
          <w:p w14:paraId="6961727C" w14:textId="793D424C" w:rsidR="00954347"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78</w:t>
            </w:r>
          </w:p>
        </w:tc>
        <w:tc>
          <w:tcPr>
            <w:tcW w:w="974" w:type="dxa"/>
            <w:tcBorders>
              <w:bottom w:val="single" w:sz="12" w:space="0" w:color="78C0D4" w:themeColor="accent5" w:themeTint="BF"/>
              <w:right w:val="single" w:sz="12" w:space="0" w:color="78C0D4" w:themeColor="accent5" w:themeTint="BF"/>
            </w:tcBorders>
            <w:noWrap/>
            <w:vAlign w:val="center"/>
          </w:tcPr>
          <w:p w14:paraId="5A71F761" w14:textId="37DAFC47" w:rsidR="00954347" w:rsidRDefault="00954347" w:rsidP="00954347">
            <w:pPr>
              <w:jc w:val="center"/>
              <w:cnfStyle w:val="000000010000" w:firstRow="0" w:lastRow="0" w:firstColumn="0" w:lastColumn="0" w:oddVBand="0" w:evenVBand="0" w:oddHBand="0" w:evenHBand="1" w:firstRowFirstColumn="0" w:firstRowLastColumn="0" w:lastRowFirstColumn="0" w:lastRowLastColumn="0"/>
              <w:rPr>
                <w:rFonts w:ascii="Calibri" w:hAnsi="Calibri"/>
                <w:color w:val="000000"/>
                <w:sz w:val="22"/>
              </w:rPr>
            </w:pPr>
            <w:r>
              <w:rPr>
                <w:rFonts w:ascii="Calibri" w:hAnsi="Calibri"/>
                <w:color w:val="000000"/>
                <w:sz w:val="22"/>
              </w:rPr>
              <w:t>98.7%</w:t>
            </w:r>
          </w:p>
        </w:tc>
      </w:tr>
      <w:tr w:rsidR="00954347" w:rsidRPr="000E2DA2" w14:paraId="0CED40F0" w14:textId="77777777" w:rsidTr="00FA0DC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bottom w:val="single" w:sz="12" w:space="0" w:color="78C0D4" w:themeColor="accent5" w:themeTint="BF"/>
              <w:right w:val="double" w:sz="4" w:space="0" w:color="auto"/>
            </w:tcBorders>
            <w:vAlign w:val="bottom"/>
          </w:tcPr>
          <w:p w14:paraId="78A6C79A" w14:textId="4BC3BB73" w:rsidR="00954347" w:rsidRPr="00FA0DC6" w:rsidRDefault="00954347" w:rsidP="00FA0DC6">
            <w:pPr>
              <w:spacing w:line="240" w:lineRule="auto"/>
              <w:rPr>
                <w:rFonts w:ascii="Calibri" w:hAnsi="Calibri"/>
                <w:b w:val="0"/>
                <w:color w:val="000000"/>
                <w:sz w:val="22"/>
              </w:rPr>
            </w:pPr>
            <w:r w:rsidRPr="00FA0DC6">
              <w:rPr>
                <w:rFonts w:ascii="Calibri" w:hAnsi="Calibri"/>
                <w:b w:val="0"/>
                <w:bCs w:val="0"/>
                <w:color w:val="000000"/>
                <w:sz w:val="22"/>
              </w:rPr>
              <w:t>The provider identifies addresses and reports all medication errors.</w:t>
            </w:r>
          </w:p>
        </w:tc>
        <w:tc>
          <w:tcPr>
            <w:tcW w:w="1260" w:type="dxa"/>
            <w:tcBorders>
              <w:left w:val="double" w:sz="4" w:space="0" w:color="auto"/>
              <w:bottom w:val="single" w:sz="12" w:space="0" w:color="78C0D4" w:themeColor="accent5" w:themeTint="BF"/>
            </w:tcBorders>
            <w:vAlign w:val="center"/>
          </w:tcPr>
          <w:p w14:paraId="31445290" w14:textId="72036F81"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110</w:t>
            </w:r>
          </w:p>
        </w:tc>
        <w:tc>
          <w:tcPr>
            <w:tcW w:w="990" w:type="dxa"/>
            <w:tcBorders>
              <w:bottom w:val="single" w:sz="12" w:space="0" w:color="78C0D4" w:themeColor="accent5" w:themeTint="BF"/>
              <w:right w:val="double" w:sz="4" w:space="0" w:color="auto"/>
            </w:tcBorders>
            <w:vAlign w:val="center"/>
          </w:tcPr>
          <w:p w14:paraId="25201C48" w14:textId="1DE3EA73" w:rsidR="00954347" w:rsidRDefault="00954347" w:rsidP="003728F5">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99.1%</w:t>
            </w:r>
          </w:p>
        </w:tc>
        <w:tc>
          <w:tcPr>
            <w:tcW w:w="1260" w:type="dxa"/>
            <w:tcBorders>
              <w:left w:val="double" w:sz="4" w:space="0" w:color="auto"/>
              <w:bottom w:val="single" w:sz="12" w:space="0" w:color="78C0D4" w:themeColor="accent5" w:themeTint="BF"/>
            </w:tcBorders>
            <w:noWrap/>
            <w:vAlign w:val="center"/>
          </w:tcPr>
          <w:p w14:paraId="5BE9B1F3" w14:textId="77885C6E" w:rsidR="00954347" w:rsidRPr="00482342"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19</w:t>
            </w:r>
          </w:p>
        </w:tc>
        <w:tc>
          <w:tcPr>
            <w:tcW w:w="974" w:type="dxa"/>
            <w:tcBorders>
              <w:bottom w:val="single" w:sz="12" w:space="0" w:color="78C0D4" w:themeColor="accent5" w:themeTint="BF"/>
              <w:right w:val="single" w:sz="12" w:space="0" w:color="78C0D4" w:themeColor="accent5" w:themeTint="BF"/>
            </w:tcBorders>
            <w:noWrap/>
            <w:vAlign w:val="center"/>
          </w:tcPr>
          <w:p w14:paraId="2F5C8F2B" w14:textId="7D3C1B4D" w:rsidR="00954347" w:rsidRPr="00482342" w:rsidRDefault="00954347" w:rsidP="00954347">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2"/>
              </w:rPr>
            </w:pPr>
            <w:r>
              <w:rPr>
                <w:rFonts w:ascii="Calibri" w:hAnsi="Calibri"/>
                <w:color w:val="000000"/>
                <w:sz w:val="22"/>
              </w:rPr>
              <w:t>100.0%</w:t>
            </w:r>
          </w:p>
        </w:tc>
      </w:tr>
      <w:tr w:rsidR="003649E9" w:rsidRPr="000E2DA2" w14:paraId="0AB8C6DF" w14:textId="77777777" w:rsidTr="003728F5">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28" w:type="dxa"/>
            <w:tcBorders>
              <w:left w:val="single" w:sz="12" w:space="0" w:color="78C0D4" w:themeColor="accent5" w:themeTint="BF"/>
              <w:bottom w:val="single" w:sz="12" w:space="0" w:color="78C0D4" w:themeColor="accent5" w:themeTint="BF"/>
              <w:right w:val="double" w:sz="4" w:space="0" w:color="auto"/>
            </w:tcBorders>
            <w:vAlign w:val="bottom"/>
            <w:hideMark/>
          </w:tcPr>
          <w:p w14:paraId="04E0E246" w14:textId="77777777" w:rsidR="003649E9" w:rsidRPr="00FC6EF6" w:rsidRDefault="003649E9" w:rsidP="003649E9">
            <w:pPr>
              <w:spacing w:line="240" w:lineRule="auto"/>
              <w:rPr>
                <w:rFonts w:ascii="Franklin Gothic Medium" w:eastAsia="Times New Roman" w:hAnsi="Franklin Gothic Medium" w:cs="Times New Roman"/>
                <w:b w:val="0"/>
                <w:color w:val="000000"/>
                <w:sz w:val="22"/>
              </w:rPr>
            </w:pPr>
            <w:r w:rsidRPr="00FC6EF6">
              <w:rPr>
                <w:rFonts w:ascii="Franklin Gothic Medium" w:hAnsi="Franklin Gothic Medium"/>
                <w:b w:val="0"/>
                <w:color w:val="000000"/>
                <w:sz w:val="22"/>
              </w:rPr>
              <w:t>Average Policies and Procedures</w:t>
            </w:r>
          </w:p>
        </w:tc>
        <w:tc>
          <w:tcPr>
            <w:tcW w:w="1260" w:type="dxa"/>
            <w:tcBorders>
              <w:left w:val="double" w:sz="4" w:space="0" w:color="auto"/>
              <w:bottom w:val="single" w:sz="12" w:space="0" w:color="78C0D4" w:themeColor="accent5" w:themeTint="BF"/>
            </w:tcBorders>
            <w:vAlign w:val="center"/>
          </w:tcPr>
          <w:p w14:paraId="42555BEA" w14:textId="3B774627" w:rsidR="003649E9" w:rsidRPr="00FC6EF6" w:rsidRDefault="003728F5" w:rsidP="003728F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000000"/>
                <w:sz w:val="22"/>
              </w:rPr>
            </w:pPr>
            <w:r>
              <w:rPr>
                <w:rFonts w:ascii="Franklin Gothic Medium" w:hAnsi="Franklin Gothic Medium"/>
                <w:color w:val="000000"/>
                <w:sz w:val="22"/>
              </w:rPr>
              <w:t>5,445</w:t>
            </w:r>
          </w:p>
        </w:tc>
        <w:tc>
          <w:tcPr>
            <w:tcW w:w="990" w:type="dxa"/>
            <w:tcBorders>
              <w:bottom w:val="single" w:sz="12" w:space="0" w:color="78C0D4" w:themeColor="accent5" w:themeTint="BF"/>
              <w:right w:val="double" w:sz="4" w:space="0" w:color="auto"/>
            </w:tcBorders>
            <w:vAlign w:val="center"/>
          </w:tcPr>
          <w:p w14:paraId="5FB3FA98" w14:textId="05D40C91" w:rsidR="003649E9" w:rsidRPr="00FC6EF6" w:rsidRDefault="003728F5" w:rsidP="003728F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000000"/>
                <w:sz w:val="22"/>
              </w:rPr>
            </w:pPr>
            <w:r>
              <w:rPr>
                <w:rFonts w:ascii="Franklin Gothic Medium" w:hAnsi="Franklin Gothic Medium"/>
                <w:color w:val="000000"/>
                <w:sz w:val="22"/>
              </w:rPr>
              <w:t>93.0</w:t>
            </w:r>
            <w:r w:rsidR="003649E9" w:rsidRPr="00FC6EF6">
              <w:rPr>
                <w:rFonts w:ascii="Franklin Gothic Medium" w:hAnsi="Franklin Gothic Medium"/>
                <w:color w:val="000000"/>
                <w:sz w:val="22"/>
              </w:rPr>
              <w:t>%</w:t>
            </w:r>
          </w:p>
        </w:tc>
        <w:tc>
          <w:tcPr>
            <w:tcW w:w="1260" w:type="dxa"/>
            <w:tcBorders>
              <w:left w:val="double" w:sz="4" w:space="0" w:color="auto"/>
              <w:bottom w:val="single" w:sz="12" w:space="0" w:color="78C0D4" w:themeColor="accent5" w:themeTint="BF"/>
            </w:tcBorders>
            <w:noWrap/>
            <w:vAlign w:val="center"/>
            <w:hideMark/>
          </w:tcPr>
          <w:p w14:paraId="16A18A37" w14:textId="09E0CD58" w:rsidR="003649E9" w:rsidRPr="00FC6EF6" w:rsidRDefault="00C9152E" w:rsidP="003649E9">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000000"/>
                <w:sz w:val="22"/>
              </w:rPr>
            </w:pPr>
            <w:r>
              <w:rPr>
                <w:rFonts w:ascii="Franklin Gothic Medium" w:hAnsi="Franklin Gothic Medium"/>
                <w:color w:val="000000"/>
                <w:sz w:val="22"/>
              </w:rPr>
              <w:t>855</w:t>
            </w:r>
          </w:p>
        </w:tc>
        <w:tc>
          <w:tcPr>
            <w:tcW w:w="974" w:type="dxa"/>
            <w:tcBorders>
              <w:bottom w:val="single" w:sz="12" w:space="0" w:color="78C0D4" w:themeColor="accent5" w:themeTint="BF"/>
              <w:right w:val="single" w:sz="12" w:space="0" w:color="78C0D4" w:themeColor="accent5" w:themeTint="BF"/>
            </w:tcBorders>
            <w:noWrap/>
            <w:vAlign w:val="center"/>
            <w:hideMark/>
          </w:tcPr>
          <w:p w14:paraId="4E401029" w14:textId="07C43889" w:rsidR="003649E9" w:rsidRPr="00FC6EF6" w:rsidRDefault="00C9152E" w:rsidP="003649E9">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000000"/>
                <w:sz w:val="22"/>
              </w:rPr>
            </w:pPr>
            <w:r>
              <w:rPr>
                <w:rFonts w:ascii="Franklin Gothic Medium" w:hAnsi="Franklin Gothic Medium"/>
                <w:color w:val="000000"/>
                <w:sz w:val="22"/>
              </w:rPr>
              <w:t>98.2</w:t>
            </w:r>
            <w:r w:rsidR="003649E9" w:rsidRPr="00FC6EF6">
              <w:rPr>
                <w:rFonts w:ascii="Franklin Gothic Medium" w:hAnsi="Franklin Gothic Medium"/>
                <w:color w:val="000000"/>
                <w:sz w:val="22"/>
              </w:rPr>
              <w:t>%</w:t>
            </w:r>
          </w:p>
        </w:tc>
      </w:tr>
    </w:tbl>
    <w:p w14:paraId="6DB2018C" w14:textId="77777777" w:rsidR="003649E9" w:rsidRDefault="003649E9" w:rsidP="003649E9"/>
    <w:p w14:paraId="5EC82067" w14:textId="369D83C5" w:rsidR="00FA0DC6" w:rsidRDefault="00FA0DC6" w:rsidP="003649E9"/>
    <w:tbl>
      <w:tblPr>
        <w:tblStyle w:val="MediumShading1-Accent5"/>
        <w:tblW w:w="7216" w:type="dxa"/>
        <w:jc w:val="center"/>
        <w:tblLook w:val="04A0" w:firstRow="1" w:lastRow="0" w:firstColumn="1" w:lastColumn="0" w:noHBand="0" w:noVBand="1"/>
      </w:tblPr>
      <w:tblGrid>
        <w:gridCol w:w="1475"/>
        <w:gridCol w:w="1988"/>
        <w:gridCol w:w="898"/>
        <w:gridCol w:w="1833"/>
        <w:gridCol w:w="1022"/>
      </w:tblGrid>
      <w:tr w:rsidR="00C82F55" w:rsidRPr="00C82F55" w14:paraId="6D65B3C8" w14:textId="77777777" w:rsidTr="00C82F55">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7216" w:type="dxa"/>
            <w:gridSpan w:val="5"/>
            <w:shd w:val="clear" w:color="auto" w:fill="215868" w:themeFill="accent5" w:themeFillShade="80"/>
            <w:noWrap/>
            <w:hideMark/>
          </w:tcPr>
          <w:p w14:paraId="5FA58ED7" w14:textId="77777777" w:rsidR="00C82F55" w:rsidRPr="00C82F55" w:rsidRDefault="00C82F55" w:rsidP="00C82F55">
            <w:pPr>
              <w:spacing w:line="240" w:lineRule="auto"/>
              <w:jc w:val="center"/>
              <w:rPr>
                <w:rFonts w:ascii="Calibri" w:eastAsia="Times New Roman" w:hAnsi="Calibri" w:cs="Times New Roman"/>
                <w:sz w:val="22"/>
              </w:rPr>
            </w:pPr>
            <w:r w:rsidRPr="00C82F55">
              <w:rPr>
                <w:rFonts w:ascii="Calibri" w:eastAsia="Times New Roman" w:hAnsi="Calibri" w:cs="Times New Roman"/>
                <w:sz w:val="22"/>
              </w:rPr>
              <w:t xml:space="preserve">Table 18:  Policies and Procedures by Region </w:t>
            </w:r>
          </w:p>
        </w:tc>
      </w:tr>
      <w:tr w:rsidR="00C82F55" w:rsidRPr="00C82F55" w14:paraId="5EA66E9B" w14:textId="77777777" w:rsidTr="00C82F55">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216" w:type="dxa"/>
            <w:gridSpan w:val="5"/>
            <w:shd w:val="clear" w:color="auto" w:fill="215868" w:themeFill="accent5" w:themeFillShade="80"/>
            <w:noWrap/>
            <w:hideMark/>
          </w:tcPr>
          <w:p w14:paraId="71AEEC26" w14:textId="77777777" w:rsidR="00C82F55" w:rsidRPr="00C82F55" w:rsidRDefault="00C82F55" w:rsidP="00C82F55">
            <w:pPr>
              <w:spacing w:line="240" w:lineRule="auto"/>
              <w:jc w:val="center"/>
              <w:rPr>
                <w:rFonts w:ascii="Calibri" w:eastAsia="Times New Roman" w:hAnsi="Calibri" w:cs="Times New Roman"/>
                <w:color w:val="FFFFFF" w:themeColor="background1"/>
                <w:sz w:val="22"/>
              </w:rPr>
            </w:pPr>
            <w:r w:rsidRPr="00C82F55">
              <w:rPr>
                <w:rFonts w:ascii="Calibri" w:eastAsia="Times New Roman" w:hAnsi="Calibri" w:cs="Times New Roman"/>
                <w:color w:val="FFFFFF" w:themeColor="background1"/>
                <w:sz w:val="22"/>
              </w:rPr>
              <w:t>January - June 2016</w:t>
            </w:r>
          </w:p>
        </w:tc>
      </w:tr>
      <w:tr w:rsidR="00C82F55" w:rsidRPr="00C82F55" w14:paraId="0609F77D" w14:textId="77777777" w:rsidTr="00C82F5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75" w:type="dxa"/>
            <w:tcBorders>
              <w:right w:val="double" w:sz="4" w:space="0" w:color="auto"/>
            </w:tcBorders>
            <w:noWrap/>
            <w:hideMark/>
          </w:tcPr>
          <w:p w14:paraId="31EE1371" w14:textId="77777777" w:rsidR="00C82F55" w:rsidRPr="00C82F55" w:rsidRDefault="00C82F55" w:rsidP="00C82F55">
            <w:pPr>
              <w:spacing w:line="240" w:lineRule="auto"/>
              <w:jc w:val="center"/>
              <w:rPr>
                <w:rFonts w:ascii="Calibri" w:eastAsia="Times New Roman" w:hAnsi="Calibri" w:cs="Times New Roman"/>
                <w:color w:val="000000"/>
                <w:sz w:val="22"/>
              </w:rPr>
            </w:pPr>
          </w:p>
        </w:tc>
        <w:tc>
          <w:tcPr>
            <w:tcW w:w="2886" w:type="dxa"/>
            <w:gridSpan w:val="2"/>
            <w:tcBorders>
              <w:left w:val="double" w:sz="4" w:space="0" w:color="auto"/>
              <w:right w:val="double" w:sz="4" w:space="0" w:color="auto"/>
            </w:tcBorders>
            <w:noWrap/>
            <w:vAlign w:val="bottom"/>
            <w:hideMark/>
          </w:tcPr>
          <w:p w14:paraId="156C9571"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Service Providers</w:t>
            </w:r>
          </w:p>
        </w:tc>
        <w:tc>
          <w:tcPr>
            <w:tcW w:w="2855" w:type="dxa"/>
            <w:gridSpan w:val="2"/>
            <w:tcBorders>
              <w:left w:val="double" w:sz="4" w:space="0" w:color="auto"/>
            </w:tcBorders>
            <w:noWrap/>
            <w:vAlign w:val="bottom"/>
            <w:hideMark/>
          </w:tcPr>
          <w:p w14:paraId="01ADDD28"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Agency WSCs</w:t>
            </w:r>
          </w:p>
        </w:tc>
      </w:tr>
      <w:tr w:rsidR="00C82F55" w:rsidRPr="00C82F55" w14:paraId="4FD2CDF7" w14:textId="77777777" w:rsidTr="00C82F55">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475" w:type="dxa"/>
            <w:tcBorders>
              <w:right w:val="double" w:sz="4" w:space="0" w:color="auto"/>
            </w:tcBorders>
            <w:noWrap/>
            <w:vAlign w:val="bottom"/>
            <w:hideMark/>
          </w:tcPr>
          <w:p w14:paraId="4768337B" w14:textId="77777777" w:rsidR="00C82F55" w:rsidRPr="00C82F55" w:rsidRDefault="00C82F55" w:rsidP="00C82F55">
            <w:pPr>
              <w:spacing w:line="240" w:lineRule="auto"/>
              <w:rPr>
                <w:rFonts w:ascii="Calibri" w:eastAsia="Times New Roman" w:hAnsi="Calibri" w:cs="Times New Roman"/>
                <w:color w:val="000000"/>
                <w:sz w:val="22"/>
              </w:rPr>
            </w:pPr>
            <w:r w:rsidRPr="00C82F55">
              <w:rPr>
                <w:rFonts w:ascii="Calibri" w:eastAsia="Times New Roman" w:hAnsi="Calibri" w:cs="Times New Roman"/>
                <w:color w:val="000000"/>
                <w:sz w:val="22"/>
              </w:rPr>
              <w:t xml:space="preserve">Region </w:t>
            </w:r>
          </w:p>
        </w:tc>
        <w:tc>
          <w:tcPr>
            <w:tcW w:w="1988" w:type="dxa"/>
            <w:tcBorders>
              <w:left w:val="double" w:sz="4" w:space="0" w:color="auto"/>
            </w:tcBorders>
            <w:noWrap/>
            <w:vAlign w:val="bottom"/>
            <w:hideMark/>
          </w:tcPr>
          <w:p w14:paraId="038BC196"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 of Reviews</w:t>
            </w:r>
          </w:p>
        </w:tc>
        <w:tc>
          <w:tcPr>
            <w:tcW w:w="898" w:type="dxa"/>
            <w:tcBorders>
              <w:right w:val="double" w:sz="4" w:space="0" w:color="auto"/>
            </w:tcBorders>
            <w:noWrap/>
            <w:vAlign w:val="bottom"/>
            <w:hideMark/>
          </w:tcPr>
          <w:p w14:paraId="238E4367"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 Met</w:t>
            </w:r>
          </w:p>
        </w:tc>
        <w:tc>
          <w:tcPr>
            <w:tcW w:w="1833" w:type="dxa"/>
            <w:tcBorders>
              <w:left w:val="double" w:sz="4" w:space="0" w:color="auto"/>
            </w:tcBorders>
            <w:noWrap/>
            <w:vAlign w:val="bottom"/>
            <w:hideMark/>
          </w:tcPr>
          <w:p w14:paraId="23BC8AD4"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 of Reviews</w:t>
            </w:r>
          </w:p>
        </w:tc>
        <w:tc>
          <w:tcPr>
            <w:tcW w:w="1022" w:type="dxa"/>
            <w:noWrap/>
            <w:vAlign w:val="bottom"/>
            <w:hideMark/>
          </w:tcPr>
          <w:p w14:paraId="1326BAA3"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 Met</w:t>
            </w:r>
          </w:p>
        </w:tc>
      </w:tr>
      <w:tr w:rsidR="00C82F55" w:rsidRPr="00C82F55" w14:paraId="0C0C83C2" w14:textId="77777777" w:rsidTr="00C82F5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75" w:type="dxa"/>
            <w:tcBorders>
              <w:right w:val="double" w:sz="4" w:space="0" w:color="auto"/>
            </w:tcBorders>
            <w:noWrap/>
            <w:vAlign w:val="bottom"/>
            <w:hideMark/>
          </w:tcPr>
          <w:p w14:paraId="653452E5" w14:textId="77777777" w:rsidR="00C82F55" w:rsidRPr="00C82F55" w:rsidRDefault="00C82F55" w:rsidP="00C82F55">
            <w:pPr>
              <w:spacing w:line="240" w:lineRule="auto"/>
              <w:rPr>
                <w:rFonts w:ascii="Calibri" w:eastAsia="Times New Roman" w:hAnsi="Calibri" w:cs="Times New Roman"/>
                <w:color w:val="000000"/>
                <w:sz w:val="22"/>
              </w:rPr>
            </w:pPr>
            <w:r w:rsidRPr="00C82F55">
              <w:rPr>
                <w:rFonts w:ascii="Calibri" w:eastAsia="Times New Roman" w:hAnsi="Calibri" w:cs="Times New Roman"/>
                <w:color w:val="000000"/>
                <w:sz w:val="22"/>
              </w:rPr>
              <w:t>Northwest</w:t>
            </w:r>
          </w:p>
        </w:tc>
        <w:tc>
          <w:tcPr>
            <w:tcW w:w="1988" w:type="dxa"/>
            <w:tcBorders>
              <w:left w:val="double" w:sz="4" w:space="0" w:color="auto"/>
            </w:tcBorders>
            <w:vAlign w:val="bottom"/>
            <w:hideMark/>
          </w:tcPr>
          <w:p w14:paraId="235D170D"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6</w:t>
            </w:r>
          </w:p>
        </w:tc>
        <w:tc>
          <w:tcPr>
            <w:tcW w:w="898" w:type="dxa"/>
            <w:tcBorders>
              <w:right w:val="double" w:sz="4" w:space="0" w:color="auto"/>
            </w:tcBorders>
            <w:noWrap/>
            <w:vAlign w:val="bottom"/>
            <w:hideMark/>
          </w:tcPr>
          <w:p w14:paraId="454A0ADD"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94.3%</w:t>
            </w:r>
          </w:p>
        </w:tc>
        <w:tc>
          <w:tcPr>
            <w:tcW w:w="1833" w:type="dxa"/>
            <w:tcBorders>
              <w:left w:val="double" w:sz="4" w:space="0" w:color="auto"/>
            </w:tcBorders>
            <w:vAlign w:val="bottom"/>
            <w:hideMark/>
          </w:tcPr>
          <w:p w14:paraId="448FA284"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Cs w:val="24"/>
              </w:rPr>
            </w:pPr>
            <w:r w:rsidRPr="00C82F55">
              <w:rPr>
                <w:rFonts w:ascii="Times New Roman" w:eastAsia="Times New Roman" w:hAnsi="Times New Roman" w:cs="Times New Roman"/>
                <w:color w:val="000000"/>
                <w:szCs w:val="24"/>
              </w:rPr>
              <w:t>4</w:t>
            </w:r>
          </w:p>
        </w:tc>
        <w:tc>
          <w:tcPr>
            <w:tcW w:w="1022" w:type="dxa"/>
            <w:noWrap/>
            <w:vAlign w:val="bottom"/>
            <w:hideMark/>
          </w:tcPr>
          <w:p w14:paraId="555A80D0"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100.0%</w:t>
            </w:r>
          </w:p>
        </w:tc>
      </w:tr>
      <w:tr w:rsidR="00C82F55" w:rsidRPr="00C82F55" w14:paraId="542A3BE8" w14:textId="77777777" w:rsidTr="00C82F5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75" w:type="dxa"/>
            <w:tcBorders>
              <w:right w:val="double" w:sz="4" w:space="0" w:color="auto"/>
            </w:tcBorders>
            <w:noWrap/>
            <w:vAlign w:val="bottom"/>
            <w:hideMark/>
          </w:tcPr>
          <w:p w14:paraId="572754EF" w14:textId="77777777" w:rsidR="00C82F55" w:rsidRPr="00C82F55" w:rsidRDefault="00C82F55" w:rsidP="00C82F55">
            <w:pPr>
              <w:spacing w:line="240" w:lineRule="auto"/>
              <w:rPr>
                <w:rFonts w:ascii="Calibri" w:eastAsia="Times New Roman" w:hAnsi="Calibri" w:cs="Times New Roman"/>
                <w:color w:val="000000"/>
                <w:sz w:val="22"/>
              </w:rPr>
            </w:pPr>
            <w:r w:rsidRPr="00C82F55">
              <w:rPr>
                <w:rFonts w:ascii="Calibri" w:eastAsia="Times New Roman" w:hAnsi="Calibri" w:cs="Times New Roman"/>
                <w:color w:val="000000"/>
                <w:sz w:val="22"/>
              </w:rPr>
              <w:t>Northeast</w:t>
            </w:r>
          </w:p>
        </w:tc>
        <w:tc>
          <w:tcPr>
            <w:tcW w:w="1988" w:type="dxa"/>
            <w:tcBorders>
              <w:left w:val="double" w:sz="4" w:space="0" w:color="auto"/>
            </w:tcBorders>
            <w:vAlign w:val="bottom"/>
            <w:hideMark/>
          </w:tcPr>
          <w:p w14:paraId="1AF23C27"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80</w:t>
            </w:r>
          </w:p>
        </w:tc>
        <w:tc>
          <w:tcPr>
            <w:tcW w:w="898" w:type="dxa"/>
            <w:tcBorders>
              <w:right w:val="double" w:sz="4" w:space="0" w:color="auto"/>
            </w:tcBorders>
            <w:noWrap/>
            <w:vAlign w:val="bottom"/>
            <w:hideMark/>
          </w:tcPr>
          <w:p w14:paraId="59FA6A26"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92.5%</w:t>
            </w:r>
          </w:p>
        </w:tc>
        <w:tc>
          <w:tcPr>
            <w:tcW w:w="1833" w:type="dxa"/>
            <w:tcBorders>
              <w:left w:val="double" w:sz="4" w:space="0" w:color="auto"/>
            </w:tcBorders>
            <w:vAlign w:val="bottom"/>
            <w:hideMark/>
          </w:tcPr>
          <w:p w14:paraId="76C726AB"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C82F55">
              <w:rPr>
                <w:rFonts w:ascii="Times New Roman" w:eastAsia="Times New Roman" w:hAnsi="Times New Roman" w:cs="Times New Roman"/>
                <w:color w:val="000000"/>
                <w:szCs w:val="24"/>
              </w:rPr>
              <w:t>6</w:t>
            </w:r>
          </w:p>
        </w:tc>
        <w:tc>
          <w:tcPr>
            <w:tcW w:w="1022" w:type="dxa"/>
            <w:noWrap/>
            <w:vAlign w:val="bottom"/>
            <w:hideMark/>
          </w:tcPr>
          <w:p w14:paraId="5123596B"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97.5%</w:t>
            </w:r>
          </w:p>
        </w:tc>
      </w:tr>
      <w:tr w:rsidR="00C82F55" w:rsidRPr="00C82F55" w14:paraId="1A9AB1E0" w14:textId="77777777" w:rsidTr="00C82F5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75" w:type="dxa"/>
            <w:tcBorders>
              <w:right w:val="double" w:sz="4" w:space="0" w:color="auto"/>
            </w:tcBorders>
            <w:noWrap/>
            <w:vAlign w:val="bottom"/>
            <w:hideMark/>
          </w:tcPr>
          <w:p w14:paraId="73490B8B" w14:textId="77777777" w:rsidR="00C82F55" w:rsidRPr="00C82F55" w:rsidRDefault="00C82F55" w:rsidP="00C82F55">
            <w:pPr>
              <w:spacing w:line="240" w:lineRule="auto"/>
              <w:rPr>
                <w:rFonts w:ascii="Calibri" w:eastAsia="Times New Roman" w:hAnsi="Calibri" w:cs="Times New Roman"/>
                <w:color w:val="000000"/>
                <w:sz w:val="22"/>
              </w:rPr>
            </w:pPr>
            <w:r w:rsidRPr="00C82F55">
              <w:rPr>
                <w:rFonts w:ascii="Calibri" w:eastAsia="Times New Roman" w:hAnsi="Calibri" w:cs="Times New Roman"/>
                <w:color w:val="000000"/>
                <w:sz w:val="22"/>
              </w:rPr>
              <w:t>Central</w:t>
            </w:r>
          </w:p>
        </w:tc>
        <w:tc>
          <w:tcPr>
            <w:tcW w:w="1988" w:type="dxa"/>
            <w:tcBorders>
              <w:left w:val="double" w:sz="4" w:space="0" w:color="auto"/>
            </w:tcBorders>
            <w:vAlign w:val="bottom"/>
            <w:hideMark/>
          </w:tcPr>
          <w:p w14:paraId="544CD2A6"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93</w:t>
            </w:r>
          </w:p>
        </w:tc>
        <w:tc>
          <w:tcPr>
            <w:tcW w:w="898" w:type="dxa"/>
            <w:tcBorders>
              <w:right w:val="double" w:sz="4" w:space="0" w:color="auto"/>
            </w:tcBorders>
            <w:noWrap/>
            <w:vAlign w:val="bottom"/>
            <w:hideMark/>
          </w:tcPr>
          <w:p w14:paraId="223A0D96"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91.4%</w:t>
            </w:r>
          </w:p>
        </w:tc>
        <w:tc>
          <w:tcPr>
            <w:tcW w:w="1833" w:type="dxa"/>
            <w:tcBorders>
              <w:left w:val="double" w:sz="4" w:space="0" w:color="auto"/>
            </w:tcBorders>
            <w:vAlign w:val="bottom"/>
            <w:hideMark/>
          </w:tcPr>
          <w:p w14:paraId="282800D2"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Cs w:val="24"/>
              </w:rPr>
            </w:pPr>
            <w:r w:rsidRPr="00C82F55">
              <w:rPr>
                <w:rFonts w:ascii="Times New Roman" w:eastAsia="Times New Roman" w:hAnsi="Times New Roman" w:cs="Times New Roman"/>
                <w:color w:val="000000"/>
                <w:szCs w:val="24"/>
              </w:rPr>
              <w:t>9</w:t>
            </w:r>
          </w:p>
        </w:tc>
        <w:tc>
          <w:tcPr>
            <w:tcW w:w="1022" w:type="dxa"/>
            <w:noWrap/>
            <w:vAlign w:val="bottom"/>
            <w:hideMark/>
          </w:tcPr>
          <w:p w14:paraId="21B43D26"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98.1%</w:t>
            </w:r>
          </w:p>
        </w:tc>
      </w:tr>
      <w:tr w:rsidR="00C82F55" w:rsidRPr="00C82F55" w14:paraId="0525C2DD" w14:textId="77777777" w:rsidTr="00C82F5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75" w:type="dxa"/>
            <w:tcBorders>
              <w:right w:val="double" w:sz="4" w:space="0" w:color="auto"/>
            </w:tcBorders>
            <w:noWrap/>
            <w:vAlign w:val="bottom"/>
            <w:hideMark/>
          </w:tcPr>
          <w:p w14:paraId="3BA69466" w14:textId="77777777" w:rsidR="00C82F55" w:rsidRPr="00C82F55" w:rsidRDefault="00C82F55" w:rsidP="00C82F55">
            <w:pPr>
              <w:spacing w:line="240" w:lineRule="auto"/>
              <w:rPr>
                <w:rFonts w:ascii="Calibri" w:eastAsia="Times New Roman" w:hAnsi="Calibri" w:cs="Times New Roman"/>
                <w:color w:val="000000"/>
                <w:sz w:val="22"/>
              </w:rPr>
            </w:pPr>
            <w:r w:rsidRPr="00C82F55">
              <w:rPr>
                <w:rFonts w:ascii="Calibri" w:eastAsia="Times New Roman" w:hAnsi="Calibri" w:cs="Times New Roman"/>
                <w:color w:val="000000"/>
                <w:sz w:val="22"/>
              </w:rPr>
              <w:t>Suncoast</w:t>
            </w:r>
          </w:p>
        </w:tc>
        <w:tc>
          <w:tcPr>
            <w:tcW w:w="1988" w:type="dxa"/>
            <w:tcBorders>
              <w:left w:val="double" w:sz="4" w:space="0" w:color="auto"/>
            </w:tcBorders>
            <w:vAlign w:val="bottom"/>
            <w:hideMark/>
          </w:tcPr>
          <w:p w14:paraId="0097E579"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86</w:t>
            </w:r>
          </w:p>
        </w:tc>
        <w:tc>
          <w:tcPr>
            <w:tcW w:w="898" w:type="dxa"/>
            <w:tcBorders>
              <w:right w:val="double" w:sz="4" w:space="0" w:color="auto"/>
            </w:tcBorders>
            <w:noWrap/>
            <w:vAlign w:val="bottom"/>
            <w:hideMark/>
          </w:tcPr>
          <w:p w14:paraId="5E4B1352"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93.3%</w:t>
            </w:r>
          </w:p>
        </w:tc>
        <w:tc>
          <w:tcPr>
            <w:tcW w:w="1833" w:type="dxa"/>
            <w:tcBorders>
              <w:left w:val="double" w:sz="4" w:space="0" w:color="auto"/>
            </w:tcBorders>
            <w:vAlign w:val="bottom"/>
            <w:hideMark/>
          </w:tcPr>
          <w:p w14:paraId="01310BC2"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C82F55">
              <w:rPr>
                <w:rFonts w:ascii="Times New Roman" w:eastAsia="Times New Roman" w:hAnsi="Times New Roman" w:cs="Times New Roman"/>
                <w:color w:val="000000"/>
                <w:szCs w:val="24"/>
              </w:rPr>
              <w:t>11</w:t>
            </w:r>
          </w:p>
        </w:tc>
        <w:tc>
          <w:tcPr>
            <w:tcW w:w="1022" w:type="dxa"/>
            <w:noWrap/>
            <w:vAlign w:val="bottom"/>
            <w:hideMark/>
          </w:tcPr>
          <w:p w14:paraId="519CBDAF"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97.2%</w:t>
            </w:r>
          </w:p>
        </w:tc>
      </w:tr>
      <w:tr w:rsidR="00C82F55" w:rsidRPr="00C82F55" w14:paraId="3D078275" w14:textId="77777777" w:rsidTr="00C82F55">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75" w:type="dxa"/>
            <w:tcBorders>
              <w:bottom w:val="single" w:sz="8" w:space="0" w:color="78C0D4" w:themeColor="accent5" w:themeTint="BF"/>
              <w:right w:val="double" w:sz="4" w:space="0" w:color="auto"/>
            </w:tcBorders>
            <w:noWrap/>
            <w:vAlign w:val="bottom"/>
            <w:hideMark/>
          </w:tcPr>
          <w:p w14:paraId="14B14086" w14:textId="77777777" w:rsidR="00C82F55" w:rsidRPr="00C82F55" w:rsidRDefault="00C82F55" w:rsidP="00C82F55">
            <w:pPr>
              <w:spacing w:line="240" w:lineRule="auto"/>
              <w:rPr>
                <w:rFonts w:ascii="Calibri" w:eastAsia="Times New Roman" w:hAnsi="Calibri" w:cs="Times New Roman"/>
                <w:color w:val="000000"/>
                <w:sz w:val="22"/>
              </w:rPr>
            </w:pPr>
            <w:r w:rsidRPr="00C82F55">
              <w:rPr>
                <w:rFonts w:ascii="Calibri" w:eastAsia="Times New Roman" w:hAnsi="Calibri" w:cs="Times New Roman"/>
                <w:color w:val="000000"/>
                <w:sz w:val="22"/>
              </w:rPr>
              <w:lastRenderedPageBreak/>
              <w:t>Southeast</w:t>
            </w:r>
          </w:p>
        </w:tc>
        <w:tc>
          <w:tcPr>
            <w:tcW w:w="1988" w:type="dxa"/>
            <w:tcBorders>
              <w:left w:val="double" w:sz="4" w:space="0" w:color="auto"/>
              <w:bottom w:val="single" w:sz="8" w:space="0" w:color="78C0D4" w:themeColor="accent5" w:themeTint="BF"/>
            </w:tcBorders>
            <w:vAlign w:val="bottom"/>
            <w:hideMark/>
          </w:tcPr>
          <w:p w14:paraId="6F051CE8"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121</w:t>
            </w:r>
          </w:p>
        </w:tc>
        <w:tc>
          <w:tcPr>
            <w:tcW w:w="898" w:type="dxa"/>
            <w:tcBorders>
              <w:bottom w:val="single" w:sz="8" w:space="0" w:color="78C0D4" w:themeColor="accent5" w:themeTint="BF"/>
              <w:right w:val="double" w:sz="4" w:space="0" w:color="auto"/>
            </w:tcBorders>
            <w:noWrap/>
            <w:vAlign w:val="bottom"/>
            <w:hideMark/>
          </w:tcPr>
          <w:p w14:paraId="3232F462"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94.4%</w:t>
            </w:r>
          </w:p>
        </w:tc>
        <w:tc>
          <w:tcPr>
            <w:tcW w:w="1833" w:type="dxa"/>
            <w:tcBorders>
              <w:left w:val="double" w:sz="4" w:space="0" w:color="auto"/>
              <w:bottom w:val="single" w:sz="8" w:space="0" w:color="78C0D4" w:themeColor="accent5" w:themeTint="BF"/>
            </w:tcBorders>
            <w:vAlign w:val="bottom"/>
            <w:hideMark/>
          </w:tcPr>
          <w:p w14:paraId="67D61011"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Cs w:val="24"/>
              </w:rPr>
            </w:pPr>
            <w:r w:rsidRPr="00C82F55">
              <w:rPr>
                <w:rFonts w:ascii="Times New Roman" w:eastAsia="Times New Roman" w:hAnsi="Times New Roman" w:cs="Times New Roman"/>
                <w:color w:val="000000"/>
                <w:szCs w:val="24"/>
              </w:rPr>
              <w:t>12</w:t>
            </w:r>
          </w:p>
        </w:tc>
        <w:tc>
          <w:tcPr>
            <w:tcW w:w="1022" w:type="dxa"/>
            <w:tcBorders>
              <w:bottom w:val="single" w:sz="8" w:space="0" w:color="78C0D4" w:themeColor="accent5" w:themeTint="BF"/>
            </w:tcBorders>
            <w:noWrap/>
            <w:vAlign w:val="bottom"/>
            <w:hideMark/>
          </w:tcPr>
          <w:p w14:paraId="1A334C6C"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100.0%</w:t>
            </w:r>
          </w:p>
        </w:tc>
      </w:tr>
      <w:tr w:rsidR="00C82F55" w:rsidRPr="00C82F55" w14:paraId="1F20AF9D" w14:textId="77777777" w:rsidTr="00C82F5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475" w:type="dxa"/>
            <w:tcBorders>
              <w:bottom w:val="double" w:sz="4" w:space="0" w:color="auto"/>
              <w:right w:val="double" w:sz="4" w:space="0" w:color="auto"/>
            </w:tcBorders>
            <w:noWrap/>
            <w:vAlign w:val="bottom"/>
            <w:hideMark/>
          </w:tcPr>
          <w:p w14:paraId="64249752" w14:textId="77777777" w:rsidR="00C82F55" w:rsidRPr="00C82F55" w:rsidRDefault="00C82F55" w:rsidP="00C82F55">
            <w:pPr>
              <w:spacing w:line="240" w:lineRule="auto"/>
              <w:rPr>
                <w:rFonts w:ascii="Calibri" w:eastAsia="Times New Roman" w:hAnsi="Calibri" w:cs="Times New Roman"/>
                <w:color w:val="000000"/>
                <w:sz w:val="22"/>
              </w:rPr>
            </w:pPr>
            <w:r w:rsidRPr="00C82F55">
              <w:rPr>
                <w:rFonts w:ascii="Calibri" w:eastAsia="Times New Roman" w:hAnsi="Calibri" w:cs="Times New Roman"/>
                <w:color w:val="000000"/>
                <w:sz w:val="22"/>
              </w:rPr>
              <w:t>Southern</w:t>
            </w:r>
          </w:p>
        </w:tc>
        <w:tc>
          <w:tcPr>
            <w:tcW w:w="1988" w:type="dxa"/>
            <w:tcBorders>
              <w:left w:val="double" w:sz="4" w:space="0" w:color="auto"/>
              <w:bottom w:val="double" w:sz="4" w:space="0" w:color="auto"/>
            </w:tcBorders>
            <w:vAlign w:val="bottom"/>
            <w:hideMark/>
          </w:tcPr>
          <w:p w14:paraId="6ACE164E"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96</w:t>
            </w:r>
          </w:p>
        </w:tc>
        <w:tc>
          <w:tcPr>
            <w:tcW w:w="898" w:type="dxa"/>
            <w:tcBorders>
              <w:bottom w:val="double" w:sz="4" w:space="0" w:color="auto"/>
              <w:right w:val="double" w:sz="4" w:space="0" w:color="auto"/>
            </w:tcBorders>
            <w:noWrap/>
            <w:vAlign w:val="bottom"/>
            <w:hideMark/>
          </w:tcPr>
          <w:p w14:paraId="7F3A8F4A"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93.0%</w:t>
            </w:r>
          </w:p>
        </w:tc>
        <w:tc>
          <w:tcPr>
            <w:tcW w:w="1833" w:type="dxa"/>
            <w:tcBorders>
              <w:left w:val="double" w:sz="4" w:space="0" w:color="auto"/>
              <w:bottom w:val="double" w:sz="4" w:space="0" w:color="auto"/>
            </w:tcBorders>
            <w:vAlign w:val="bottom"/>
            <w:hideMark/>
          </w:tcPr>
          <w:p w14:paraId="04980BBD"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Cs w:val="24"/>
              </w:rPr>
            </w:pPr>
            <w:r w:rsidRPr="00C82F55">
              <w:rPr>
                <w:rFonts w:ascii="Times New Roman" w:eastAsia="Times New Roman" w:hAnsi="Times New Roman" w:cs="Times New Roman"/>
                <w:color w:val="000000"/>
                <w:szCs w:val="24"/>
              </w:rPr>
              <w:t>11</w:t>
            </w:r>
          </w:p>
        </w:tc>
        <w:tc>
          <w:tcPr>
            <w:tcW w:w="1022" w:type="dxa"/>
            <w:tcBorders>
              <w:bottom w:val="double" w:sz="4" w:space="0" w:color="auto"/>
            </w:tcBorders>
            <w:noWrap/>
            <w:vAlign w:val="bottom"/>
            <w:hideMark/>
          </w:tcPr>
          <w:p w14:paraId="5806FCE5" w14:textId="77777777" w:rsidR="00C82F55" w:rsidRPr="00C82F55" w:rsidRDefault="00C82F55" w:rsidP="00C82F5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97.5%</w:t>
            </w:r>
          </w:p>
        </w:tc>
      </w:tr>
      <w:tr w:rsidR="00C82F55" w:rsidRPr="00C82F55" w14:paraId="17266280" w14:textId="77777777" w:rsidTr="00C82F55">
        <w:trPr>
          <w:cnfStyle w:val="000000010000" w:firstRow="0" w:lastRow="0" w:firstColumn="0" w:lastColumn="0" w:oddVBand="0" w:evenVBand="0" w:oddHBand="0" w:evenHBand="1"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1475" w:type="dxa"/>
            <w:tcBorders>
              <w:top w:val="double" w:sz="4" w:space="0" w:color="auto"/>
              <w:right w:val="double" w:sz="4" w:space="0" w:color="auto"/>
            </w:tcBorders>
            <w:noWrap/>
            <w:vAlign w:val="bottom"/>
            <w:hideMark/>
          </w:tcPr>
          <w:p w14:paraId="43FDEC62" w14:textId="77777777" w:rsidR="00C82F55" w:rsidRPr="00C82F55" w:rsidRDefault="00C82F55" w:rsidP="00C82F55">
            <w:pPr>
              <w:spacing w:line="240" w:lineRule="auto"/>
              <w:rPr>
                <w:rFonts w:ascii="Calibri" w:eastAsia="Times New Roman" w:hAnsi="Calibri" w:cs="Times New Roman"/>
                <w:color w:val="000000"/>
                <w:sz w:val="22"/>
              </w:rPr>
            </w:pPr>
            <w:r w:rsidRPr="00C82F55">
              <w:rPr>
                <w:rFonts w:ascii="Calibri" w:eastAsia="Times New Roman" w:hAnsi="Calibri" w:cs="Times New Roman"/>
                <w:color w:val="000000"/>
                <w:sz w:val="22"/>
              </w:rPr>
              <w:t xml:space="preserve">State </w:t>
            </w:r>
          </w:p>
        </w:tc>
        <w:tc>
          <w:tcPr>
            <w:tcW w:w="1988" w:type="dxa"/>
            <w:tcBorders>
              <w:top w:val="double" w:sz="4" w:space="0" w:color="auto"/>
              <w:left w:val="double" w:sz="4" w:space="0" w:color="auto"/>
            </w:tcBorders>
            <w:vAlign w:val="bottom"/>
            <w:hideMark/>
          </w:tcPr>
          <w:p w14:paraId="7F6236FA"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482</w:t>
            </w:r>
          </w:p>
        </w:tc>
        <w:tc>
          <w:tcPr>
            <w:tcW w:w="898" w:type="dxa"/>
            <w:tcBorders>
              <w:top w:val="double" w:sz="4" w:space="0" w:color="auto"/>
              <w:right w:val="double" w:sz="4" w:space="0" w:color="auto"/>
            </w:tcBorders>
            <w:noWrap/>
            <w:vAlign w:val="bottom"/>
            <w:hideMark/>
          </w:tcPr>
          <w:p w14:paraId="75E40AAE"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93.0%</w:t>
            </w:r>
          </w:p>
        </w:tc>
        <w:tc>
          <w:tcPr>
            <w:tcW w:w="1833" w:type="dxa"/>
            <w:tcBorders>
              <w:top w:val="double" w:sz="4" w:space="0" w:color="auto"/>
              <w:left w:val="double" w:sz="4" w:space="0" w:color="auto"/>
            </w:tcBorders>
            <w:vAlign w:val="bottom"/>
            <w:hideMark/>
          </w:tcPr>
          <w:p w14:paraId="487AAAC6"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Cs w:val="24"/>
              </w:rPr>
            </w:pPr>
            <w:r w:rsidRPr="00C82F55">
              <w:rPr>
                <w:rFonts w:ascii="Times New Roman" w:eastAsia="Times New Roman" w:hAnsi="Times New Roman" w:cs="Times New Roman"/>
                <w:color w:val="000000"/>
                <w:szCs w:val="24"/>
              </w:rPr>
              <w:t>53</w:t>
            </w:r>
          </w:p>
        </w:tc>
        <w:tc>
          <w:tcPr>
            <w:tcW w:w="1022" w:type="dxa"/>
            <w:tcBorders>
              <w:top w:val="double" w:sz="4" w:space="0" w:color="auto"/>
            </w:tcBorders>
            <w:noWrap/>
            <w:vAlign w:val="bottom"/>
            <w:hideMark/>
          </w:tcPr>
          <w:p w14:paraId="24F6479F" w14:textId="77777777" w:rsidR="00C82F55" w:rsidRPr="00C82F55" w:rsidRDefault="00C82F55" w:rsidP="00C82F5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C82F55">
              <w:rPr>
                <w:rFonts w:ascii="Calibri" w:eastAsia="Times New Roman" w:hAnsi="Calibri" w:cs="Times New Roman"/>
                <w:color w:val="000000"/>
                <w:sz w:val="22"/>
              </w:rPr>
              <w:t>98.2%</w:t>
            </w:r>
          </w:p>
        </w:tc>
      </w:tr>
    </w:tbl>
    <w:p w14:paraId="1BE32C30" w14:textId="77777777" w:rsidR="00807B1F" w:rsidRDefault="00807B1F" w:rsidP="003649E9"/>
    <w:p w14:paraId="5E54E539" w14:textId="77777777" w:rsidR="003649E9" w:rsidRDefault="003649E9" w:rsidP="001B6245">
      <w:pPr>
        <w:pStyle w:val="Heading3"/>
      </w:pPr>
      <w:bookmarkStart w:id="59" w:name="_Toc459080648"/>
      <w:r>
        <w:t>Qualifications and Training Requirements</w:t>
      </w:r>
      <w:bookmarkEnd w:id="58"/>
      <w:bookmarkEnd w:id="59"/>
    </w:p>
    <w:p w14:paraId="79EAB191" w14:textId="51997506" w:rsidR="003649E9" w:rsidRPr="00846E0A" w:rsidRDefault="003649E9" w:rsidP="003649E9">
      <w:r w:rsidRPr="00471579">
        <w:t xml:space="preserve">Providers </w:t>
      </w:r>
      <w:r w:rsidR="007408F6">
        <w:t xml:space="preserve">and all direct service employees </w:t>
      </w:r>
      <w:r w:rsidRPr="00471579">
        <w:t xml:space="preserve">are required to have certain training and education completed in order to render specific services.  </w:t>
      </w:r>
      <w:r w:rsidR="00781822">
        <w:t>F</w:t>
      </w:r>
      <w:r w:rsidR="00781822" w:rsidRPr="00173791">
        <w:t xml:space="preserve">or each </w:t>
      </w:r>
      <w:r w:rsidR="003505F2">
        <w:t>Service P</w:t>
      </w:r>
      <w:r w:rsidR="00781822" w:rsidRPr="00173791">
        <w:t>rovider</w:t>
      </w:r>
      <w:r w:rsidR="003505F2">
        <w:t xml:space="preserve"> and </w:t>
      </w:r>
      <w:r w:rsidR="00781822">
        <w:t>WSC</w:t>
      </w:r>
      <w:r w:rsidR="00781822" w:rsidRPr="00173791">
        <w:t xml:space="preserve">, several employee records </w:t>
      </w:r>
      <w:r w:rsidR="00781822">
        <w:t>are</w:t>
      </w:r>
      <w:r w:rsidR="00781822" w:rsidRPr="00173791">
        <w:t xml:space="preserve"> reviewed.</w:t>
      </w:r>
      <w:r w:rsidR="00781822">
        <w:t xml:space="preserve">  During the first </w:t>
      </w:r>
      <w:r w:rsidR="003505F2">
        <w:t xml:space="preserve">two </w:t>
      </w:r>
      <w:r w:rsidR="00781822">
        <w:t>quarter</w:t>
      </w:r>
      <w:r w:rsidR="003505F2">
        <w:t>s</w:t>
      </w:r>
      <w:r w:rsidR="00781822">
        <w:t xml:space="preserve">, of the </w:t>
      </w:r>
      <w:r w:rsidR="003505F2">
        <w:t xml:space="preserve">668 </w:t>
      </w:r>
      <w:r w:rsidR="00781822">
        <w:t xml:space="preserve">providers and </w:t>
      </w:r>
      <w:r w:rsidR="003505F2">
        <w:t xml:space="preserve">265 </w:t>
      </w:r>
      <w:r w:rsidR="00781822">
        <w:t xml:space="preserve">WSCs who participated in a PDR, </w:t>
      </w:r>
      <w:r w:rsidR="003505F2">
        <w:t>1,563</w:t>
      </w:r>
      <w:r w:rsidR="00781822">
        <w:t xml:space="preserve"> and </w:t>
      </w:r>
      <w:r w:rsidR="003505F2">
        <w:t>345</w:t>
      </w:r>
      <w:r w:rsidR="00781822">
        <w:t xml:space="preserve"> employee records were reviewed, respectively.  </w:t>
      </w:r>
      <w:r w:rsidRPr="00471579">
        <w:t xml:space="preserve">A description of each standard scored within the Administrative Qualifications and Training </w:t>
      </w:r>
      <w:r w:rsidRPr="00846E0A">
        <w:t xml:space="preserve">component of the PDR is shown in Table 19 for service providers and Table 20 for WSCs. Compliance rates by region </w:t>
      </w:r>
      <w:r w:rsidR="00781822" w:rsidRPr="00846E0A">
        <w:t xml:space="preserve">provided in </w:t>
      </w:r>
      <w:r w:rsidRPr="00846E0A">
        <w:t>Table 21.  Qualifications and Training compliance rates across the standards were quite high, and indicate:</w:t>
      </w:r>
      <w:r w:rsidRPr="00846E0A">
        <w:rPr>
          <w:rStyle w:val="FootnoteReference"/>
        </w:rPr>
        <w:footnoteReference w:id="14"/>
      </w:r>
      <w:r w:rsidRPr="00846E0A">
        <w:t xml:space="preserve"> </w:t>
      </w:r>
    </w:p>
    <w:p w14:paraId="5949AB23" w14:textId="77777777" w:rsidR="00207156" w:rsidRPr="00846E0A" w:rsidRDefault="00207156" w:rsidP="003649E9"/>
    <w:p w14:paraId="3BAAFD2A" w14:textId="65DC4873" w:rsidR="003649E9" w:rsidRPr="00846E0A" w:rsidRDefault="003649E9" w:rsidP="003649E9">
      <w:pPr>
        <w:pStyle w:val="ListParagraph"/>
        <w:numPr>
          <w:ilvl w:val="0"/>
          <w:numId w:val="10"/>
        </w:numPr>
      </w:pPr>
      <w:r w:rsidRPr="00846E0A">
        <w:t>Average compliance for service providers was 96.</w:t>
      </w:r>
      <w:r w:rsidR="009F7BEB" w:rsidRPr="00846E0A">
        <w:t>0</w:t>
      </w:r>
      <w:r w:rsidRPr="00846E0A">
        <w:t xml:space="preserve"> percent and 96.</w:t>
      </w:r>
      <w:r w:rsidR="009F7BEB" w:rsidRPr="00846E0A">
        <w:t>9</w:t>
      </w:r>
      <w:r w:rsidR="00846E0A" w:rsidRPr="00846E0A">
        <w:t xml:space="preserve"> percent for WSCs</w:t>
      </w:r>
      <w:r w:rsidRPr="00846E0A">
        <w:t xml:space="preserve"> </w:t>
      </w:r>
    </w:p>
    <w:p w14:paraId="29BF06E8" w14:textId="0F39145C" w:rsidR="003649E9" w:rsidRPr="00846E0A" w:rsidRDefault="003649E9" w:rsidP="003649E9">
      <w:pPr>
        <w:pStyle w:val="ListParagraph"/>
        <w:numPr>
          <w:ilvl w:val="0"/>
          <w:numId w:val="10"/>
        </w:numPr>
      </w:pPr>
      <w:r w:rsidRPr="00846E0A">
        <w:t xml:space="preserve">Service providers </w:t>
      </w:r>
      <w:r w:rsidR="00207156" w:rsidRPr="00846E0A">
        <w:t xml:space="preserve">reviewed to date </w:t>
      </w:r>
      <w:r w:rsidRPr="00846E0A">
        <w:t xml:space="preserve">scored </w:t>
      </w:r>
      <w:r w:rsidR="009F7BEB" w:rsidRPr="00846E0A">
        <w:t>showed lowest compliance in receiving eight hours of annual in-service training (79</w:t>
      </w:r>
      <w:r w:rsidR="00846E0A" w:rsidRPr="00846E0A">
        <w:t>.5%)</w:t>
      </w:r>
    </w:p>
    <w:p w14:paraId="193B4735" w14:textId="13E6421F" w:rsidR="003649E9" w:rsidRPr="00846E0A" w:rsidRDefault="003649E9" w:rsidP="003649E9">
      <w:pPr>
        <w:pStyle w:val="ListParagraph"/>
        <w:numPr>
          <w:ilvl w:val="0"/>
          <w:numId w:val="10"/>
        </w:numPr>
      </w:pPr>
      <w:r w:rsidRPr="00846E0A">
        <w:t xml:space="preserve">WSCs were least likely to have received </w:t>
      </w:r>
      <w:r w:rsidR="00036C20" w:rsidRPr="00846E0A">
        <w:t xml:space="preserve">annual </w:t>
      </w:r>
      <w:r w:rsidRPr="00846E0A">
        <w:t>training in HIPAA</w:t>
      </w:r>
      <w:r w:rsidR="00341DD6" w:rsidRPr="00846E0A">
        <w:t>.</w:t>
      </w:r>
      <w:r w:rsidRPr="00846E0A">
        <w:t xml:space="preserve"> (</w:t>
      </w:r>
      <w:r w:rsidR="00846E0A" w:rsidRPr="00846E0A">
        <w:t>89.2</w:t>
      </w:r>
      <w:r w:rsidRPr="00846E0A">
        <w:t>%)</w:t>
      </w:r>
    </w:p>
    <w:p w14:paraId="15DEF83F" w14:textId="4EC15856" w:rsidR="00846E0A" w:rsidRPr="00846E0A" w:rsidRDefault="00846E0A" w:rsidP="003649E9">
      <w:pPr>
        <w:pStyle w:val="ListParagraph"/>
        <w:numPr>
          <w:ilvl w:val="0"/>
          <w:numId w:val="10"/>
        </w:numPr>
      </w:pPr>
      <w:r w:rsidRPr="00846E0A">
        <w:t>Through the first two quarters of the year, there is very little variation across regions</w:t>
      </w:r>
    </w:p>
    <w:p w14:paraId="72F8181C" w14:textId="2BC1564B" w:rsidR="00807B1F" w:rsidRDefault="00807B1F">
      <w:pPr>
        <w:spacing w:line="240" w:lineRule="auto"/>
      </w:pPr>
    </w:p>
    <w:p w14:paraId="22D9E2EC" w14:textId="77777777" w:rsidR="00CB0546" w:rsidRDefault="00CB0546" w:rsidP="00CB0546">
      <w:pPr>
        <w:pStyle w:val="ListParagraph"/>
      </w:pPr>
    </w:p>
    <w:p w14:paraId="122789BC" w14:textId="77777777" w:rsidR="003649E9" w:rsidRDefault="003649E9" w:rsidP="003649E9">
      <w:pPr>
        <w:spacing w:line="240" w:lineRule="auto"/>
        <w:jc w:val="center"/>
      </w:pPr>
    </w:p>
    <w:tbl>
      <w:tblPr>
        <w:tblStyle w:val="MediumShading1-Accent1"/>
        <w:tblW w:w="9558" w:type="dxa"/>
        <w:jc w:val="center"/>
        <w:tblLook w:val="04A0" w:firstRow="1" w:lastRow="0" w:firstColumn="1" w:lastColumn="0" w:noHBand="0" w:noVBand="1"/>
      </w:tblPr>
      <w:tblGrid>
        <w:gridCol w:w="6948"/>
        <w:gridCol w:w="1440"/>
        <w:gridCol w:w="1170"/>
      </w:tblGrid>
      <w:tr w:rsidR="00DC6625" w:rsidRPr="00DC6625" w14:paraId="285E4E3C" w14:textId="77777777" w:rsidTr="009F7BEB">
        <w:trPr>
          <w:cnfStyle w:val="100000000000" w:firstRow="1" w:lastRow="0" w:firstColumn="0" w:lastColumn="0" w:oddVBand="0" w:evenVBand="0" w:oddHBand="0" w:evenHBand="0" w:firstRowFirstColumn="0" w:firstRowLastColumn="0" w:lastRowFirstColumn="0" w:lastRowLastColumn="0"/>
          <w:trHeight w:val="345"/>
          <w:tblHeader/>
          <w:jc w:val="center"/>
        </w:trPr>
        <w:tc>
          <w:tcPr>
            <w:cnfStyle w:val="001000000000" w:firstRow="0" w:lastRow="0" w:firstColumn="1" w:lastColumn="0" w:oddVBand="0" w:evenVBand="0" w:oddHBand="0" w:evenHBand="0" w:firstRowFirstColumn="0" w:firstRowLastColumn="0" w:lastRowFirstColumn="0" w:lastRowLastColumn="0"/>
            <w:tcW w:w="9558" w:type="dxa"/>
            <w:gridSpan w:val="3"/>
            <w:shd w:val="clear" w:color="auto" w:fill="244061" w:themeFill="accent1" w:themeFillShade="80"/>
            <w:noWrap/>
            <w:hideMark/>
          </w:tcPr>
          <w:p w14:paraId="796810ED" w14:textId="77777777" w:rsidR="00DC6625" w:rsidRPr="00DC6625" w:rsidRDefault="00DC6625" w:rsidP="00DC6625">
            <w:pPr>
              <w:spacing w:line="240" w:lineRule="auto"/>
              <w:jc w:val="center"/>
              <w:rPr>
                <w:rFonts w:ascii="Franklin Gothic Medium" w:eastAsia="Times New Roman" w:hAnsi="Franklin Gothic Medium" w:cs="Times New Roman"/>
                <w:b w:val="0"/>
                <w:szCs w:val="24"/>
              </w:rPr>
            </w:pPr>
            <w:r w:rsidRPr="00DC6625">
              <w:rPr>
                <w:rFonts w:ascii="Franklin Gothic Medium" w:eastAsia="Times New Roman" w:hAnsi="Franklin Gothic Medium" w:cs="Times New Roman"/>
                <w:b w:val="0"/>
                <w:szCs w:val="24"/>
              </w:rPr>
              <w:t>Table 19:  PDR Qualifications and Training Service Provider Results by Standard</w:t>
            </w:r>
          </w:p>
        </w:tc>
      </w:tr>
      <w:tr w:rsidR="00DC6625" w:rsidRPr="00DC6625" w14:paraId="2E4D1530" w14:textId="77777777" w:rsidTr="009F7BEB">
        <w:trPr>
          <w:cnfStyle w:val="100000000000" w:firstRow="1" w:lastRow="0" w:firstColumn="0" w:lastColumn="0" w:oddVBand="0" w:evenVBand="0" w:oddHBand="0" w:evenHBand="0" w:firstRowFirstColumn="0" w:firstRowLastColumn="0" w:lastRowFirstColumn="0" w:lastRowLastColumn="0"/>
          <w:trHeight w:val="345"/>
          <w:tblHeader/>
          <w:jc w:val="center"/>
        </w:trPr>
        <w:tc>
          <w:tcPr>
            <w:cnfStyle w:val="001000000000" w:firstRow="0" w:lastRow="0" w:firstColumn="1" w:lastColumn="0" w:oddVBand="0" w:evenVBand="0" w:oddHBand="0" w:evenHBand="0" w:firstRowFirstColumn="0" w:firstRowLastColumn="0" w:lastRowFirstColumn="0" w:lastRowLastColumn="0"/>
            <w:tcW w:w="9558" w:type="dxa"/>
            <w:gridSpan w:val="3"/>
            <w:shd w:val="clear" w:color="auto" w:fill="244061" w:themeFill="accent1" w:themeFillShade="80"/>
            <w:noWrap/>
            <w:hideMark/>
          </w:tcPr>
          <w:p w14:paraId="44EC0A1F" w14:textId="77777777" w:rsidR="00DC6625" w:rsidRPr="00DC6625" w:rsidRDefault="00DC6625" w:rsidP="00DC6625">
            <w:pPr>
              <w:spacing w:line="240" w:lineRule="auto"/>
              <w:jc w:val="center"/>
              <w:rPr>
                <w:rFonts w:ascii="Franklin Gothic Medium" w:eastAsia="Times New Roman" w:hAnsi="Franklin Gothic Medium" w:cs="Times New Roman"/>
                <w:b w:val="0"/>
                <w:szCs w:val="24"/>
              </w:rPr>
            </w:pPr>
            <w:r w:rsidRPr="00DC6625">
              <w:rPr>
                <w:rFonts w:ascii="Franklin Gothic Medium" w:eastAsia="Times New Roman" w:hAnsi="Franklin Gothic Medium" w:cs="Times New Roman"/>
                <w:b w:val="0"/>
                <w:szCs w:val="24"/>
              </w:rPr>
              <w:t>January – June 2016 (668 PDRs)</w:t>
            </w:r>
          </w:p>
        </w:tc>
      </w:tr>
      <w:tr w:rsidR="00DC6625" w:rsidRPr="00DC6625" w14:paraId="77F80740" w14:textId="77777777" w:rsidTr="009F7BEB">
        <w:trPr>
          <w:cnfStyle w:val="100000000000" w:firstRow="1" w:lastRow="0" w:firstColumn="0" w:lastColumn="0" w:oddVBand="0" w:evenVBand="0" w:oddHBand="0" w:evenHBand="0" w:firstRowFirstColumn="0" w:firstRowLastColumn="0" w:lastRowFirstColumn="0" w:lastRowLastColumn="0"/>
          <w:trHeight w:val="403"/>
          <w:tblHeader/>
          <w:jc w:val="center"/>
        </w:trPr>
        <w:tc>
          <w:tcPr>
            <w:cnfStyle w:val="001000000000" w:firstRow="0" w:lastRow="0" w:firstColumn="1" w:lastColumn="0" w:oddVBand="0" w:evenVBand="0" w:oddHBand="0" w:evenHBand="0" w:firstRowFirstColumn="0" w:firstRowLastColumn="0" w:lastRowFirstColumn="0" w:lastRowLastColumn="0"/>
            <w:tcW w:w="6948" w:type="dxa"/>
            <w:tcBorders>
              <w:right w:val="single" w:sz="8" w:space="0" w:color="7BA0CD" w:themeColor="accent1" w:themeTint="BF"/>
            </w:tcBorders>
            <w:shd w:val="clear" w:color="auto" w:fill="244061" w:themeFill="accent1" w:themeFillShade="80"/>
            <w:vAlign w:val="bottom"/>
            <w:hideMark/>
          </w:tcPr>
          <w:p w14:paraId="5E32A8AE" w14:textId="290D9C2B" w:rsidR="00DC6625" w:rsidRPr="00DC6625" w:rsidRDefault="00DC6625" w:rsidP="00DC6625">
            <w:pPr>
              <w:spacing w:line="240" w:lineRule="auto"/>
              <w:rPr>
                <w:rFonts w:ascii="Calibri" w:eastAsia="Times New Roman" w:hAnsi="Calibri" w:cs="Times New Roman"/>
                <w:sz w:val="22"/>
              </w:rPr>
            </w:pPr>
            <w:r w:rsidRPr="00DC6625">
              <w:rPr>
                <w:rFonts w:ascii="Calibri" w:eastAsia="Times New Roman" w:hAnsi="Calibri" w:cs="Times New Roman"/>
                <w:sz w:val="22"/>
              </w:rPr>
              <w:t>Standard</w:t>
            </w:r>
          </w:p>
        </w:tc>
        <w:tc>
          <w:tcPr>
            <w:tcW w:w="1440" w:type="dxa"/>
            <w:tcBorders>
              <w:left w:val="single" w:sz="8" w:space="0" w:color="7BA0CD" w:themeColor="accent1" w:themeTint="BF"/>
              <w:right w:val="single" w:sz="8" w:space="0" w:color="7BA0CD" w:themeColor="accent1" w:themeTint="BF"/>
            </w:tcBorders>
            <w:shd w:val="clear" w:color="auto" w:fill="244061" w:themeFill="accent1" w:themeFillShade="80"/>
            <w:vAlign w:val="bottom"/>
            <w:hideMark/>
          </w:tcPr>
          <w:p w14:paraId="587DF7AC" w14:textId="77777777" w:rsidR="00DC6625" w:rsidRPr="00DC6625" w:rsidRDefault="00DC6625" w:rsidP="00DC662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DC6625">
              <w:rPr>
                <w:rFonts w:ascii="Calibri" w:eastAsia="Times New Roman" w:hAnsi="Calibri" w:cs="Times New Roman"/>
                <w:sz w:val="22"/>
              </w:rPr>
              <w:t>Number Reviewed</w:t>
            </w:r>
          </w:p>
        </w:tc>
        <w:tc>
          <w:tcPr>
            <w:tcW w:w="1170" w:type="dxa"/>
            <w:tcBorders>
              <w:left w:val="single" w:sz="8" w:space="0" w:color="7BA0CD" w:themeColor="accent1" w:themeTint="BF"/>
            </w:tcBorders>
            <w:shd w:val="clear" w:color="auto" w:fill="244061" w:themeFill="accent1" w:themeFillShade="80"/>
            <w:vAlign w:val="bottom"/>
            <w:hideMark/>
          </w:tcPr>
          <w:p w14:paraId="739360DE" w14:textId="77777777" w:rsidR="00DC6625" w:rsidRPr="00DC6625" w:rsidRDefault="00DC6625" w:rsidP="00DC6625">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sz w:val="22"/>
              </w:rPr>
            </w:pPr>
            <w:r w:rsidRPr="00DC6625">
              <w:rPr>
                <w:rFonts w:ascii="Calibri" w:eastAsia="Times New Roman" w:hAnsi="Calibri" w:cs="Times New Roman"/>
                <w:sz w:val="22"/>
              </w:rPr>
              <w:t>Percent Met</w:t>
            </w:r>
          </w:p>
        </w:tc>
      </w:tr>
      <w:tr w:rsidR="00DC6625" w:rsidRPr="00DC6625" w14:paraId="15184147" w14:textId="77777777" w:rsidTr="009F7BEB">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013B23F4"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has completed all aspects of required Level II Background Screening.</w:t>
            </w:r>
          </w:p>
        </w:tc>
        <w:tc>
          <w:tcPr>
            <w:tcW w:w="1440" w:type="dxa"/>
            <w:vAlign w:val="center"/>
            <w:hideMark/>
          </w:tcPr>
          <w:p w14:paraId="54DF0B4D"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1,563</w:t>
            </w:r>
          </w:p>
        </w:tc>
        <w:tc>
          <w:tcPr>
            <w:tcW w:w="1170" w:type="dxa"/>
            <w:vAlign w:val="center"/>
            <w:hideMark/>
          </w:tcPr>
          <w:p w14:paraId="0BC163A4"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93.3%</w:t>
            </w:r>
          </w:p>
        </w:tc>
      </w:tr>
      <w:tr w:rsidR="00DC6625" w:rsidRPr="00DC6625" w14:paraId="4FDAC6FE" w14:textId="77777777" w:rsidTr="009F7BEB">
        <w:trPr>
          <w:cnfStyle w:val="000000010000" w:firstRow="0" w:lastRow="0" w:firstColumn="0" w:lastColumn="0" w:oddVBand="0" w:evenVBand="0" w:oddHBand="0" w:evenHBand="1"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5E8D0B32"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in Zero Tolerance.</w:t>
            </w:r>
          </w:p>
        </w:tc>
        <w:tc>
          <w:tcPr>
            <w:tcW w:w="1440" w:type="dxa"/>
            <w:vAlign w:val="center"/>
            <w:hideMark/>
          </w:tcPr>
          <w:p w14:paraId="63F3652A"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1,563</w:t>
            </w:r>
          </w:p>
        </w:tc>
        <w:tc>
          <w:tcPr>
            <w:tcW w:w="1170" w:type="dxa"/>
            <w:vAlign w:val="center"/>
            <w:hideMark/>
          </w:tcPr>
          <w:p w14:paraId="0B7CDA99"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95.5%</w:t>
            </w:r>
          </w:p>
        </w:tc>
      </w:tr>
      <w:tr w:rsidR="00DC6625" w:rsidRPr="00DC6625" w14:paraId="031E349D" w14:textId="77777777" w:rsidTr="009F7B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1710ECF2"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in Direct Care Core Competency.</w:t>
            </w:r>
          </w:p>
        </w:tc>
        <w:tc>
          <w:tcPr>
            <w:tcW w:w="1440" w:type="dxa"/>
            <w:vAlign w:val="center"/>
            <w:hideMark/>
          </w:tcPr>
          <w:p w14:paraId="7F5EBE40"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812</w:t>
            </w:r>
          </w:p>
        </w:tc>
        <w:tc>
          <w:tcPr>
            <w:tcW w:w="1170" w:type="dxa"/>
            <w:vAlign w:val="center"/>
            <w:hideMark/>
          </w:tcPr>
          <w:p w14:paraId="70B5A23F"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96.4%</w:t>
            </w:r>
          </w:p>
        </w:tc>
      </w:tr>
      <w:tr w:rsidR="00DC6625" w:rsidRPr="00DC6625" w14:paraId="34E84347" w14:textId="77777777" w:rsidTr="009F7BEB">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38D529E7"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in Direct Care Core Competencies.</w:t>
            </w:r>
          </w:p>
        </w:tc>
        <w:tc>
          <w:tcPr>
            <w:tcW w:w="1440" w:type="dxa"/>
            <w:vAlign w:val="center"/>
            <w:hideMark/>
          </w:tcPr>
          <w:p w14:paraId="64B5459B"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71</w:t>
            </w:r>
          </w:p>
        </w:tc>
        <w:tc>
          <w:tcPr>
            <w:tcW w:w="1170" w:type="dxa"/>
            <w:vAlign w:val="center"/>
            <w:hideMark/>
          </w:tcPr>
          <w:p w14:paraId="193C2F1E"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684703BD" w14:textId="77777777" w:rsidTr="009F7BEB">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4D69C92B"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in Basic Person Centered Planning.</w:t>
            </w:r>
          </w:p>
        </w:tc>
        <w:tc>
          <w:tcPr>
            <w:tcW w:w="1440" w:type="dxa"/>
            <w:vAlign w:val="center"/>
            <w:hideMark/>
          </w:tcPr>
          <w:p w14:paraId="6E57504F"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1,543</w:t>
            </w:r>
          </w:p>
        </w:tc>
        <w:tc>
          <w:tcPr>
            <w:tcW w:w="1170" w:type="dxa"/>
            <w:vAlign w:val="center"/>
            <w:hideMark/>
          </w:tcPr>
          <w:p w14:paraId="26B0D0CD"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94.4%</w:t>
            </w:r>
          </w:p>
        </w:tc>
      </w:tr>
      <w:tr w:rsidR="00DC6625" w:rsidRPr="00DC6625" w14:paraId="42DE4376" w14:textId="77777777" w:rsidTr="009F7BEB">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07675D81"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on Individual Choices, Rights and Responsibilities</w:t>
            </w:r>
          </w:p>
        </w:tc>
        <w:tc>
          <w:tcPr>
            <w:tcW w:w="1440" w:type="dxa"/>
            <w:vAlign w:val="center"/>
            <w:hideMark/>
          </w:tcPr>
          <w:p w14:paraId="237ACA4C"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1,502</w:t>
            </w:r>
          </w:p>
        </w:tc>
        <w:tc>
          <w:tcPr>
            <w:tcW w:w="1170" w:type="dxa"/>
            <w:vAlign w:val="center"/>
            <w:hideMark/>
          </w:tcPr>
          <w:p w14:paraId="38AF946F"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94.9%</w:t>
            </w:r>
          </w:p>
        </w:tc>
      </w:tr>
      <w:tr w:rsidR="00DC6625" w:rsidRPr="00DC6625" w14:paraId="517C9B39" w14:textId="77777777" w:rsidTr="009F7BEB">
        <w:trPr>
          <w:cnfStyle w:val="000000100000" w:firstRow="0" w:lastRow="0" w:firstColumn="0" w:lastColumn="0" w:oddVBand="0" w:evenVBand="0" w:oddHBand="1" w:evenHBand="0"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63CED73D"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lastRenderedPageBreak/>
              <w:t>The provider received training in Requirements for all Waiver Providers</w:t>
            </w:r>
          </w:p>
        </w:tc>
        <w:tc>
          <w:tcPr>
            <w:tcW w:w="1440" w:type="dxa"/>
            <w:vAlign w:val="center"/>
            <w:hideMark/>
          </w:tcPr>
          <w:p w14:paraId="1124230B"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569</w:t>
            </w:r>
          </w:p>
        </w:tc>
        <w:tc>
          <w:tcPr>
            <w:tcW w:w="1170" w:type="dxa"/>
            <w:vAlign w:val="center"/>
            <w:hideMark/>
          </w:tcPr>
          <w:p w14:paraId="32611558"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99.5%</w:t>
            </w:r>
          </w:p>
        </w:tc>
      </w:tr>
      <w:tr w:rsidR="00DC6625" w:rsidRPr="00DC6625" w14:paraId="16860DF2" w14:textId="77777777" w:rsidTr="009F7BEB">
        <w:trPr>
          <w:cnfStyle w:val="000000010000" w:firstRow="0" w:lastRow="0" w:firstColumn="0" w:lastColumn="0" w:oddVBand="0" w:evenVBand="0" w:oddHBand="0" w:evenHBand="1"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345BB3C6"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in HIPAA.</w:t>
            </w:r>
          </w:p>
        </w:tc>
        <w:tc>
          <w:tcPr>
            <w:tcW w:w="1440" w:type="dxa"/>
            <w:vAlign w:val="center"/>
            <w:hideMark/>
          </w:tcPr>
          <w:p w14:paraId="3D0C7325"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1,559</w:t>
            </w:r>
          </w:p>
        </w:tc>
        <w:tc>
          <w:tcPr>
            <w:tcW w:w="1170" w:type="dxa"/>
            <w:vAlign w:val="center"/>
            <w:hideMark/>
          </w:tcPr>
          <w:p w14:paraId="21AA1F78"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87.3%</w:t>
            </w:r>
          </w:p>
        </w:tc>
      </w:tr>
      <w:tr w:rsidR="00DC6625" w:rsidRPr="00DC6625" w14:paraId="050D22AA" w14:textId="77777777" w:rsidTr="009F7BE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2FD1BE1A"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in HIV/AIDS/Infection Control.</w:t>
            </w:r>
          </w:p>
        </w:tc>
        <w:tc>
          <w:tcPr>
            <w:tcW w:w="1440" w:type="dxa"/>
            <w:vAlign w:val="center"/>
            <w:hideMark/>
          </w:tcPr>
          <w:p w14:paraId="1C76C656"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1,538</w:t>
            </w:r>
          </w:p>
        </w:tc>
        <w:tc>
          <w:tcPr>
            <w:tcW w:w="1170" w:type="dxa"/>
            <w:vAlign w:val="center"/>
            <w:hideMark/>
          </w:tcPr>
          <w:p w14:paraId="13A39162"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97.4%</w:t>
            </w:r>
          </w:p>
        </w:tc>
      </w:tr>
      <w:tr w:rsidR="00DC6625" w:rsidRPr="00DC6625" w14:paraId="59C71E89" w14:textId="77777777" w:rsidTr="009F7BEB">
        <w:trPr>
          <w:cnfStyle w:val="000000010000" w:firstRow="0" w:lastRow="0" w:firstColumn="0" w:lastColumn="0" w:oddVBand="0" w:evenVBand="0" w:oddHBand="0" w:evenHBand="1"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63F780DD"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maintains current CPR certification.</w:t>
            </w:r>
          </w:p>
        </w:tc>
        <w:tc>
          <w:tcPr>
            <w:tcW w:w="1440" w:type="dxa"/>
            <w:vAlign w:val="center"/>
            <w:hideMark/>
          </w:tcPr>
          <w:p w14:paraId="29178577"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1,534</w:t>
            </w:r>
          </w:p>
        </w:tc>
        <w:tc>
          <w:tcPr>
            <w:tcW w:w="1170" w:type="dxa"/>
            <w:vAlign w:val="center"/>
            <w:hideMark/>
          </w:tcPr>
          <w:p w14:paraId="0667DE48"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97.9%</w:t>
            </w:r>
          </w:p>
        </w:tc>
      </w:tr>
      <w:tr w:rsidR="00DC6625" w:rsidRPr="00DC6625" w14:paraId="3DC55EDD" w14:textId="77777777" w:rsidTr="009F7BEB">
        <w:trPr>
          <w:cnfStyle w:val="000000100000" w:firstRow="0" w:lastRow="0" w:firstColumn="0" w:lastColumn="0" w:oddVBand="0" w:evenVBand="0" w:oddHBand="1" w:evenHBand="0" w:firstRowFirstColumn="0" w:firstRowLastColumn="0" w:lastRowFirstColumn="0" w:lastRowLastColumn="0"/>
          <w:trHeight w:val="205"/>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46EB5851"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in First Aid.</w:t>
            </w:r>
          </w:p>
        </w:tc>
        <w:tc>
          <w:tcPr>
            <w:tcW w:w="1440" w:type="dxa"/>
            <w:vAlign w:val="center"/>
            <w:hideMark/>
          </w:tcPr>
          <w:p w14:paraId="4DA80081"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1,446</w:t>
            </w:r>
          </w:p>
        </w:tc>
        <w:tc>
          <w:tcPr>
            <w:tcW w:w="1170" w:type="dxa"/>
            <w:vAlign w:val="center"/>
            <w:hideMark/>
          </w:tcPr>
          <w:p w14:paraId="41282FFA"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98.3%</w:t>
            </w:r>
          </w:p>
        </w:tc>
      </w:tr>
      <w:tr w:rsidR="00DC6625" w:rsidRPr="00DC6625" w14:paraId="72FDD30D" w14:textId="77777777" w:rsidTr="009F7BEB">
        <w:trPr>
          <w:cnfStyle w:val="000000010000" w:firstRow="0" w:lastRow="0" w:firstColumn="0" w:lastColumn="0" w:oddVBand="0" w:evenVBand="0" w:oddHBand="0" w:evenHBand="1"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57D52458"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in Medication Administration prior to administering or supervising the self-administration of medication.</w:t>
            </w:r>
          </w:p>
        </w:tc>
        <w:tc>
          <w:tcPr>
            <w:tcW w:w="1440" w:type="dxa"/>
            <w:vAlign w:val="center"/>
            <w:hideMark/>
          </w:tcPr>
          <w:p w14:paraId="26E01891"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786</w:t>
            </w:r>
          </w:p>
        </w:tc>
        <w:tc>
          <w:tcPr>
            <w:tcW w:w="1170" w:type="dxa"/>
            <w:vAlign w:val="center"/>
            <w:hideMark/>
          </w:tcPr>
          <w:p w14:paraId="7E1B28EC"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98.2%</w:t>
            </w:r>
          </w:p>
        </w:tc>
      </w:tr>
      <w:tr w:rsidR="00DC6625" w:rsidRPr="00DC6625" w14:paraId="4A5F50BE" w14:textId="77777777" w:rsidTr="009F7BEB">
        <w:trPr>
          <w:cnfStyle w:val="000000100000" w:firstRow="0" w:lastRow="0" w:firstColumn="0" w:lastColumn="0" w:oddVBand="0" w:evenVBand="0" w:oddHBand="1" w:evenHBand="0" w:firstRowFirstColumn="0" w:firstRowLastColumn="0" w:lastRowFirstColumn="0" w:lastRowLastColumn="0"/>
          <w:trHeight w:val="295"/>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0E969A87"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maintains current medication administration validation.</w:t>
            </w:r>
          </w:p>
        </w:tc>
        <w:tc>
          <w:tcPr>
            <w:tcW w:w="1440" w:type="dxa"/>
            <w:vAlign w:val="center"/>
            <w:hideMark/>
          </w:tcPr>
          <w:p w14:paraId="42B2E9CF"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775</w:t>
            </w:r>
          </w:p>
        </w:tc>
        <w:tc>
          <w:tcPr>
            <w:tcW w:w="1170" w:type="dxa"/>
            <w:vAlign w:val="center"/>
            <w:hideMark/>
          </w:tcPr>
          <w:p w14:paraId="64C08FF3"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95.5%</w:t>
            </w:r>
          </w:p>
        </w:tc>
      </w:tr>
      <w:tr w:rsidR="00DC6625" w:rsidRPr="00DC6625" w14:paraId="44DD1863" w14:textId="77777777" w:rsidTr="009F7BEB">
        <w:trPr>
          <w:cnfStyle w:val="000000010000" w:firstRow="0" w:lastRow="0" w:firstColumn="0" w:lastColumn="0" w:oddVBand="0" w:evenVBand="0" w:oddHBand="0" w:evenHBand="1" w:firstRowFirstColumn="0" w:firstRowLastColumn="0" w:lastRowFirstColumn="0" w:lastRowLastColumn="0"/>
          <w:trHeight w:val="66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45A95F57"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in an Agency approved curriculum for behavioral emergency procedures consistent with the requirements of the Reactive Strategies rule (65G-8, FAC).</w:t>
            </w:r>
          </w:p>
        </w:tc>
        <w:tc>
          <w:tcPr>
            <w:tcW w:w="1440" w:type="dxa"/>
            <w:vAlign w:val="center"/>
            <w:hideMark/>
          </w:tcPr>
          <w:p w14:paraId="0DBB700A"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237</w:t>
            </w:r>
          </w:p>
        </w:tc>
        <w:tc>
          <w:tcPr>
            <w:tcW w:w="1170" w:type="dxa"/>
            <w:vAlign w:val="center"/>
            <w:hideMark/>
          </w:tcPr>
          <w:p w14:paraId="6AC5E488"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97.9%</w:t>
            </w:r>
          </w:p>
        </w:tc>
      </w:tr>
      <w:tr w:rsidR="00DC6625" w:rsidRPr="00DC6625" w14:paraId="65430D5A" w14:textId="77777777" w:rsidTr="009F7B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70FD65DA"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Drivers of transportation vehicles are licensed to drive vehicles used.</w:t>
            </w:r>
          </w:p>
        </w:tc>
        <w:tc>
          <w:tcPr>
            <w:tcW w:w="1440" w:type="dxa"/>
            <w:vAlign w:val="center"/>
            <w:hideMark/>
          </w:tcPr>
          <w:p w14:paraId="44395EDF"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1,195</w:t>
            </w:r>
          </w:p>
        </w:tc>
        <w:tc>
          <w:tcPr>
            <w:tcW w:w="1170" w:type="dxa"/>
            <w:vAlign w:val="center"/>
            <w:hideMark/>
          </w:tcPr>
          <w:p w14:paraId="67F96275"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99.8%</w:t>
            </w:r>
          </w:p>
        </w:tc>
      </w:tr>
      <w:tr w:rsidR="00DC6625" w:rsidRPr="00DC6625" w14:paraId="172AB34E" w14:textId="77777777" w:rsidTr="009F7BEB">
        <w:trPr>
          <w:cnfStyle w:val="000000010000" w:firstRow="0" w:lastRow="0" w:firstColumn="0" w:lastColumn="0" w:oddVBand="0" w:evenVBand="0" w:oddHBand="0" w:evenHBand="1"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58641048"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Personal vehicles used for transportation are properly insured.</w:t>
            </w:r>
          </w:p>
        </w:tc>
        <w:tc>
          <w:tcPr>
            <w:tcW w:w="1440" w:type="dxa"/>
            <w:vAlign w:val="center"/>
            <w:hideMark/>
          </w:tcPr>
          <w:p w14:paraId="11D18B27"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812</w:t>
            </w:r>
          </w:p>
        </w:tc>
        <w:tc>
          <w:tcPr>
            <w:tcW w:w="1170" w:type="dxa"/>
            <w:vAlign w:val="center"/>
            <w:hideMark/>
          </w:tcPr>
          <w:p w14:paraId="2ED40759"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97.2%</w:t>
            </w:r>
          </w:p>
        </w:tc>
      </w:tr>
      <w:tr w:rsidR="00DC6625" w:rsidRPr="00DC6625" w14:paraId="1F0D7BE1" w14:textId="77777777" w:rsidTr="009F7BEB">
        <w:trPr>
          <w:cnfStyle w:val="000000100000" w:firstRow="0" w:lastRow="0" w:firstColumn="0" w:lastColumn="0" w:oddVBand="0" w:evenVBand="0" w:oddHBand="1" w:evenHBand="0" w:firstRowFirstColumn="0" w:firstRowLastColumn="0" w:lastRowFirstColumn="0" w:lastRowLastColumn="0"/>
          <w:trHeight w:val="232"/>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5C2D863C"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Personal vehicles used for transportation are properly registered.</w:t>
            </w:r>
          </w:p>
        </w:tc>
        <w:tc>
          <w:tcPr>
            <w:tcW w:w="1440" w:type="dxa"/>
            <w:vAlign w:val="center"/>
            <w:hideMark/>
          </w:tcPr>
          <w:p w14:paraId="59838FE6"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812</w:t>
            </w:r>
          </w:p>
        </w:tc>
        <w:tc>
          <w:tcPr>
            <w:tcW w:w="1170" w:type="dxa"/>
            <w:vAlign w:val="center"/>
            <w:hideMark/>
          </w:tcPr>
          <w:p w14:paraId="27345E2C"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95.1%</w:t>
            </w:r>
          </w:p>
        </w:tc>
      </w:tr>
      <w:tr w:rsidR="00DC6625" w:rsidRPr="00DC6625" w14:paraId="76095A65" w14:textId="77777777" w:rsidTr="009F7BEB">
        <w:trPr>
          <w:cnfStyle w:val="000000010000" w:firstRow="0" w:lastRow="0" w:firstColumn="0" w:lastColumn="0" w:oddVBand="0" w:evenVBand="0" w:oddHBand="0" w:evenHBand="1"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63561B90"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Behavior Analysis.</w:t>
            </w:r>
          </w:p>
        </w:tc>
        <w:tc>
          <w:tcPr>
            <w:tcW w:w="1440" w:type="dxa"/>
            <w:vAlign w:val="center"/>
            <w:hideMark/>
          </w:tcPr>
          <w:p w14:paraId="796C3F52"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27</w:t>
            </w:r>
          </w:p>
        </w:tc>
        <w:tc>
          <w:tcPr>
            <w:tcW w:w="1170" w:type="dxa"/>
            <w:vAlign w:val="center"/>
            <w:hideMark/>
          </w:tcPr>
          <w:p w14:paraId="48C62F17"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4A524CE7" w14:textId="77777777" w:rsidTr="009F7BEB">
        <w:trPr>
          <w:cnfStyle w:val="000000100000" w:firstRow="0" w:lastRow="0" w:firstColumn="0" w:lastColumn="0" w:oddVBand="0" w:evenVBand="0" w:oddHBand="1" w:evenHBand="0" w:firstRowFirstColumn="0" w:firstRowLastColumn="0" w:lastRowFirstColumn="0" w:lastRowLastColumn="0"/>
          <w:trHeight w:val="457"/>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5FDDDB1C"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Behavior Assistant.</w:t>
            </w:r>
          </w:p>
        </w:tc>
        <w:tc>
          <w:tcPr>
            <w:tcW w:w="1440" w:type="dxa"/>
            <w:vAlign w:val="center"/>
            <w:hideMark/>
          </w:tcPr>
          <w:p w14:paraId="5D2BBC21"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11</w:t>
            </w:r>
          </w:p>
        </w:tc>
        <w:tc>
          <w:tcPr>
            <w:tcW w:w="1170" w:type="dxa"/>
            <w:vAlign w:val="center"/>
            <w:hideMark/>
          </w:tcPr>
          <w:p w14:paraId="71DD1A99"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24B6B003" w14:textId="77777777" w:rsidTr="009F7BEB">
        <w:trPr>
          <w:cnfStyle w:val="000000010000" w:firstRow="0" w:lastRow="0" w:firstColumn="0" w:lastColumn="0" w:oddVBand="0" w:evenVBand="0" w:oddHBand="0" w:evenHBand="1" w:firstRowFirstColumn="0" w:firstRowLastColumn="0" w:lastRowFirstColumn="0" w:lastRowLastColumn="0"/>
          <w:trHeight w:val="628"/>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525D145B"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has completed at least 20 contact hours of instruction in a curriculum meeting the requirements specified by the APD state office and approved by the APD designated behavior analyst.</w:t>
            </w:r>
          </w:p>
        </w:tc>
        <w:tc>
          <w:tcPr>
            <w:tcW w:w="1440" w:type="dxa"/>
            <w:vAlign w:val="center"/>
            <w:hideMark/>
          </w:tcPr>
          <w:p w14:paraId="57E2CA1D"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11</w:t>
            </w:r>
          </w:p>
        </w:tc>
        <w:tc>
          <w:tcPr>
            <w:tcW w:w="1170" w:type="dxa"/>
            <w:vAlign w:val="center"/>
            <w:hideMark/>
          </w:tcPr>
          <w:p w14:paraId="32709952"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202911C8" w14:textId="77777777" w:rsidTr="009F7BEB">
        <w:trPr>
          <w:cnfStyle w:val="000000100000" w:firstRow="0" w:lastRow="0" w:firstColumn="0" w:lastColumn="0" w:oddVBand="0" w:evenVBand="0" w:oddHBand="1" w:evenHBand="0" w:firstRowFirstColumn="0" w:firstRowLastColumn="0" w:lastRowFirstColumn="0" w:lastRowLastColumn="0"/>
          <w:trHeight w:val="70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0F8B3909"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completes eight hours of annual in-service training on instruction in applied behavior analysis and related topics for Behavior Assistant.</w:t>
            </w:r>
          </w:p>
        </w:tc>
        <w:tc>
          <w:tcPr>
            <w:tcW w:w="1440" w:type="dxa"/>
            <w:vAlign w:val="center"/>
            <w:hideMark/>
          </w:tcPr>
          <w:p w14:paraId="6B17CEDB"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14</w:t>
            </w:r>
          </w:p>
        </w:tc>
        <w:tc>
          <w:tcPr>
            <w:tcW w:w="1170" w:type="dxa"/>
            <w:vAlign w:val="center"/>
            <w:hideMark/>
          </w:tcPr>
          <w:p w14:paraId="0B67976E"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749B564B" w14:textId="77777777" w:rsidTr="009F7BEB">
        <w:trPr>
          <w:cnfStyle w:val="000000010000" w:firstRow="0" w:lastRow="0" w:firstColumn="0" w:lastColumn="0" w:oddVBand="0" w:evenVBand="0" w:oddHBand="0" w:evenHBand="1"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629BEFAF"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Life Skills Development 1.</w:t>
            </w:r>
          </w:p>
        </w:tc>
        <w:tc>
          <w:tcPr>
            <w:tcW w:w="1440" w:type="dxa"/>
            <w:vAlign w:val="center"/>
            <w:hideMark/>
          </w:tcPr>
          <w:p w14:paraId="1346F819"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372</w:t>
            </w:r>
          </w:p>
        </w:tc>
        <w:tc>
          <w:tcPr>
            <w:tcW w:w="1170" w:type="dxa"/>
            <w:vAlign w:val="center"/>
            <w:hideMark/>
          </w:tcPr>
          <w:p w14:paraId="24A8A3A9"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99.5%</w:t>
            </w:r>
          </w:p>
        </w:tc>
      </w:tr>
      <w:tr w:rsidR="00DC6625" w:rsidRPr="00DC6625" w14:paraId="4D28CD0C" w14:textId="77777777" w:rsidTr="009F7BEB">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064A7B87"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completes 4 hours of annual in-service training related to the specific needs of at least one person currently receiving services</w:t>
            </w:r>
          </w:p>
        </w:tc>
        <w:tc>
          <w:tcPr>
            <w:tcW w:w="1440" w:type="dxa"/>
            <w:vAlign w:val="center"/>
            <w:hideMark/>
          </w:tcPr>
          <w:p w14:paraId="72719C51"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71</w:t>
            </w:r>
          </w:p>
        </w:tc>
        <w:tc>
          <w:tcPr>
            <w:tcW w:w="1170" w:type="dxa"/>
            <w:vAlign w:val="center"/>
            <w:hideMark/>
          </w:tcPr>
          <w:p w14:paraId="0B86CB10"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95.8%</w:t>
            </w:r>
          </w:p>
        </w:tc>
      </w:tr>
      <w:tr w:rsidR="00DC6625" w:rsidRPr="00DC6625" w14:paraId="49B477C3" w14:textId="77777777" w:rsidTr="009F7BEB">
        <w:trPr>
          <w:cnfStyle w:val="000000010000" w:firstRow="0" w:lastRow="0" w:firstColumn="0" w:lastColumn="0" w:oddVBand="0" w:evenVBand="0" w:oddHBand="0" w:evenHBand="1"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314F33F4"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Life Skills Development 2.</w:t>
            </w:r>
          </w:p>
        </w:tc>
        <w:tc>
          <w:tcPr>
            <w:tcW w:w="1440" w:type="dxa"/>
            <w:vAlign w:val="center"/>
            <w:hideMark/>
          </w:tcPr>
          <w:p w14:paraId="4688F560"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33</w:t>
            </w:r>
          </w:p>
        </w:tc>
        <w:tc>
          <w:tcPr>
            <w:tcW w:w="1170" w:type="dxa"/>
            <w:vAlign w:val="center"/>
            <w:hideMark/>
          </w:tcPr>
          <w:p w14:paraId="0F3A46A2"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4C84954A" w14:textId="77777777" w:rsidTr="009F7BEB">
        <w:trPr>
          <w:cnfStyle w:val="000000100000" w:firstRow="0" w:lastRow="0" w:firstColumn="0" w:lastColumn="0" w:oddVBand="0" w:evenVBand="0" w:oddHBand="1" w:evenHBand="0" w:firstRowFirstColumn="0" w:firstRowLastColumn="0" w:lastRowFirstColumn="0" w:lastRowLastColumn="0"/>
          <w:trHeight w:val="538"/>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2B63558C"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has completed standardized, pre-service training for Life Skills Development Level 2.</w:t>
            </w:r>
          </w:p>
        </w:tc>
        <w:tc>
          <w:tcPr>
            <w:tcW w:w="1440" w:type="dxa"/>
            <w:vAlign w:val="center"/>
            <w:hideMark/>
          </w:tcPr>
          <w:p w14:paraId="1CD5B04E"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68</w:t>
            </w:r>
          </w:p>
        </w:tc>
        <w:tc>
          <w:tcPr>
            <w:tcW w:w="1170" w:type="dxa"/>
            <w:vAlign w:val="center"/>
            <w:hideMark/>
          </w:tcPr>
          <w:p w14:paraId="4CD96F03"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0C7C2B9C" w14:textId="77777777" w:rsidTr="009F7BEB">
        <w:trPr>
          <w:cnfStyle w:val="000000010000" w:firstRow="0" w:lastRow="0" w:firstColumn="0" w:lastColumn="0" w:oddVBand="0" w:evenVBand="0" w:oddHBand="0" w:evenHBand="1" w:firstRowFirstColumn="0" w:firstRowLastColumn="0" w:lastRowFirstColumn="0" w:lastRowLastColumn="0"/>
          <w:trHeight w:val="349"/>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15601180"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completed Introduction to Social Security Work Incentives.</w:t>
            </w:r>
          </w:p>
        </w:tc>
        <w:tc>
          <w:tcPr>
            <w:tcW w:w="1440" w:type="dxa"/>
            <w:vAlign w:val="center"/>
            <w:hideMark/>
          </w:tcPr>
          <w:p w14:paraId="218C1845"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21</w:t>
            </w:r>
          </w:p>
        </w:tc>
        <w:tc>
          <w:tcPr>
            <w:tcW w:w="1170" w:type="dxa"/>
            <w:vAlign w:val="center"/>
            <w:hideMark/>
          </w:tcPr>
          <w:p w14:paraId="168BCE75"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95.2%</w:t>
            </w:r>
          </w:p>
        </w:tc>
      </w:tr>
      <w:tr w:rsidR="00DC6625" w:rsidRPr="00DC6625" w14:paraId="5C9AB1D0" w14:textId="77777777" w:rsidTr="009F7BEB">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12A1AFA1"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completes eight hours of annual in-service training related to employment.</w:t>
            </w:r>
          </w:p>
        </w:tc>
        <w:tc>
          <w:tcPr>
            <w:tcW w:w="1440" w:type="dxa"/>
            <w:vAlign w:val="center"/>
            <w:hideMark/>
          </w:tcPr>
          <w:p w14:paraId="5FDB708E"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32</w:t>
            </w:r>
          </w:p>
        </w:tc>
        <w:tc>
          <w:tcPr>
            <w:tcW w:w="1170" w:type="dxa"/>
            <w:vAlign w:val="center"/>
            <w:hideMark/>
          </w:tcPr>
          <w:p w14:paraId="0079D2DA"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93.8%</w:t>
            </w:r>
          </w:p>
        </w:tc>
      </w:tr>
      <w:tr w:rsidR="00DC6625" w:rsidRPr="00DC6625" w14:paraId="10B1237D" w14:textId="77777777" w:rsidTr="009F7BEB">
        <w:trPr>
          <w:cnfStyle w:val="000000010000" w:firstRow="0" w:lastRow="0" w:firstColumn="0" w:lastColumn="0" w:oddVBand="0" w:evenVBand="0" w:oddHBand="0" w:evenHBand="1" w:firstRowFirstColumn="0" w:firstRowLastColumn="0" w:lastRowFirstColumn="0" w:lastRowLastColumn="0"/>
          <w:trHeight w:val="529"/>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35A45061"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Life Skills Development 3.</w:t>
            </w:r>
          </w:p>
        </w:tc>
        <w:tc>
          <w:tcPr>
            <w:tcW w:w="1440" w:type="dxa"/>
            <w:vAlign w:val="center"/>
            <w:hideMark/>
          </w:tcPr>
          <w:p w14:paraId="7BAC7A0B"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52</w:t>
            </w:r>
          </w:p>
        </w:tc>
        <w:tc>
          <w:tcPr>
            <w:tcW w:w="1170" w:type="dxa"/>
            <w:vAlign w:val="center"/>
            <w:hideMark/>
          </w:tcPr>
          <w:p w14:paraId="22D2EBEA"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53BC0ACD" w14:textId="77777777" w:rsidTr="009F7BEB">
        <w:trPr>
          <w:cnfStyle w:val="000000100000" w:firstRow="0" w:lastRow="0" w:firstColumn="0" w:lastColumn="0" w:oddVBand="0" w:evenVBand="0" w:oddHBand="1" w:evenHBand="0" w:firstRowFirstColumn="0" w:firstRowLastColumn="0" w:lastRowFirstColumn="0" w:lastRowLastColumn="0"/>
          <w:trHeight w:val="592"/>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76AB1DB7"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completes eight hours of annual in-service training related to the individually tailored services.</w:t>
            </w:r>
          </w:p>
        </w:tc>
        <w:tc>
          <w:tcPr>
            <w:tcW w:w="1440" w:type="dxa"/>
            <w:vAlign w:val="center"/>
            <w:hideMark/>
          </w:tcPr>
          <w:p w14:paraId="1D9FF53C"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22</w:t>
            </w:r>
          </w:p>
        </w:tc>
        <w:tc>
          <w:tcPr>
            <w:tcW w:w="1170" w:type="dxa"/>
            <w:vAlign w:val="center"/>
            <w:hideMark/>
          </w:tcPr>
          <w:p w14:paraId="1C8FCD19"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90.9%</w:t>
            </w:r>
          </w:p>
        </w:tc>
      </w:tr>
      <w:tr w:rsidR="00DC6625" w:rsidRPr="00DC6625" w14:paraId="05E4F865" w14:textId="77777777" w:rsidTr="009F7BEB">
        <w:trPr>
          <w:cnfStyle w:val="000000010000" w:firstRow="0" w:lastRow="0" w:firstColumn="0" w:lastColumn="0" w:oddVBand="0" w:evenVBand="0" w:oddHBand="0" w:evenHBand="1"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6FF748B1"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Personal Supports.</w:t>
            </w:r>
          </w:p>
        </w:tc>
        <w:tc>
          <w:tcPr>
            <w:tcW w:w="1440" w:type="dxa"/>
            <w:vAlign w:val="center"/>
            <w:hideMark/>
          </w:tcPr>
          <w:p w14:paraId="7CAC8F8E"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697</w:t>
            </w:r>
          </w:p>
        </w:tc>
        <w:tc>
          <w:tcPr>
            <w:tcW w:w="1170" w:type="dxa"/>
            <w:vAlign w:val="center"/>
            <w:hideMark/>
          </w:tcPr>
          <w:p w14:paraId="030C31F3"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98.6%</w:t>
            </w:r>
          </w:p>
        </w:tc>
      </w:tr>
      <w:tr w:rsidR="00DC6625" w:rsidRPr="00DC6625" w14:paraId="4930C643" w14:textId="77777777" w:rsidTr="009F7BEB">
        <w:trPr>
          <w:cnfStyle w:val="000000100000" w:firstRow="0" w:lastRow="0" w:firstColumn="0" w:lastColumn="0" w:oddVBand="0" w:evenVBand="0" w:oddHBand="1" w:evenHBand="0" w:firstRowFirstColumn="0" w:firstRowLastColumn="0" w:lastRowFirstColumn="0" w:lastRowLastColumn="0"/>
          <w:trHeight w:val="331"/>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3C19E840"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completes four hours of annual in-service training related to the specific needs of at least one person currently served.</w:t>
            </w:r>
          </w:p>
        </w:tc>
        <w:tc>
          <w:tcPr>
            <w:tcW w:w="1440" w:type="dxa"/>
            <w:vAlign w:val="center"/>
            <w:hideMark/>
          </w:tcPr>
          <w:p w14:paraId="48EFBA82"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168</w:t>
            </w:r>
          </w:p>
        </w:tc>
        <w:tc>
          <w:tcPr>
            <w:tcW w:w="1170" w:type="dxa"/>
            <w:vAlign w:val="center"/>
            <w:hideMark/>
          </w:tcPr>
          <w:p w14:paraId="2FD2E891"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92.9%</w:t>
            </w:r>
          </w:p>
        </w:tc>
      </w:tr>
      <w:tr w:rsidR="00DC6625" w:rsidRPr="00DC6625" w14:paraId="0BD795E0" w14:textId="77777777" w:rsidTr="009F7BEB">
        <w:trPr>
          <w:cnfStyle w:val="000000010000" w:firstRow="0" w:lastRow="0" w:firstColumn="0" w:lastColumn="0" w:oddVBand="0" w:evenVBand="0" w:oddHBand="0" w:evenHBand="1"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6F32CC08"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Residential Habilitation-Standard.</w:t>
            </w:r>
          </w:p>
        </w:tc>
        <w:tc>
          <w:tcPr>
            <w:tcW w:w="1440" w:type="dxa"/>
            <w:vAlign w:val="center"/>
            <w:hideMark/>
          </w:tcPr>
          <w:p w14:paraId="0ACA4AFE"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332</w:t>
            </w:r>
          </w:p>
        </w:tc>
        <w:tc>
          <w:tcPr>
            <w:tcW w:w="1170" w:type="dxa"/>
            <w:vAlign w:val="center"/>
            <w:hideMark/>
          </w:tcPr>
          <w:p w14:paraId="0DAB9DF6"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99.1%</w:t>
            </w:r>
          </w:p>
        </w:tc>
      </w:tr>
      <w:tr w:rsidR="00DC6625" w:rsidRPr="00DC6625" w14:paraId="11F23990" w14:textId="77777777" w:rsidTr="009F7BEB">
        <w:trPr>
          <w:cnfStyle w:val="000000100000" w:firstRow="0" w:lastRow="0" w:firstColumn="0" w:lastColumn="0" w:oddVBand="0" w:evenVBand="0" w:oddHBand="1" w:evenHBand="0"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689D6BFE"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completes eight hours of annual in-service training related to the implementation of individually tailored services.</w:t>
            </w:r>
          </w:p>
        </w:tc>
        <w:tc>
          <w:tcPr>
            <w:tcW w:w="1440" w:type="dxa"/>
            <w:vAlign w:val="center"/>
            <w:hideMark/>
          </w:tcPr>
          <w:p w14:paraId="7A44E342"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92</w:t>
            </w:r>
          </w:p>
        </w:tc>
        <w:tc>
          <w:tcPr>
            <w:tcW w:w="1170" w:type="dxa"/>
            <w:vAlign w:val="center"/>
            <w:hideMark/>
          </w:tcPr>
          <w:p w14:paraId="3FCF6213"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69EE095A" w14:textId="77777777" w:rsidTr="009F7BEB">
        <w:trPr>
          <w:cnfStyle w:val="000000010000" w:firstRow="0" w:lastRow="0" w:firstColumn="0" w:lastColumn="0" w:oddVBand="0" w:evenVBand="0" w:oddHBand="0" w:evenHBand="1" w:firstRowFirstColumn="0" w:firstRowLastColumn="0" w:lastRowFirstColumn="0" w:lastRowLastColumn="0"/>
          <w:trHeight w:val="565"/>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149707CE"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Residential Habilitation-Behavior Focus.</w:t>
            </w:r>
          </w:p>
        </w:tc>
        <w:tc>
          <w:tcPr>
            <w:tcW w:w="1440" w:type="dxa"/>
            <w:vAlign w:val="center"/>
            <w:hideMark/>
          </w:tcPr>
          <w:p w14:paraId="0113300C"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56</w:t>
            </w:r>
          </w:p>
        </w:tc>
        <w:tc>
          <w:tcPr>
            <w:tcW w:w="1170" w:type="dxa"/>
            <w:vAlign w:val="center"/>
            <w:hideMark/>
          </w:tcPr>
          <w:p w14:paraId="5826F767"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98.2%</w:t>
            </w:r>
          </w:p>
        </w:tc>
      </w:tr>
      <w:tr w:rsidR="00DC6625" w:rsidRPr="00DC6625" w14:paraId="73F17AC5" w14:textId="77777777" w:rsidTr="009F7BEB">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6BE9AC51"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has completed at least 20 contact hours of instruction in a curriculum meeting the requirements specified by the APD state office and approved by the APD designated behavior analyst.</w:t>
            </w:r>
          </w:p>
        </w:tc>
        <w:tc>
          <w:tcPr>
            <w:tcW w:w="1440" w:type="dxa"/>
            <w:vAlign w:val="center"/>
            <w:hideMark/>
          </w:tcPr>
          <w:p w14:paraId="7E848B78"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56</w:t>
            </w:r>
          </w:p>
        </w:tc>
        <w:tc>
          <w:tcPr>
            <w:tcW w:w="1170" w:type="dxa"/>
            <w:vAlign w:val="center"/>
            <w:hideMark/>
          </w:tcPr>
          <w:p w14:paraId="3DE777F3"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34F15CCA" w14:textId="77777777" w:rsidTr="009F7BEB">
        <w:trPr>
          <w:cnfStyle w:val="000000010000" w:firstRow="0" w:lastRow="0" w:firstColumn="0" w:lastColumn="0" w:oddVBand="0" w:evenVBand="0" w:oddHBand="0" w:evenHBand="1" w:firstRowFirstColumn="0" w:firstRowLastColumn="0" w:lastRowFirstColumn="0" w:lastRowLastColumn="0"/>
          <w:trHeight w:val="502"/>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11FFBB13"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completes eight hours of annual in-service training related to behavior analysis and related topics.</w:t>
            </w:r>
          </w:p>
        </w:tc>
        <w:tc>
          <w:tcPr>
            <w:tcW w:w="1440" w:type="dxa"/>
            <w:vAlign w:val="center"/>
            <w:hideMark/>
          </w:tcPr>
          <w:p w14:paraId="1AB883C6"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24</w:t>
            </w:r>
          </w:p>
        </w:tc>
        <w:tc>
          <w:tcPr>
            <w:tcW w:w="1170" w:type="dxa"/>
            <w:vAlign w:val="center"/>
            <w:hideMark/>
          </w:tcPr>
          <w:p w14:paraId="33A3FB6D"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6A8EF604" w14:textId="77777777" w:rsidTr="009F7BEB">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2A818335"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Residential Habilitation-Intensive Behavior.</w:t>
            </w:r>
          </w:p>
        </w:tc>
        <w:tc>
          <w:tcPr>
            <w:tcW w:w="1440" w:type="dxa"/>
            <w:vAlign w:val="center"/>
            <w:hideMark/>
          </w:tcPr>
          <w:p w14:paraId="45934937"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w:t>
            </w:r>
          </w:p>
        </w:tc>
        <w:tc>
          <w:tcPr>
            <w:tcW w:w="1170" w:type="dxa"/>
            <w:vAlign w:val="center"/>
            <w:hideMark/>
          </w:tcPr>
          <w:p w14:paraId="3E6CAF54"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2E79E950" w14:textId="77777777" w:rsidTr="009F7BEB">
        <w:trPr>
          <w:cnfStyle w:val="000000010000" w:firstRow="0" w:lastRow="0" w:firstColumn="0" w:lastColumn="0" w:oddVBand="0" w:evenVBand="0" w:oddHBand="0" w:evenHBand="1" w:firstRowFirstColumn="0" w:firstRowLastColumn="0" w:lastRowFirstColumn="0" w:lastRowLastColumn="0"/>
          <w:trHeight w:val="871"/>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0980E2C1"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has completed at least 20 contact hours of instruction in a curriculum meeting the requirements specified by the APD state office and approved by the APD designated behavior analyst.</w:t>
            </w:r>
          </w:p>
        </w:tc>
        <w:tc>
          <w:tcPr>
            <w:tcW w:w="1440" w:type="dxa"/>
            <w:vAlign w:val="center"/>
            <w:hideMark/>
          </w:tcPr>
          <w:p w14:paraId="3087BDC9"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w:t>
            </w:r>
          </w:p>
        </w:tc>
        <w:tc>
          <w:tcPr>
            <w:tcW w:w="1170" w:type="dxa"/>
            <w:vAlign w:val="center"/>
            <w:hideMark/>
          </w:tcPr>
          <w:p w14:paraId="6288A049"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5BDBE0A4" w14:textId="77777777" w:rsidTr="009F7BEB">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15F85EE8"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Respite.</w:t>
            </w:r>
          </w:p>
        </w:tc>
        <w:tc>
          <w:tcPr>
            <w:tcW w:w="1440" w:type="dxa"/>
            <w:vAlign w:val="center"/>
            <w:hideMark/>
          </w:tcPr>
          <w:p w14:paraId="745DB0A3"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196</w:t>
            </w:r>
          </w:p>
        </w:tc>
        <w:tc>
          <w:tcPr>
            <w:tcW w:w="1170" w:type="dxa"/>
            <w:vAlign w:val="center"/>
            <w:hideMark/>
          </w:tcPr>
          <w:p w14:paraId="494E4C8F"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98.5%</w:t>
            </w:r>
          </w:p>
        </w:tc>
      </w:tr>
      <w:tr w:rsidR="00DC6625" w:rsidRPr="00DC6625" w14:paraId="4F5C371D" w14:textId="77777777" w:rsidTr="009F7BEB">
        <w:trPr>
          <w:cnfStyle w:val="000000010000" w:firstRow="0" w:lastRow="0" w:firstColumn="0" w:lastColumn="0" w:oddVBand="0" w:evenVBand="0" w:oddHBand="0" w:evenHBand="1"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1D45D37D"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lastRenderedPageBreak/>
              <w:t>The provider meets all minimum educational requirements and levels of experience for Supported Living Coaching.</w:t>
            </w:r>
          </w:p>
        </w:tc>
        <w:tc>
          <w:tcPr>
            <w:tcW w:w="1440" w:type="dxa"/>
            <w:vAlign w:val="center"/>
            <w:hideMark/>
          </w:tcPr>
          <w:p w14:paraId="1ACF2912"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170</w:t>
            </w:r>
          </w:p>
        </w:tc>
        <w:tc>
          <w:tcPr>
            <w:tcW w:w="1170" w:type="dxa"/>
            <w:vAlign w:val="center"/>
            <w:hideMark/>
          </w:tcPr>
          <w:p w14:paraId="18675608"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97.6%</w:t>
            </w:r>
          </w:p>
        </w:tc>
      </w:tr>
      <w:tr w:rsidR="00DC6625" w:rsidRPr="00DC6625" w14:paraId="6383C2F4" w14:textId="77777777" w:rsidTr="009F7BEB">
        <w:trPr>
          <w:cnfStyle w:val="000000100000" w:firstRow="0" w:lastRow="0" w:firstColumn="0" w:lastColumn="0" w:oddVBand="0" w:evenVBand="0" w:oddHBand="1" w:evenHBand="0" w:firstRowFirstColumn="0" w:firstRowLastColumn="0" w:lastRowFirstColumn="0" w:lastRowLastColumn="0"/>
          <w:trHeight w:val="304"/>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1FBB34F2"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completed required Supported Living Pre-Service training.</w:t>
            </w:r>
          </w:p>
        </w:tc>
        <w:tc>
          <w:tcPr>
            <w:tcW w:w="1440" w:type="dxa"/>
            <w:vAlign w:val="center"/>
            <w:hideMark/>
          </w:tcPr>
          <w:p w14:paraId="6BEAE07C"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170</w:t>
            </w:r>
          </w:p>
        </w:tc>
        <w:tc>
          <w:tcPr>
            <w:tcW w:w="1170" w:type="dxa"/>
            <w:vAlign w:val="center"/>
            <w:hideMark/>
          </w:tcPr>
          <w:p w14:paraId="2CB2D435"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99.4%</w:t>
            </w:r>
          </w:p>
        </w:tc>
      </w:tr>
      <w:tr w:rsidR="00DC6625" w:rsidRPr="00DC6625" w14:paraId="647ABF83" w14:textId="77777777" w:rsidTr="009F7BEB">
        <w:trPr>
          <w:cnfStyle w:val="000000010000" w:firstRow="0" w:lastRow="0" w:firstColumn="0" w:lastColumn="0" w:oddVBand="0" w:evenVBand="0" w:oddHBand="0" w:evenHBand="1"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50DAF257"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Supported Living Coach completed Introduction to Social Security Work Incentives.</w:t>
            </w:r>
          </w:p>
        </w:tc>
        <w:tc>
          <w:tcPr>
            <w:tcW w:w="1440" w:type="dxa"/>
            <w:vAlign w:val="center"/>
            <w:hideMark/>
          </w:tcPr>
          <w:p w14:paraId="7A8FDC6D"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68</w:t>
            </w:r>
          </w:p>
        </w:tc>
        <w:tc>
          <w:tcPr>
            <w:tcW w:w="1170" w:type="dxa"/>
            <w:vAlign w:val="center"/>
            <w:hideMark/>
          </w:tcPr>
          <w:p w14:paraId="7C084638"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98.5%</w:t>
            </w:r>
          </w:p>
        </w:tc>
      </w:tr>
      <w:tr w:rsidR="00DC6625" w:rsidRPr="00DC6625" w14:paraId="3A872779" w14:textId="77777777" w:rsidTr="009F7BEB">
        <w:trPr>
          <w:cnfStyle w:val="000000100000" w:firstRow="0" w:lastRow="0" w:firstColumn="0" w:lastColumn="0" w:oddVBand="0" w:evenVBand="0" w:oddHBand="1" w:evenHBand="0" w:firstRowFirstColumn="0" w:firstRowLastColumn="0" w:lastRowFirstColumn="0" w:lastRowLastColumn="0"/>
          <w:trHeight w:val="277"/>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5411F774"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completes eight hours of annual in-service training.</w:t>
            </w:r>
          </w:p>
        </w:tc>
        <w:tc>
          <w:tcPr>
            <w:tcW w:w="1440" w:type="dxa"/>
            <w:vAlign w:val="center"/>
            <w:hideMark/>
          </w:tcPr>
          <w:p w14:paraId="504F0870"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83</w:t>
            </w:r>
          </w:p>
        </w:tc>
        <w:tc>
          <w:tcPr>
            <w:tcW w:w="1170" w:type="dxa"/>
            <w:vAlign w:val="center"/>
            <w:hideMark/>
          </w:tcPr>
          <w:p w14:paraId="03038EBA"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79.5%</w:t>
            </w:r>
          </w:p>
        </w:tc>
      </w:tr>
      <w:tr w:rsidR="00DC6625" w:rsidRPr="00DC6625" w14:paraId="44F2D70D" w14:textId="77777777" w:rsidTr="009F7BEB">
        <w:trPr>
          <w:cnfStyle w:val="000000010000" w:firstRow="0" w:lastRow="0" w:firstColumn="0" w:lastColumn="0" w:oddVBand="0" w:evenVBand="0" w:oddHBand="0" w:evenHBand="1"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6E0225BF"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in Direct Care Core Competency.</w:t>
            </w:r>
          </w:p>
        </w:tc>
        <w:tc>
          <w:tcPr>
            <w:tcW w:w="1440" w:type="dxa"/>
            <w:vAlign w:val="center"/>
            <w:hideMark/>
          </w:tcPr>
          <w:p w14:paraId="636F0A98"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724</w:t>
            </w:r>
          </w:p>
        </w:tc>
        <w:tc>
          <w:tcPr>
            <w:tcW w:w="1170" w:type="dxa"/>
            <w:vAlign w:val="center"/>
            <w:hideMark/>
          </w:tcPr>
          <w:p w14:paraId="35F64CF3"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97.8%</w:t>
            </w:r>
          </w:p>
        </w:tc>
      </w:tr>
      <w:tr w:rsidR="00DC6625" w:rsidRPr="00DC6625" w14:paraId="63838D9D" w14:textId="77777777" w:rsidTr="009F7BE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3330E038"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received training in Direct Care Core Competencies.</w:t>
            </w:r>
          </w:p>
        </w:tc>
        <w:tc>
          <w:tcPr>
            <w:tcW w:w="1440" w:type="dxa"/>
            <w:vAlign w:val="center"/>
            <w:hideMark/>
          </w:tcPr>
          <w:p w14:paraId="75169DA8"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53</w:t>
            </w:r>
          </w:p>
        </w:tc>
        <w:tc>
          <w:tcPr>
            <w:tcW w:w="1170" w:type="dxa"/>
            <w:vAlign w:val="center"/>
            <w:hideMark/>
          </w:tcPr>
          <w:p w14:paraId="7FAB23A6"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4A559153" w14:textId="77777777" w:rsidTr="009F7BEB">
        <w:trPr>
          <w:cnfStyle w:val="000000010000" w:firstRow="0" w:lastRow="0" w:firstColumn="0" w:lastColumn="0" w:oddVBand="0" w:evenVBand="0" w:oddHBand="0" w:evenHBand="1"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48DCB90B"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Behavior Analysis.</w:t>
            </w:r>
          </w:p>
        </w:tc>
        <w:tc>
          <w:tcPr>
            <w:tcW w:w="1440" w:type="dxa"/>
            <w:vAlign w:val="center"/>
            <w:hideMark/>
          </w:tcPr>
          <w:p w14:paraId="56B3C23F"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12</w:t>
            </w:r>
          </w:p>
        </w:tc>
        <w:tc>
          <w:tcPr>
            <w:tcW w:w="1170" w:type="dxa"/>
            <w:vAlign w:val="center"/>
            <w:hideMark/>
          </w:tcPr>
          <w:p w14:paraId="492FD044"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30FDECDE" w14:textId="77777777" w:rsidTr="009F7BEB">
        <w:trPr>
          <w:cnfStyle w:val="000000100000" w:firstRow="0" w:lastRow="0" w:firstColumn="0" w:lastColumn="0" w:oddVBand="0" w:evenVBand="0" w:oddHBand="1"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4FB50813"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Behavior Assistant.</w:t>
            </w:r>
          </w:p>
        </w:tc>
        <w:tc>
          <w:tcPr>
            <w:tcW w:w="1440" w:type="dxa"/>
            <w:vAlign w:val="center"/>
            <w:hideMark/>
          </w:tcPr>
          <w:p w14:paraId="6F03A275"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12</w:t>
            </w:r>
          </w:p>
        </w:tc>
        <w:tc>
          <w:tcPr>
            <w:tcW w:w="1170" w:type="dxa"/>
            <w:vAlign w:val="center"/>
            <w:hideMark/>
          </w:tcPr>
          <w:p w14:paraId="797C4F5F"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91.7%</w:t>
            </w:r>
          </w:p>
        </w:tc>
      </w:tr>
      <w:tr w:rsidR="00DC6625" w:rsidRPr="00DC6625" w14:paraId="4CE3FC48" w14:textId="77777777" w:rsidTr="009F7BEB">
        <w:trPr>
          <w:cnfStyle w:val="000000010000" w:firstRow="0" w:lastRow="0" w:firstColumn="0" w:lastColumn="0" w:oddVBand="0" w:evenVBand="0" w:oddHBand="0" w:evenHBand="1" w:firstRowFirstColumn="0" w:firstRowLastColumn="0" w:lastRowFirstColumn="0" w:lastRowLastColumn="0"/>
          <w:trHeight w:val="736"/>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1874D625"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Behavior Assistant provider has completed at least 20 contact hours of instruction in a curriculum meeting the requirements specified by the APD state office and approved by the APD designated behavior analyst.</w:t>
            </w:r>
          </w:p>
        </w:tc>
        <w:tc>
          <w:tcPr>
            <w:tcW w:w="1440" w:type="dxa"/>
            <w:vAlign w:val="center"/>
            <w:hideMark/>
          </w:tcPr>
          <w:p w14:paraId="55480695"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12</w:t>
            </w:r>
          </w:p>
        </w:tc>
        <w:tc>
          <w:tcPr>
            <w:tcW w:w="1170" w:type="dxa"/>
            <w:vAlign w:val="center"/>
            <w:hideMark/>
          </w:tcPr>
          <w:p w14:paraId="4731645C"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2CE57F1F" w14:textId="77777777" w:rsidTr="009F7BEB">
        <w:trPr>
          <w:cnfStyle w:val="000000100000" w:firstRow="0" w:lastRow="0" w:firstColumn="0" w:lastColumn="0" w:oddVBand="0" w:evenVBand="0" w:oddHBand="1" w:evenHBand="0" w:firstRowFirstColumn="0" w:firstRowLastColumn="0" w:lastRowFirstColumn="0" w:lastRowLastColumn="0"/>
          <w:trHeight w:val="718"/>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61522E58"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Life Skills Development 1 provider completes 4 hours of annual in-service training related to the specific needs of at least one person currently receiving services</w:t>
            </w:r>
          </w:p>
        </w:tc>
        <w:tc>
          <w:tcPr>
            <w:tcW w:w="1440" w:type="dxa"/>
            <w:vAlign w:val="center"/>
            <w:hideMark/>
          </w:tcPr>
          <w:p w14:paraId="28C8DE28"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77</w:t>
            </w:r>
          </w:p>
        </w:tc>
        <w:tc>
          <w:tcPr>
            <w:tcW w:w="1170" w:type="dxa"/>
            <w:vAlign w:val="center"/>
            <w:hideMark/>
          </w:tcPr>
          <w:p w14:paraId="3CFF657F"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97.4%</w:t>
            </w:r>
          </w:p>
        </w:tc>
      </w:tr>
      <w:tr w:rsidR="00DC6625" w:rsidRPr="00DC6625" w14:paraId="15A4F218" w14:textId="77777777" w:rsidTr="009F7BEB">
        <w:trPr>
          <w:cnfStyle w:val="000000010000" w:firstRow="0" w:lastRow="0" w:firstColumn="0" w:lastColumn="0" w:oddVBand="0" w:evenVBand="0" w:oddHBand="0" w:evenHBand="1" w:firstRowFirstColumn="0" w:firstRowLastColumn="0" w:lastRowFirstColumn="0" w:lastRowLastColumn="0"/>
          <w:trHeight w:val="52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7B4A94C3"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Life Skills Development 2.</w:t>
            </w:r>
          </w:p>
        </w:tc>
        <w:tc>
          <w:tcPr>
            <w:tcW w:w="1440" w:type="dxa"/>
            <w:vAlign w:val="center"/>
            <w:hideMark/>
          </w:tcPr>
          <w:p w14:paraId="7739E822"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35</w:t>
            </w:r>
          </w:p>
        </w:tc>
        <w:tc>
          <w:tcPr>
            <w:tcW w:w="1170" w:type="dxa"/>
            <w:vAlign w:val="center"/>
            <w:hideMark/>
          </w:tcPr>
          <w:p w14:paraId="038B64C1"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94.3%</w:t>
            </w:r>
          </w:p>
        </w:tc>
      </w:tr>
      <w:tr w:rsidR="00DC6625" w:rsidRPr="00DC6625" w14:paraId="0BD2FA78" w14:textId="77777777" w:rsidTr="009F7BEB">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73E83C1C"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Life Skills Development 2 provider completed Introduction to Social Security Work Incentives.</w:t>
            </w:r>
          </w:p>
        </w:tc>
        <w:tc>
          <w:tcPr>
            <w:tcW w:w="1440" w:type="dxa"/>
            <w:vAlign w:val="center"/>
            <w:hideMark/>
          </w:tcPr>
          <w:p w14:paraId="2F57039F"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25</w:t>
            </w:r>
          </w:p>
        </w:tc>
        <w:tc>
          <w:tcPr>
            <w:tcW w:w="1170" w:type="dxa"/>
            <w:vAlign w:val="center"/>
            <w:hideMark/>
          </w:tcPr>
          <w:p w14:paraId="3832B192"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96.0%</w:t>
            </w:r>
          </w:p>
        </w:tc>
      </w:tr>
      <w:tr w:rsidR="00DC6625" w:rsidRPr="00DC6625" w14:paraId="11F2AD58" w14:textId="77777777" w:rsidTr="009F7BEB">
        <w:trPr>
          <w:cnfStyle w:val="000000010000" w:firstRow="0" w:lastRow="0" w:firstColumn="0" w:lastColumn="0" w:oddVBand="0" w:evenVBand="0" w:oddHBand="0" w:evenHBand="1" w:firstRowFirstColumn="0" w:firstRowLastColumn="0" w:lastRowFirstColumn="0" w:lastRowLastColumn="0"/>
          <w:trHeight w:val="493"/>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37DF8B8F"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Life Skills Development 2 provider completes eight hours of annual in-service training related to employment.</w:t>
            </w:r>
          </w:p>
        </w:tc>
        <w:tc>
          <w:tcPr>
            <w:tcW w:w="1440" w:type="dxa"/>
            <w:vAlign w:val="center"/>
            <w:hideMark/>
          </w:tcPr>
          <w:p w14:paraId="15F9CF1C"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31</w:t>
            </w:r>
          </w:p>
        </w:tc>
        <w:tc>
          <w:tcPr>
            <w:tcW w:w="1170" w:type="dxa"/>
            <w:vAlign w:val="center"/>
            <w:hideMark/>
          </w:tcPr>
          <w:p w14:paraId="2B8B16B3"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80.6%</w:t>
            </w:r>
          </w:p>
        </w:tc>
      </w:tr>
      <w:tr w:rsidR="00DC6625" w:rsidRPr="00DC6625" w14:paraId="5FACE31E" w14:textId="77777777" w:rsidTr="009F7BEB">
        <w:trPr>
          <w:cnfStyle w:val="000000100000" w:firstRow="0" w:lastRow="0" w:firstColumn="0" w:lastColumn="0" w:oddVBand="0" w:evenVBand="0" w:oddHBand="1" w:evenHBand="0" w:firstRowFirstColumn="0" w:firstRowLastColumn="0" w:lastRowFirstColumn="0" w:lastRowLastColumn="0"/>
          <w:trHeight w:val="583"/>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25F0B40E"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Life Skills Development 3 provider completes eight hours of annual in-service training related to the individually tailored services.</w:t>
            </w:r>
          </w:p>
        </w:tc>
        <w:tc>
          <w:tcPr>
            <w:tcW w:w="1440" w:type="dxa"/>
            <w:vAlign w:val="center"/>
            <w:hideMark/>
          </w:tcPr>
          <w:p w14:paraId="1E384193"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23</w:t>
            </w:r>
          </w:p>
        </w:tc>
        <w:tc>
          <w:tcPr>
            <w:tcW w:w="1170" w:type="dxa"/>
            <w:vAlign w:val="center"/>
            <w:hideMark/>
          </w:tcPr>
          <w:p w14:paraId="6F3858A0"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64FB295E" w14:textId="77777777" w:rsidTr="009F7BEB">
        <w:trPr>
          <w:cnfStyle w:val="000000010000" w:firstRow="0" w:lastRow="0" w:firstColumn="0" w:lastColumn="0" w:oddVBand="0" w:evenVBand="0" w:oddHBand="0" w:evenHBand="1" w:firstRowFirstColumn="0" w:firstRowLastColumn="0" w:lastRowFirstColumn="0" w:lastRowLastColumn="0"/>
          <w:trHeight w:val="61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0691CC72"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Residential Habilitation-Standard.</w:t>
            </w:r>
          </w:p>
        </w:tc>
        <w:tc>
          <w:tcPr>
            <w:tcW w:w="1440" w:type="dxa"/>
            <w:vAlign w:val="center"/>
            <w:hideMark/>
          </w:tcPr>
          <w:p w14:paraId="225CDD06"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282</w:t>
            </w:r>
          </w:p>
        </w:tc>
        <w:tc>
          <w:tcPr>
            <w:tcW w:w="1170" w:type="dxa"/>
            <w:vAlign w:val="center"/>
            <w:hideMark/>
          </w:tcPr>
          <w:p w14:paraId="5F97FE14"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96.8%</w:t>
            </w:r>
          </w:p>
        </w:tc>
      </w:tr>
      <w:tr w:rsidR="00DC6625" w:rsidRPr="00DC6625" w14:paraId="1FCFD24C" w14:textId="77777777" w:rsidTr="009F7BEB">
        <w:trPr>
          <w:cnfStyle w:val="000000100000" w:firstRow="0" w:lastRow="0" w:firstColumn="0" w:lastColumn="0" w:oddVBand="0" w:evenVBand="0" w:oddHBand="1" w:evenHBand="0" w:firstRowFirstColumn="0" w:firstRowLastColumn="0" w:lastRowFirstColumn="0" w:lastRowLastColumn="0"/>
          <w:trHeight w:val="79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126EEEC4"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Residential Habilitation - Standard provider completes eight hours of annual in-service training related to the implementation of individually tailored services.</w:t>
            </w:r>
          </w:p>
        </w:tc>
        <w:tc>
          <w:tcPr>
            <w:tcW w:w="1440" w:type="dxa"/>
            <w:vAlign w:val="center"/>
            <w:hideMark/>
          </w:tcPr>
          <w:p w14:paraId="44CA9318"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73</w:t>
            </w:r>
          </w:p>
        </w:tc>
        <w:tc>
          <w:tcPr>
            <w:tcW w:w="1170" w:type="dxa"/>
            <w:vAlign w:val="center"/>
            <w:hideMark/>
          </w:tcPr>
          <w:p w14:paraId="2A79DAE8"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71522DB5" w14:textId="77777777" w:rsidTr="009F7BEB">
        <w:trPr>
          <w:cnfStyle w:val="000000010000" w:firstRow="0" w:lastRow="0" w:firstColumn="0" w:lastColumn="0" w:oddVBand="0" w:evenVBand="0" w:oddHBand="0" w:evenHBand="1" w:firstRowFirstColumn="0" w:firstRowLastColumn="0" w:lastRowFirstColumn="0" w:lastRowLastColumn="0"/>
          <w:trHeight w:val="511"/>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02C36330"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Residential Habilitation-Behavior Focus.</w:t>
            </w:r>
          </w:p>
        </w:tc>
        <w:tc>
          <w:tcPr>
            <w:tcW w:w="1440" w:type="dxa"/>
            <w:vAlign w:val="center"/>
            <w:hideMark/>
          </w:tcPr>
          <w:p w14:paraId="1CC0D70C"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68</w:t>
            </w:r>
          </w:p>
        </w:tc>
        <w:tc>
          <w:tcPr>
            <w:tcW w:w="1170" w:type="dxa"/>
            <w:vAlign w:val="center"/>
            <w:hideMark/>
          </w:tcPr>
          <w:p w14:paraId="2D069A17"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98.5%</w:t>
            </w:r>
          </w:p>
        </w:tc>
      </w:tr>
      <w:tr w:rsidR="00DC6625" w:rsidRPr="00DC6625" w14:paraId="1888FE36" w14:textId="77777777" w:rsidTr="009F7BEB">
        <w:trPr>
          <w:cnfStyle w:val="000000100000" w:firstRow="0" w:lastRow="0" w:firstColumn="0" w:lastColumn="0" w:oddVBand="0" w:evenVBand="0" w:oddHBand="1" w:evenHBand="0" w:firstRowFirstColumn="0" w:firstRowLastColumn="0" w:lastRowFirstColumn="0" w:lastRowLastColumn="0"/>
          <w:trHeight w:val="1204"/>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78B07249"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Residential Habilitation - Behavior Focus provider has completed at least 20 contact hours of instruction in a curriculum meeting the requirements specified by the APD state office and approved by the APD designated behavior analyst.</w:t>
            </w:r>
          </w:p>
        </w:tc>
        <w:tc>
          <w:tcPr>
            <w:tcW w:w="1440" w:type="dxa"/>
            <w:vAlign w:val="center"/>
            <w:hideMark/>
          </w:tcPr>
          <w:p w14:paraId="241D4C30"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67</w:t>
            </w:r>
          </w:p>
        </w:tc>
        <w:tc>
          <w:tcPr>
            <w:tcW w:w="1170" w:type="dxa"/>
            <w:vAlign w:val="center"/>
            <w:hideMark/>
          </w:tcPr>
          <w:p w14:paraId="1300960C"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98.5%</w:t>
            </w:r>
          </w:p>
        </w:tc>
      </w:tr>
      <w:tr w:rsidR="00DC6625" w:rsidRPr="00DC6625" w14:paraId="1D30D955" w14:textId="77777777" w:rsidTr="009F7BEB">
        <w:trPr>
          <w:cnfStyle w:val="000000010000" w:firstRow="0" w:lastRow="0" w:firstColumn="0" w:lastColumn="0" w:oddVBand="0" w:evenVBand="0" w:oddHBand="0" w:evenHBand="1" w:firstRowFirstColumn="0" w:firstRowLastColumn="0" w:lastRowFirstColumn="0" w:lastRowLastColumn="0"/>
          <w:trHeight w:val="799"/>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5A8D2BC4"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Residential Habilitation - Behavior Focus provider completes eight hours of annual in-service training related to behavior analysis and related topics.</w:t>
            </w:r>
          </w:p>
        </w:tc>
        <w:tc>
          <w:tcPr>
            <w:tcW w:w="1440" w:type="dxa"/>
            <w:vAlign w:val="center"/>
            <w:hideMark/>
          </w:tcPr>
          <w:p w14:paraId="74D4E959"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40</w:t>
            </w:r>
          </w:p>
        </w:tc>
        <w:tc>
          <w:tcPr>
            <w:tcW w:w="1170" w:type="dxa"/>
            <w:vAlign w:val="center"/>
            <w:hideMark/>
          </w:tcPr>
          <w:p w14:paraId="2708F1CC"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1C392C3E" w14:textId="77777777" w:rsidTr="009F7BEB">
        <w:trPr>
          <w:cnfStyle w:val="000000100000" w:firstRow="0" w:lastRow="0" w:firstColumn="0" w:lastColumn="0" w:oddVBand="0" w:evenVBand="0" w:oddHBand="1" w:evenHBand="0" w:firstRowFirstColumn="0" w:firstRowLastColumn="0" w:lastRowFirstColumn="0" w:lastRowLastColumn="0"/>
          <w:trHeight w:val="601"/>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760E4A86"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provider meets all minimum educational requirements and levels of experience for Residential Habilitation-Intensive Behavior.</w:t>
            </w:r>
          </w:p>
        </w:tc>
        <w:tc>
          <w:tcPr>
            <w:tcW w:w="1440" w:type="dxa"/>
            <w:vAlign w:val="center"/>
            <w:hideMark/>
          </w:tcPr>
          <w:p w14:paraId="1D4DDCCF"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3</w:t>
            </w:r>
          </w:p>
        </w:tc>
        <w:tc>
          <w:tcPr>
            <w:tcW w:w="1170" w:type="dxa"/>
            <w:vAlign w:val="center"/>
            <w:hideMark/>
          </w:tcPr>
          <w:p w14:paraId="4F1CBADA"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34A2D179" w14:textId="77777777" w:rsidTr="009F7BEB">
        <w:trPr>
          <w:cnfStyle w:val="000000010000" w:firstRow="0" w:lastRow="0" w:firstColumn="0" w:lastColumn="0" w:oddVBand="0" w:evenVBand="0" w:oddHBand="0" w:evenHBand="1"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58630157"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Residential Habilitation - Intensive Behavior provider has completed at least 20 contact hours of instruction in a curriculum meeting the requirements specified by the APD state office and approved by the APD designated behavior analyst.</w:t>
            </w:r>
          </w:p>
        </w:tc>
        <w:tc>
          <w:tcPr>
            <w:tcW w:w="1440" w:type="dxa"/>
            <w:vAlign w:val="center"/>
            <w:hideMark/>
          </w:tcPr>
          <w:p w14:paraId="693756FF"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3</w:t>
            </w:r>
          </w:p>
        </w:tc>
        <w:tc>
          <w:tcPr>
            <w:tcW w:w="1170" w:type="dxa"/>
            <w:vAlign w:val="center"/>
            <w:hideMark/>
          </w:tcPr>
          <w:p w14:paraId="0B11602A"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100.0%</w:t>
            </w:r>
          </w:p>
        </w:tc>
      </w:tr>
      <w:tr w:rsidR="00DC6625" w:rsidRPr="00DC6625" w14:paraId="6134E1DE" w14:textId="77777777" w:rsidTr="009F7BEB">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6948" w:type="dxa"/>
            <w:vAlign w:val="bottom"/>
            <w:hideMark/>
          </w:tcPr>
          <w:p w14:paraId="654ADADC"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Supported Living Coach provider completes eight hours of annual in-service training.</w:t>
            </w:r>
          </w:p>
        </w:tc>
        <w:tc>
          <w:tcPr>
            <w:tcW w:w="1440" w:type="dxa"/>
            <w:vAlign w:val="center"/>
            <w:hideMark/>
          </w:tcPr>
          <w:p w14:paraId="03BB03D7"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74</w:t>
            </w:r>
          </w:p>
        </w:tc>
        <w:tc>
          <w:tcPr>
            <w:tcW w:w="1170" w:type="dxa"/>
            <w:vAlign w:val="center"/>
            <w:hideMark/>
          </w:tcPr>
          <w:p w14:paraId="388F0162" w14:textId="77777777"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81.1%</w:t>
            </w:r>
          </w:p>
        </w:tc>
      </w:tr>
      <w:tr w:rsidR="00DC6625" w:rsidRPr="00DC6625" w14:paraId="4F889671" w14:textId="77777777" w:rsidTr="009F7BEB">
        <w:trPr>
          <w:cnfStyle w:val="000000010000" w:firstRow="0" w:lastRow="0" w:firstColumn="0" w:lastColumn="0" w:oddVBand="0" w:evenVBand="0" w:oddHBand="0" w:evenHBand="1" w:firstRowFirstColumn="0" w:firstRowLastColumn="0" w:lastRowFirstColumn="0" w:lastRowLastColumn="0"/>
          <w:trHeight w:val="871"/>
          <w:jc w:val="center"/>
        </w:trPr>
        <w:tc>
          <w:tcPr>
            <w:cnfStyle w:val="001000000000" w:firstRow="0" w:lastRow="0" w:firstColumn="1" w:lastColumn="0" w:oddVBand="0" w:evenVBand="0" w:oddHBand="0" w:evenHBand="0" w:firstRowFirstColumn="0" w:firstRowLastColumn="0" w:lastRowFirstColumn="0" w:lastRowLastColumn="0"/>
            <w:tcW w:w="6948" w:type="dxa"/>
            <w:tcBorders>
              <w:bottom w:val="single" w:sz="8" w:space="0" w:color="7BA0CD" w:themeColor="accent1" w:themeTint="BF"/>
            </w:tcBorders>
            <w:vAlign w:val="bottom"/>
            <w:hideMark/>
          </w:tcPr>
          <w:p w14:paraId="44C9F69D" w14:textId="77777777" w:rsidR="00DC6625" w:rsidRPr="00DC6625" w:rsidRDefault="00DC6625" w:rsidP="00DC6625">
            <w:pPr>
              <w:spacing w:line="240" w:lineRule="auto"/>
              <w:rPr>
                <w:rFonts w:ascii="Calibri" w:eastAsia="Times New Roman" w:hAnsi="Calibri" w:cs="Times New Roman"/>
                <w:b w:val="0"/>
                <w:color w:val="000000"/>
                <w:sz w:val="22"/>
              </w:rPr>
            </w:pPr>
            <w:r w:rsidRPr="00DC6625">
              <w:rPr>
                <w:rFonts w:ascii="Calibri" w:eastAsia="Times New Roman" w:hAnsi="Calibri" w:cs="Times New Roman"/>
                <w:b w:val="0"/>
                <w:color w:val="000000"/>
                <w:sz w:val="22"/>
              </w:rPr>
              <w:t>The Personal Support provider completes four hours of annual in-service training related to the specific needs of at least one person currently served.</w:t>
            </w:r>
          </w:p>
        </w:tc>
        <w:tc>
          <w:tcPr>
            <w:tcW w:w="1440" w:type="dxa"/>
            <w:tcBorders>
              <w:bottom w:val="single" w:sz="8" w:space="0" w:color="7BA0CD" w:themeColor="accent1" w:themeTint="BF"/>
            </w:tcBorders>
            <w:vAlign w:val="center"/>
            <w:hideMark/>
          </w:tcPr>
          <w:p w14:paraId="1306AD45"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147</w:t>
            </w:r>
          </w:p>
        </w:tc>
        <w:tc>
          <w:tcPr>
            <w:tcW w:w="1170" w:type="dxa"/>
            <w:tcBorders>
              <w:bottom w:val="single" w:sz="8" w:space="0" w:color="7BA0CD" w:themeColor="accent1" w:themeTint="BF"/>
            </w:tcBorders>
            <w:vAlign w:val="center"/>
            <w:hideMark/>
          </w:tcPr>
          <w:p w14:paraId="0231E771" w14:textId="77777777" w:rsidR="00DC6625" w:rsidRPr="00DC6625" w:rsidRDefault="00DC6625" w:rsidP="00DC6625">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DC6625">
              <w:rPr>
                <w:rFonts w:ascii="Calibri" w:eastAsia="Times New Roman" w:hAnsi="Calibri" w:cs="Times New Roman"/>
                <w:color w:val="000000"/>
                <w:sz w:val="22"/>
              </w:rPr>
              <w:t>93.9%</w:t>
            </w:r>
          </w:p>
        </w:tc>
      </w:tr>
      <w:tr w:rsidR="00DC6625" w:rsidRPr="00DC6625" w14:paraId="151AEE72" w14:textId="77777777" w:rsidTr="009F7BEB">
        <w:trPr>
          <w:cnfStyle w:val="000000100000" w:firstRow="0" w:lastRow="0" w:firstColumn="0" w:lastColumn="0" w:oddVBand="0" w:evenVBand="0" w:oddHBand="1" w:evenHBand="0" w:firstRowFirstColumn="0" w:firstRowLastColumn="0" w:lastRowFirstColumn="0" w:lastRowLastColumn="0"/>
          <w:trHeight w:val="250"/>
          <w:jc w:val="center"/>
        </w:trPr>
        <w:tc>
          <w:tcPr>
            <w:cnfStyle w:val="001000000000" w:firstRow="0" w:lastRow="0" w:firstColumn="1" w:lastColumn="0" w:oddVBand="0" w:evenVBand="0" w:oddHBand="0" w:evenHBand="0" w:firstRowFirstColumn="0" w:firstRowLastColumn="0" w:lastRowFirstColumn="0" w:lastRowLastColumn="0"/>
            <w:tcW w:w="6948" w:type="dxa"/>
            <w:shd w:val="clear" w:color="auto" w:fill="FABF8F" w:themeFill="accent6" w:themeFillTint="99"/>
            <w:vAlign w:val="bottom"/>
          </w:tcPr>
          <w:p w14:paraId="7DC06A8B" w14:textId="67CD7403" w:rsidR="00DC6625" w:rsidRPr="00DC6625" w:rsidRDefault="00DC6625" w:rsidP="00DC6625">
            <w:pPr>
              <w:spacing w:line="240" w:lineRule="auto"/>
              <w:rPr>
                <w:rFonts w:ascii="Calibri" w:eastAsia="Times New Roman" w:hAnsi="Calibri" w:cs="Times New Roman"/>
                <w:color w:val="000000"/>
                <w:sz w:val="22"/>
              </w:rPr>
            </w:pPr>
            <w:r>
              <w:rPr>
                <w:rFonts w:ascii="Calibri" w:eastAsia="Times New Roman" w:hAnsi="Calibri" w:cs="Times New Roman"/>
                <w:color w:val="000000"/>
                <w:sz w:val="22"/>
              </w:rPr>
              <w:t>Average Service Provider Q&amp;T Score</w:t>
            </w:r>
          </w:p>
        </w:tc>
        <w:tc>
          <w:tcPr>
            <w:tcW w:w="1440" w:type="dxa"/>
            <w:shd w:val="clear" w:color="auto" w:fill="FABF8F" w:themeFill="accent6" w:themeFillTint="99"/>
            <w:vAlign w:val="center"/>
          </w:tcPr>
          <w:p w14:paraId="59C453DA" w14:textId="4FE895A5"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rPr>
            </w:pPr>
            <w:r w:rsidRPr="00DC6625">
              <w:rPr>
                <w:rFonts w:ascii="Calibri" w:eastAsia="Times New Roman" w:hAnsi="Calibri" w:cs="Times New Roman"/>
                <w:b/>
                <w:color w:val="000000"/>
                <w:sz w:val="22"/>
              </w:rPr>
              <w:t>22,926</w:t>
            </w:r>
          </w:p>
        </w:tc>
        <w:tc>
          <w:tcPr>
            <w:tcW w:w="1170" w:type="dxa"/>
            <w:shd w:val="clear" w:color="auto" w:fill="FABF8F" w:themeFill="accent6" w:themeFillTint="99"/>
            <w:vAlign w:val="center"/>
          </w:tcPr>
          <w:p w14:paraId="5BD1A7B0" w14:textId="28C1ACC4" w:rsidR="00DC6625" w:rsidRPr="00DC6625" w:rsidRDefault="00DC6625" w:rsidP="00DC6625">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sz w:val="22"/>
              </w:rPr>
            </w:pPr>
            <w:r w:rsidRPr="00DC6625">
              <w:rPr>
                <w:rFonts w:ascii="Calibri" w:eastAsia="Times New Roman" w:hAnsi="Calibri" w:cs="Times New Roman"/>
                <w:b/>
                <w:color w:val="000000"/>
                <w:sz w:val="22"/>
              </w:rPr>
              <w:t>96.0%</w:t>
            </w:r>
          </w:p>
        </w:tc>
      </w:tr>
    </w:tbl>
    <w:p w14:paraId="6077AAF4" w14:textId="77777777" w:rsidR="003649E9" w:rsidRDefault="003649E9" w:rsidP="003649E9">
      <w:pPr>
        <w:spacing w:line="240" w:lineRule="auto"/>
      </w:pPr>
    </w:p>
    <w:p w14:paraId="1EE448EA" w14:textId="77777777" w:rsidR="00846E0A" w:rsidRDefault="00846E0A" w:rsidP="003649E9">
      <w:pPr>
        <w:spacing w:line="240" w:lineRule="auto"/>
      </w:pPr>
    </w:p>
    <w:p w14:paraId="36CDF28E" w14:textId="77777777" w:rsidR="00846E0A" w:rsidRDefault="00846E0A" w:rsidP="003649E9">
      <w:pPr>
        <w:spacing w:line="240" w:lineRule="auto"/>
      </w:pPr>
    </w:p>
    <w:p w14:paraId="408CC21A" w14:textId="77777777" w:rsidR="003649E9" w:rsidRDefault="003649E9" w:rsidP="003649E9">
      <w:pPr>
        <w:spacing w:line="240" w:lineRule="auto"/>
      </w:pPr>
    </w:p>
    <w:tbl>
      <w:tblPr>
        <w:tblW w:w="9900" w:type="dxa"/>
        <w:jc w:val="cente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Look w:val="04A0" w:firstRow="1" w:lastRow="0" w:firstColumn="1" w:lastColumn="0" w:noHBand="0" w:noVBand="1"/>
      </w:tblPr>
      <w:tblGrid>
        <w:gridCol w:w="6916"/>
        <w:gridCol w:w="1194"/>
        <w:gridCol w:w="1790"/>
      </w:tblGrid>
      <w:tr w:rsidR="003649E9" w:rsidRPr="00C01228" w14:paraId="4550CB2A" w14:textId="77777777" w:rsidTr="009F7BEB">
        <w:trPr>
          <w:trHeight w:val="315"/>
          <w:tblHeader/>
          <w:jc w:val="center"/>
        </w:trPr>
        <w:tc>
          <w:tcPr>
            <w:tcW w:w="9900" w:type="dxa"/>
            <w:gridSpan w:val="3"/>
            <w:shd w:val="clear" w:color="auto" w:fill="244061" w:themeFill="accent1" w:themeFillShade="80"/>
            <w:vAlign w:val="bottom"/>
            <w:hideMark/>
          </w:tcPr>
          <w:p w14:paraId="72FF4040" w14:textId="77777777" w:rsidR="003649E9" w:rsidRPr="00FC6EF6" w:rsidRDefault="003649E9" w:rsidP="003649E9">
            <w:pPr>
              <w:spacing w:line="240" w:lineRule="auto"/>
              <w:jc w:val="center"/>
              <w:rPr>
                <w:rFonts w:ascii="Franklin Gothic Medium" w:eastAsia="Times New Roman" w:hAnsi="Franklin Gothic Medium" w:cs="Times New Roman"/>
                <w:color w:val="FFFFFF" w:themeColor="background1"/>
                <w:szCs w:val="24"/>
              </w:rPr>
            </w:pPr>
            <w:r w:rsidRPr="00FC6EF6">
              <w:rPr>
                <w:rFonts w:ascii="Franklin Gothic Medium" w:eastAsia="Times New Roman" w:hAnsi="Franklin Gothic Medium" w:cs="Times New Roman"/>
                <w:color w:val="FFFFFF" w:themeColor="background1"/>
                <w:szCs w:val="24"/>
              </w:rPr>
              <w:lastRenderedPageBreak/>
              <w:t>Table 20:  PDR Qualifications and Training WSC Results by Standard</w:t>
            </w:r>
          </w:p>
        </w:tc>
      </w:tr>
      <w:tr w:rsidR="003649E9" w:rsidRPr="00C01228" w14:paraId="4FD164C1" w14:textId="77777777" w:rsidTr="009F7BEB">
        <w:trPr>
          <w:trHeight w:val="315"/>
          <w:tblHeader/>
          <w:jc w:val="center"/>
        </w:trPr>
        <w:tc>
          <w:tcPr>
            <w:tcW w:w="9900" w:type="dxa"/>
            <w:gridSpan w:val="3"/>
            <w:shd w:val="clear" w:color="auto" w:fill="244061" w:themeFill="accent1" w:themeFillShade="80"/>
            <w:vAlign w:val="bottom"/>
            <w:hideMark/>
          </w:tcPr>
          <w:p w14:paraId="478EE419" w14:textId="1CAEFC26" w:rsidR="003649E9" w:rsidRPr="00FC6EF6" w:rsidRDefault="003649E9" w:rsidP="00E27203">
            <w:pPr>
              <w:spacing w:line="240" w:lineRule="auto"/>
              <w:jc w:val="center"/>
              <w:rPr>
                <w:rFonts w:ascii="Franklin Gothic Medium" w:eastAsia="Times New Roman" w:hAnsi="Franklin Gothic Medium" w:cs="Times New Roman"/>
                <w:color w:val="FFFFFF" w:themeColor="background1"/>
                <w:szCs w:val="24"/>
              </w:rPr>
            </w:pPr>
            <w:r w:rsidRPr="00FC6EF6">
              <w:rPr>
                <w:rFonts w:ascii="Franklin Gothic Medium" w:eastAsia="Times New Roman" w:hAnsi="Franklin Gothic Medium" w:cs="Times New Roman"/>
                <w:color w:val="FFFFFF" w:themeColor="background1"/>
                <w:szCs w:val="24"/>
              </w:rPr>
              <w:t xml:space="preserve">January - </w:t>
            </w:r>
            <w:r w:rsidR="00E27203">
              <w:rPr>
                <w:rFonts w:ascii="Franklin Gothic Medium" w:eastAsia="Times New Roman" w:hAnsi="Franklin Gothic Medium" w:cs="Times New Roman"/>
                <w:color w:val="FFFFFF" w:themeColor="background1"/>
                <w:szCs w:val="24"/>
              </w:rPr>
              <w:t>June</w:t>
            </w:r>
            <w:r w:rsidRPr="00FC6EF6">
              <w:rPr>
                <w:rFonts w:ascii="Franklin Gothic Medium" w:eastAsia="Times New Roman" w:hAnsi="Franklin Gothic Medium" w:cs="Times New Roman"/>
                <w:color w:val="FFFFFF" w:themeColor="background1"/>
                <w:szCs w:val="24"/>
              </w:rPr>
              <w:t xml:space="preserve"> 2016 (</w:t>
            </w:r>
            <w:r w:rsidR="00985235">
              <w:rPr>
                <w:rFonts w:ascii="Franklin Gothic Medium" w:eastAsia="Times New Roman" w:hAnsi="Franklin Gothic Medium" w:cs="Times New Roman"/>
                <w:color w:val="FFFFFF" w:themeColor="background1"/>
                <w:szCs w:val="24"/>
              </w:rPr>
              <w:t>265</w:t>
            </w:r>
            <w:r w:rsidR="00207156">
              <w:rPr>
                <w:rFonts w:ascii="Franklin Gothic Medium" w:eastAsia="Times New Roman" w:hAnsi="Franklin Gothic Medium" w:cs="Times New Roman"/>
                <w:color w:val="FFFFFF" w:themeColor="background1"/>
                <w:szCs w:val="24"/>
              </w:rPr>
              <w:t xml:space="preserve"> WSC PDR </w:t>
            </w:r>
            <w:r w:rsidRPr="00FC6EF6">
              <w:rPr>
                <w:rFonts w:ascii="Franklin Gothic Medium" w:eastAsia="Times New Roman" w:hAnsi="Franklin Gothic Medium" w:cs="Times New Roman"/>
                <w:color w:val="FFFFFF" w:themeColor="background1"/>
                <w:szCs w:val="24"/>
              </w:rPr>
              <w:t>)</w:t>
            </w:r>
          </w:p>
        </w:tc>
      </w:tr>
      <w:tr w:rsidR="003649E9" w:rsidRPr="00FC6EF6" w14:paraId="6E257C26" w14:textId="77777777" w:rsidTr="009F7BEB">
        <w:trPr>
          <w:trHeight w:val="630"/>
          <w:tblHeader/>
          <w:jc w:val="center"/>
        </w:trPr>
        <w:tc>
          <w:tcPr>
            <w:tcW w:w="6916" w:type="dxa"/>
            <w:shd w:val="clear" w:color="auto" w:fill="244061" w:themeFill="accent1" w:themeFillShade="80"/>
            <w:vAlign w:val="bottom"/>
            <w:hideMark/>
          </w:tcPr>
          <w:p w14:paraId="2F131981" w14:textId="77777777" w:rsidR="003649E9" w:rsidRPr="00FC6EF6" w:rsidRDefault="003649E9" w:rsidP="003649E9">
            <w:pPr>
              <w:spacing w:line="240" w:lineRule="auto"/>
              <w:rPr>
                <w:rFonts w:asciiTheme="minorHAnsi" w:eastAsia="Times New Roman" w:hAnsiTheme="minorHAnsi" w:cs="Times New Roman"/>
                <w:b/>
                <w:color w:val="FFFFFF" w:themeColor="background1"/>
                <w:szCs w:val="24"/>
              </w:rPr>
            </w:pPr>
            <w:r w:rsidRPr="00FC6EF6">
              <w:rPr>
                <w:rFonts w:asciiTheme="minorHAnsi" w:eastAsia="Times New Roman" w:hAnsiTheme="minorHAnsi" w:cs="Times New Roman"/>
                <w:b/>
                <w:color w:val="FFFFFF" w:themeColor="background1"/>
                <w:szCs w:val="24"/>
              </w:rPr>
              <w:t>Q&amp;T Standard</w:t>
            </w:r>
          </w:p>
        </w:tc>
        <w:tc>
          <w:tcPr>
            <w:tcW w:w="1194" w:type="dxa"/>
            <w:shd w:val="clear" w:color="auto" w:fill="244061" w:themeFill="accent1" w:themeFillShade="80"/>
            <w:vAlign w:val="bottom"/>
            <w:hideMark/>
          </w:tcPr>
          <w:p w14:paraId="0AC63818" w14:textId="77777777" w:rsidR="003649E9" w:rsidRPr="00FC6EF6" w:rsidRDefault="003649E9" w:rsidP="003649E9">
            <w:pPr>
              <w:spacing w:line="240" w:lineRule="auto"/>
              <w:jc w:val="center"/>
              <w:rPr>
                <w:rFonts w:asciiTheme="minorHAnsi" w:eastAsia="Times New Roman" w:hAnsiTheme="minorHAnsi" w:cs="Times New Roman"/>
                <w:b/>
                <w:color w:val="FFFFFF" w:themeColor="background1"/>
                <w:szCs w:val="24"/>
              </w:rPr>
            </w:pPr>
            <w:r w:rsidRPr="00FC6EF6">
              <w:rPr>
                <w:rFonts w:asciiTheme="minorHAnsi" w:eastAsia="Times New Roman" w:hAnsiTheme="minorHAnsi" w:cs="Times New Roman"/>
                <w:b/>
                <w:color w:val="FFFFFF" w:themeColor="background1"/>
                <w:szCs w:val="24"/>
              </w:rPr>
              <w:t>Number Reviewed</w:t>
            </w:r>
          </w:p>
        </w:tc>
        <w:tc>
          <w:tcPr>
            <w:tcW w:w="1790" w:type="dxa"/>
            <w:shd w:val="clear" w:color="auto" w:fill="244061" w:themeFill="accent1" w:themeFillShade="80"/>
            <w:vAlign w:val="bottom"/>
            <w:hideMark/>
          </w:tcPr>
          <w:p w14:paraId="7162961B" w14:textId="77777777" w:rsidR="003649E9" w:rsidRPr="00FC6EF6" w:rsidRDefault="003649E9" w:rsidP="003649E9">
            <w:pPr>
              <w:spacing w:line="240" w:lineRule="auto"/>
              <w:jc w:val="center"/>
              <w:rPr>
                <w:rFonts w:asciiTheme="minorHAnsi" w:eastAsia="Times New Roman" w:hAnsiTheme="minorHAnsi" w:cs="Times New Roman"/>
                <w:b/>
                <w:color w:val="FFFFFF" w:themeColor="background1"/>
                <w:szCs w:val="24"/>
              </w:rPr>
            </w:pPr>
            <w:r w:rsidRPr="00FC6EF6">
              <w:rPr>
                <w:rFonts w:asciiTheme="minorHAnsi" w:eastAsia="Times New Roman" w:hAnsiTheme="minorHAnsi" w:cs="Times New Roman"/>
                <w:b/>
                <w:color w:val="FFFFFF" w:themeColor="background1"/>
                <w:szCs w:val="24"/>
              </w:rPr>
              <w:t>Percent Met</w:t>
            </w:r>
          </w:p>
        </w:tc>
      </w:tr>
      <w:tr w:rsidR="00985235" w:rsidRPr="00C01228" w14:paraId="556BF6C6" w14:textId="77777777" w:rsidTr="009F7BEB">
        <w:trPr>
          <w:trHeight w:val="600"/>
          <w:jc w:val="center"/>
        </w:trPr>
        <w:tc>
          <w:tcPr>
            <w:tcW w:w="6916" w:type="dxa"/>
            <w:tcBorders>
              <w:bottom w:val="single" w:sz="8" w:space="0" w:color="7BA0CD" w:themeColor="accent1" w:themeTint="BF"/>
            </w:tcBorders>
            <w:shd w:val="clear" w:color="auto" w:fill="auto"/>
            <w:hideMark/>
          </w:tcPr>
          <w:p w14:paraId="2F189EB0" w14:textId="44FFBEF7" w:rsidR="00985235" w:rsidRPr="00985235" w:rsidRDefault="00985235" w:rsidP="00FA0DC6">
            <w:pPr>
              <w:spacing w:line="240" w:lineRule="auto"/>
              <w:rPr>
                <w:rFonts w:asciiTheme="minorHAnsi" w:hAnsiTheme="minorHAnsi"/>
                <w:sz w:val="22"/>
              </w:rPr>
            </w:pPr>
            <w:r w:rsidRPr="00985235">
              <w:rPr>
                <w:rFonts w:asciiTheme="minorHAnsi" w:hAnsiTheme="minorHAnsi" w:cs="Arial"/>
                <w:bCs/>
                <w:color w:val="000000"/>
                <w:sz w:val="22"/>
              </w:rPr>
              <w:t>The provider has completed all aspects of required Level II Background Screening.</w:t>
            </w:r>
          </w:p>
        </w:tc>
        <w:tc>
          <w:tcPr>
            <w:tcW w:w="1194" w:type="dxa"/>
            <w:tcBorders>
              <w:bottom w:val="single" w:sz="8" w:space="0" w:color="7BA0CD" w:themeColor="accent1" w:themeTint="BF"/>
            </w:tcBorders>
            <w:shd w:val="clear" w:color="auto" w:fill="auto"/>
            <w:noWrap/>
            <w:vAlign w:val="center"/>
            <w:hideMark/>
          </w:tcPr>
          <w:p w14:paraId="5E8C9A88" w14:textId="44692E27" w:rsidR="00985235" w:rsidRPr="00985235" w:rsidRDefault="00985235" w:rsidP="00985235">
            <w:pPr>
              <w:jc w:val="center"/>
              <w:rPr>
                <w:rFonts w:asciiTheme="minorHAnsi" w:hAnsiTheme="minorHAnsi"/>
                <w:sz w:val="22"/>
              </w:rPr>
            </w:pPr>
            <w:r w:rsidRPr="00985235">
              <w:rPr>
                <w:rFonts w:asciiTheme="minorHAnsi" w:hAnsiTheme="minorHAnsi" w:cs="Arial"/>
                <w:bCs/>
                <w:sz w:val="22"/>
              </w:rPr>
              <w:t>345</w:t>
            </w:r>
          </w:p>
        </w:tc>
        <w:tc>
          <w:tcPr>
            <w:tcW w:w="1790" w:type="dxa"/>
            <w:tcBorders>
              <w:bottom w:val="single" w:sz="8" w:space="0" w:color="7BA0CD" w:themeColor="accent1" w:themeTint="BF"/>
            </w:tcBorders>
            <w:shd w:val="clear" w:color="auto" w:fill="auto"/>
            <w:noWrap/>
            <w:vAlign w:val="center"/>
            <w:hideMark/>
          </w:tcPr>
          <w:p w14:paraId="53113004" w14:textId="2816D3DE" w:rsidR="00985235" w:rsidRPr="00985235" w:rsidRDefault="00985235" w:rsidP="00985235">
            <w:pPr>
              <w:jc w:val="center"/>
              <w:rPr>
                <w:rFonts w:asciiTheme="minorHAnsi" w:hAnsiTheme="minorHAnsi"/>
                <w:sz w:val="22"/>
              </w:rPr>
            </w:pPr>
            <w:r w:rsidRPr="00985235">
              <w:rPr>
                <w:rFonts w:asciiTheme="minorHAnsi" w:hAnsiTheme="minorHAnsi" w:cs="Arial"/>
                <w:bCs/>
                <w:color w:val="000000"/>
                <w:sz w:val="22"/>
              </w:rPr>
              <w:t>95.7%</w:t>
            </w:r>
          </w:p>
        </w:tc>
      </w:tr>
      <w:tr w:rsidR="00985235" w:rsidRPr="00C01228" w14:paraId="1816C7DF" w14:textId="77777777" w:rsidTr="009F7BEB">
        <w:trPr>
          <w:trHeight w:val="300"/>
          <w:jc w:val="center"/>
        </w:trPr>
        <w:tc>
          <w:tcPr>
            <w:tcW w:w="6916" w:type="dxa"/>
            <w:tcBorders>
              <w:bottom w:val="single" w:sz="8" w:space="0" w:color="7BA0CD" w:themeColor="accent1" w:themeTint="BF"/>
            </w:tcBorders>
            <w:shd w:val="clear" w:color="auto" w:fill="B8CCE4" w:themeFill="accent1" w:themeFillTint="66"/>
            <w:vAlign w:val="bottom"/>
            <w:hideMark/>
          </w:tcPr>
          <w:p w14:paraId="29E6E44B" w14:textId="238D0DC7" w:rsidR="00985235" w:rsidRPr="00985235" w:rsidRDefault="00985235" w:rsidP="00FA0DC6">
            <w:pPr>
              <w:spacing w:line="240" w:lineRule="auto"/>
              <w:rPr>
                <w:rFonts w:asciiTheme="minorHAnsi" w:hAnsiTheme="minorHAnsi"/>
                <w:sz w:val="22"/>
              </w:rPr>
            </w:pPr>
            <w:r w:rsidRPr="00985235">
              <w:rPr>
                <w:rFonts w:asciiTheme="minorHAnsi" w:hAnsiTheme="minorHAnsi" w:cs="Arial"/>
                <w:color w:val="000000"/>
                <w:sz w:val="22"/>
              </w:rPr>
              <w:t>The provider received training in Zero Tolerance.</w:t>
            </w:r>
          </w:p>
        </w:tc>
        <w:tc>
          <w:tcPr>
            <w:tcW w:w="1194" w:type="dxa"/>
            <w:tcBorders>
              <w:bottom w:val="single" w:sz="8" w:space="0" w:color="7BA0CD" w:themeColor="accent1" w:themeTint="BF"/>
            </w:tcBorders>
            <w:shd w:val="clear" w:color="auto" w:fill="B8CCE4" w:themeFill="accent1" w:themeFillTint="66"/>
            <w:noWrap/>
            <w:vAlign w:val="center"/>
            <w:hideMark/>
          </w:tcPr>
          <w:p w14:paraId="19D0ED56" w14:textId="697B079E" w:rsidR="00985235" w:rsidRPr="00985235" w:rsidRDefault="00985235" w:rsidP="00985235">
            <w:pPr>
              <w:jc w:val="center"/>
              <w:rPr>
                <w:rFonts w:asciiTheme="minorHAnsi" w:hAnsiTheme="minorHAnsi"/>
                <w:sz w:val="22"/>
              </w:rPr>
            </w:pPr>
            <w:r w:rsidRPr="00985235">
              <w:rPr>
                <w:rFonts w:asciiTheme="minorHAnsi" w:hAnsiTheme="minorHAnsi" w:cs="Arial"/>
                <w:sz w:val="22"/>
              </w:rPr>
              <w:t>345</w:t>
            </w:r>
          </w:p>
        </w:tc>
        <w:tc>
          <w:tcPr>
            <w:tcW w:w="1790" w:type="dxa"/>
            <w:tcBorders>
              <w:bottom w:val="single" w:sz="8" w:space="0" w:color="7BA0CD" w:themeColor="accent1" w:themeTint="BF"/>
            </w:tcBorders>
            <w:shd w:val="clear" w:color="auto" w:fill="B8CCE4" w:themeFill="accent1" w:themeFillTint="66"/>
            <w:noWrap/>
            <w:vAlign w:val="center"/>
            <w:hideMark/>
          </w:tcPr>
          <w:p w14:paraId="7F2DB8C8" w14:textId="11E4F6A8"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96.8%</w:t>
            </w:r>
          </w:p>
        </w:tc>
      </w:tr>
      <w:tr w:rsidR="00985235" w:rsidRPr="00C01228" w14:paraId="0A64B23C" w14:textId="77777777" w:rsidTr="009F7BEB">
        <w:trPr>
          <w:trHeight w:val="376"/>
          <w:jc w:val="center"/>
        </w:trPr>
        <w:tc>
          <w:tcPr>
            <w:tcW w:w="6916" w:type="dxa"/>
            <w:tcBorders>
              <w:bottom w:val="single" w:sz="8" w:space="0" w:color="7BA0CD" w:themeColor="accent1" w:themeTint="BF"/>
            </w:tcBorders>
            <w:shd w:val="clear" w:color="auto" w:fill="auto"/>
            <w:vAlign w:val="bottom"/>
            <w:hideMark/>
          </w:tcPr>
          <w:p w14:paraId="3CFE6930" w14:textId="0D366941" w:rsidR="00985235" w:rsidRPr="00985235" w:rsidRDefault="00985235" w:rsidP="00FA0DC6">
            <w:pPr>
              <w:spacing w:line="240" w:lineRule="auto"/>
              <w:rPr>
                <w:rFonts w:asciiTheme="minorHAnsi" w:hAnsiTheme="minorHAnsi"/>
                <w:sz w:val="22"/>
              </w:rPr>
            </w:pPr>
            <w:r w:rsidRPr="00985235">
              <w:rPr>
                <w:rFonts w:asciiTheme="minorHAnsi" w:hAnsiTheme="minorHAnsi" w:cs="Arial"/>
                <w:sz w:val="22"/>
              </w:rPr>
              <w:t>The provider received training in Direct Care Core Competency.</w:t>
            </w:r>
          </w:p>
        </w:tc>
        <w:tc>
          <w:tcPr>
            <w:tcW w:w="1194" w:type="dxa"/>
            <w:tcBorders>
              <w:bottom w:val="single" w:sz="8" w:space="0" w:color="7BA0CD" w:themeColor="accent1" w:themeTint="BF"/>
            </w:tcBorders>
            <w:shd w:val="clear" w:color="auto" w:fill="auto"/>
            <w:noWrap/>
            <w:vAlign w:val="center"/>
            <w:hideMark/>
          </w:tcPr>
          <w:p w14:paraId="0716329A" w14:textId="449563E6" w:rsidR="00985235" w:rsidRPr="00985235" w:rsidRDefault="00985235" w:rsidP="00985235">
            <w:pPr>
              <w:jc w:val="center"/>
              <w:rPr>
                <w:rFonts w:asciiTheme="minorHAnsi" w:hAnsiTheme="minorHAnsi"/>
                <w:sz w:val="22"/>
              </w:rPr>
            </w:pPr>
            <w:r w:rsidRPr="00985235">
              <w:rPr>
                <w:rFonts w:asciiTheme="minorHAnsi" w:hAnsiTheme="minorHAnsi" w:cs="Arial"/>
                <w:sz w:val="22"/>
              </w:rPr>
              <w:t>344</w:t>
            </w:r>
          </w:p>
        </w:tc>
        <w:tc>
          <w:tcPr>
            <w:tcW w:w="1790" w:type="dxa"/>
            <w:tcBorders>
              <w:bottom w:val="single" w:sz="8" w:space="0" w:color="7BA0CD" w:themeColor="accent1" w:themeTint="BF"/>
            </w:tcBorders>
            <w:shd w:val="clear" w:color="auto" w:fill="auto"/>
            <w:noWrap/>
            <w:vAlign w:val="center"/>
            <w:hideMark/>
          </w:tcPr>
          <w:p w14:paraId="79A00174" w14:textId="39D03884"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98.3%</w:t>
            </w:r>
          </w:p>
        </w:tc>
      </w:tr>
      <w:tr w:rsidR="00985235" w:rsidRPr="00C01228" w14:paraId="749DB40A" w14:textId="77777777" w:rsidTr="009F7BEB">
        <w:trPr>
          <w:trHeight w:val="241"/>
          <w:jc w:val="center"/>
        </w:trPr>
        <w:tc>
          <w:tcPr>
            <w:tcW w:w="6916" w:type="dxa"/>
            <w:tcBorders>
              <w:bottom w:val="single" w:sz="8" w:space="0" w:color="7BA0CD" w:themeColor="accent1" w:themeTint="BF"/>
            </w:tcBorders>
            <w:shd w:val="clear" w:color="auto" w:fill="B8CCE4" w:themeFill="accent1" w:themeFillTint="66"/>
            <w:vAlign w:val="bottom"/>
            <w:hideMark/>
          </w:tcPr>
          <w:p w14:paraId="54165B46" w14:textId="281B4EF6" w:rsidR="00985235" w:rsidRPr="00985235" w:rsidRDefault="00985235" w:rsidP="00FA0DC6">
            <w:pPr>
              <w:spacing w:line="240" w:lineRule="auto"/>
              <w:rPr>
                <w:rFonts w:asciiTheme="minorHAnsi" w:hAnsiTheme="minorHAnsi"/>
                <w:sz w:val="22"/>
              </w:rPr>
            </w:pPr>
            <w:r w:rsidRPr="00985235">
              <w:rPr>
                <w:rFonts w:asciiTheme="minorHAnsi" w:hAnsiTheme="minorHAnsi" w:cs="Arial"/>
                <w:sz w:val="22"/>
              </w:rPr>
              <w:t>The provider received training in Direct Care Core Competencies.</w:t>
            </w:r>
          </w:p>
        </w:tc>
        <w:tc>
          <w:tcPr>
            <w:tcW w:w="1194" w:type="dxa"/>
            <w:tcBorders>
              <w:bottom w:val="single" w:sz="8" w:space="0" w:color="7BA0CD" w:themeColor="accent1" w:themeTint="BF"/>
            </w:tcBorders>
            <w:shd w:val="clear" w:color="auto" w:fill="B8CCE4" w:themeFill="accent1" w:themeFillTint="66"/>
            <w:noWrap/>
            <w:vAlign w:val="center"/>
            <w:hideMark/>
          </w:tcPr>
          <w:p w14:paraId="78B85E19" w14:textId="0077EA98" w:rsidR="00985235" w:rsidRPr="00985235" w:rsidRDefault="00985235" w:rsidP="00985235">
            <w:pPr>
              <w:jc w:val="center"/>
              <w:rPr>
                <w:rFonts w:asciiTheme="minorHAnsi" w:hAnsiTheme="minorHAnsi"/>
                <w:sz w:val="22"/>
              </w:rPr>
            </w:pPr>
            <w:r w:rsidRPr="00985235">
              <w:rPr>
                <w:rFonts w:asciiTheme="minorHAnsi" w:hAnsiTheme="minorHAnsi" w:cs="Arial"/>
                <w:sz w:val="22"/>
              </w:rPr>
              <w:t>30</w:t>
            </w:r>
          </w:p>
        </w:tc>
        <w:tc>
          <w:tcPr>
            <w:tcW w:w="1790" w:type="dxa"/>
            <w:tcBorders>
              <w:bottom w:val="single" w:sz="8" w:space="0" w:color="7BA0CD" w:themeColor="accent1" w:themeTint="BF"/>
            </w:tcBorders>
            <w:shd w:val="clear" w:color="auto" w:fill="B8CCE4" w:themeFill="accent1" w:themeFillTint="66"/>
            <w:noWrap/>
            <w:vAlign w:val="center"/>
            <w:hideMark/>
          </w:tcPr>
          <w:p w14:paraId="53FEE4D5" w14:textId="342CED81"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100.0%</w:t>
            </w:r>
          </w:p>
        </w:tc>
      </w:tr>
      <w:tr w:rsidR="00985235" w:rsidRPr="00C01228" w14:paraId="05911B85" w14:textId="77777777" w:rsidTr="009F7BEB">
        <w:trPr>
          <w:trHeight w:val="300"/>
          <w:jc w:val="center"/>
        </w:trPr>
        <w:tc>
          <w:tcPr>
            <w:tcW w:w="6916" w:type="dxa"/>
            <w:tcBorders>
              <w:bottom w:val="single" w:sz="8" w:space="0" w:color="7BA0CD" w:themeColor="accent1" w:themeTint="BF"/>
            </w:tcBorders>
            <w:shd w:val="clear" w:color="auto" w:fill="auto"/>
            <w:vAlign w:val="bottom"/>
            <w:hideMark/>
          </w:tcPr>
          <w:p w14:paraId="6110DCB7" w14:textId="33C7CDC6" w:rsidR="00985235" w:rsidRPr="00985235" w:rsidRDefault="00985235" w:rsidP="00FA0DC6">
            <w:pPr>
              <w:spacing w:line="240" w:lineRule="auto"/>
              <w:rPr>
                <w:rFonts w:asciiTheme="minorHAnsi" w:hAnsiTheme="minorHAnsi"/>
                <w:sz w:val="22"/>
              </w:rPr>
            </w:pPr>
            <w:r w:rsidRPr="00985235">
              <w:rPr>
                <w:rFonts w:asciiTheme="minorHAnsi" w:hAnsiTheme="minorHAnsi" w:cs="Arial"/>
                <w:color w:val="000000"/>
                <w:sz w:val="22"/>
              </w:rPr>
              <w:t>The provider received training in Basic Person Centered Planning.</w:t>
            </w:r>
          </w:p>
        </w:tc>
        <w:tc>
          <w:tcPr>
            <w:tcW w:w="1194" w:type="dxa"/>
            <w:tcBorders>
              <w:bottom w:val="single" w:sz="8" w:space="0" w:color="7BA0CD" w:themeColor="accent1" w:themeTint="BF"/>
            </w:tcBorders>
            <w:shd w:val="clear" w:color="auto" w:fill="auto"/>
            <w:noWrap/>
            <w:vAlign w:val="center"/>
            <w:hideMark/>
          </w:tcPr>
          <w:p w14:paraId="5EF046B3" w14:textId="35F01745" w:rsidR="00985235" w:rsidRPr="00985235" w:rsidRDefault="00985235" w:rsidP="00985235">
            <w:pPr>
              <w:jc w:val="center"/>
              <w:rPr>
                <w:rFonts w:asciiTheme="minorHAnsi" w:hAnsiTheme="minorHAnsi"/>
                <w:sz w:val="22"/>
              </w:rPr>
            </w:pPr>
            <w:r w:rsidRPr="00985235">
              <w:rPr>
                <w:rFonts w:asciiTheme="minorHAnsi" w:hAnsiTheme="minorHAnsi" w:cs="Arial"/>
                <w:sz w:val="22"/>
              </w:rPr>
              <w:t>343</w:t>
            </w:r>
          </w:p>
        </w:tc>
        <w:tc>
          <w:tcPr>
            <w:tcW w:w="1790" w:type="dxa"/>
            <w:tcBorders>
              <w:bottom w:val="single" w:sz="8" w:space="0" w:color="7BA0CD" w:themeColor="accent1" w:themeTint="BF"/>
            </w:tcBorders>
            <w:shd w:val="clear" w:color="auto" w:fill="auto"/>
            <w:noWrap/>
            <w:vAlign w:val="center"/>
            <w:hideMark/>
          </w:tcPr>
          <w:p w14:paraId="42D52249" w14:textId="31619C45"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94.5%</w:t>
            </w:r>
          </w:p>
        </w:tc>
      </w:tr>
      <w:tr w:rsidR="00985235" w:rsidRPr="00C01228" w14:paraId="5CD0BC44" w14:textId="77777777" w:rsidTr="009F7BEB">
        <w:trPr>
          <w:trHeight w:val="300"/>
          <w:jc w:val="center"/>
        </w:trPr>
        <w:tc>
          <w:tcPr>
            <w:tcW w:w="6916" w:type="dxa"/>
            <w:tcBorders>
              <w:bottom w:val="single" w:sz="8" w:space="0" w:color="7BA0CD" w:themeColor="accent1" w:themeTint="BF"/>
            </w:tcBorders>
            <w:shd w:val="clear" w:color="auto" w:fill="B8CCE4" w:themeFill="accent1" w:themeFillTint="66"/>
            <w:vAlign w:val="bottom"/>
            <w:hideMark/>
          </w:tcPr>
          <w:p w14:paraId="2AD97E5B" w14:textId="657FA9A7" w:rsidR="00985235" w:rsidRPr="00985235" w:rsidRDefault="00985235" w:rsidP="00FA0DC6">
            <w:pPr>
              <w:spacing w:line="240" w:lineRule="auto"/>
              <w:rPr>
                <w:rFonts w:asciiTheme="minorHAnsi" w:hAnsiTheme="minorHAnsi"/>
                <w:sz w:val="22"/>
              </w:rPr>
            </w:pPr>
            <w:r w:rsidRPr="00985235">
              <w:rPr>
                <w:rFonts w:asciiTheme="minorHAnsi" w:hAnsiTheme="minorHAnsi" w:cs="Arial"/>
                <w:color w:val="000000"/>
                <w:sz w:val="22"/>
              </w:rPr>
              <w:t>The provider received training on Individual Choices, Rights and Responsibilities</w:t>
            </w:r>
          </w:p>
        </w:tc>
        <w:tc>
          <w:tcPr>
            <w:tcW w:w="1194" w:type="dxa"/>
            <w:tcBorders>
              <w:bottom w:val="single" w:sz="8" w:space="0" w:color="7BA0CD" w:themeColor="accent1" w:themeTint="BF"/>
            </w:tcBorders>
            <w:shd w:val="clear" w:color="auto" w:fill="B8CCE4" w:themeFill="accent1" w:themeFillTint="66"/>
            <w:noWrap/>
            <w:vAlign w:val="center"/>
            <w:hideMark/>
          </w:tcPr>
          <w:p w14:paraId="74D13602" w14:textId="2765A2FD" w:rsidR="00985235" w:rsidRPr="00985235" w:rsidRDefault="00985235" w:rsidP="00985235">
            <w:pPr>
              <w:jc w:val="center"/>
              <w:rPr>
                <w:rFonts w:asciiTheme="minorHAnsi" w:hAnsiTheme="minorHAnsi"/>
                <w:sz w:val="22"/>
              </w:rPr>
            </w:pPr>
            <w:r w:rsidRPr="00985235">
              <w:rPr>
                <w:rFonts w:asciiTheme="minorHAnsi" w:hAnsiTheme="minorHAnsi" w:cs="Arial"/>
                <w:sz w:val="22"/>
              </w:rPr>
              <w:t>82</w:t>
            </w:r>
          </w:p>
        </w:tc>
        <w:tc>
          <w:tcPr>
            <w:tcW w:w="1790" w:type="dxa"/>
            <w:tcBorders>
              <w:bottom w:val="single" w:sz="8" w:space="0" w:color="7BA0CD" w:themeColor="accent1" w:themeTint="BF"/>
            </w:tcBorders>
            <w:shd w:val="clear" w:color="auto" w:fill="B8CCE4" w:themeFill="accent1" w:themeFillTint="66"/>
            <w:noWrap/>
            <w:vAlign w:val="center"/>
            <w:hideMark/>
          </w:tcPr>
          <w:p w14:paraId="1911D979" w14:textId="1E603863"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96.3%</w:t>
            </w:r>
          </w:p>
        </w:tc>
      </w:tr>
      <w:tr w:rsidR="00985235" w:rsidRPr="00C01228" w14:paraId="722A5623" w14:textId="77777777" w:rsidTr="009F7BEB">
        <w:trPr>
          <w:trHeight w:val="300"/>
          <w:jc w:val="center"/>
        </w:trPr>
        <w:tc>
          <w:tcPr>
            <w:tcW w:w="6916" w:type="dxa"/>
            <w:tcBorders>
              <w:bottom w:val="single" w:sz="8" w:space="0" w:color="7BA0CD" w:themeColor="accent1" w:themeTint="BF"/>
            </w:tcBorders>
            <w:shd w:val="clear" w:color="auto" w:fill="auto"/>
            <w:vAlign w:val="bottom"/>
            <w:hideMark/>
          </w:tcPr>
          <w:p w14:paraId="4ED35737" w14:textId="20DE09FC" w:rsidR="00985235" w:rsidRPr="00985235" w:rsidRDefault="00985235" w:rsidP="00FA0DC6">
            <w:pPr>
              <w:spacing w:line="240" w:lineRule="auto"/>
              <w:rPr>
                <w:rFonts w:asciiTheme="minorHAnsi" w:hAnsiTheme="minorHAnsi"/>
                <w:sz w:val="22"/>
              </w:rPr>
            </w:pPr>
            <w:r w:rsidRPr="00985235">
              <w:rPr>
                <w:rFonts w:asciiTheme="minorHAnsi" w:hAnsiTheme="minorHAnsi" w:cs="Arial"/>
                <w:color w:val="000000"/>
                <w:sz w:val="22"/>
              </w:rPr>
              <w:t>The provider received training in Requirements for all Waiver Providers</w:t>
            </w:r>
          </w:p>
        </w:tc>
        <w:tc>
          <w:tcPr>
            <w:tcW w:w="1194" w:type="dxa"/>
            <w:tcBorders>
              <w:bottom w:val="single" w:sz="8" w:space="0" w:color="7BA0CD" w:themeColor="accent1" w:themeTint="BF"/>
            </w:tcBorders>
            <w:shd w:val="clear" w:color="auto" w:fill="auto"/>
            <w:noWrap/>
            <w:vAlign w:val="center"/>
            <w:hideMark/>
          </w:tcPr>
          <w:p w14:paraId="1CC5C302" w14:textId="57944738" w:rsidR="00985235" w:rsidRPr="00985235" w:rsidRDefault="00985235" w:rsidP="00985235">
            <w:pPr>
              <w:jc w:val="center"/>
              <w:rPr>
                <w:rFonts w:asciiTheme="minorHAnsi" w:hAnsiTheme="minorHAnsi"/>
                <w:sz w:val="22"/>
              </w:rPr>
            </w:pPr>
            <w:r w:rsidRPr="00985235">
              <w:rPr>
                <w:rFonts w:asciiTheme="minorHAnsi" w:hAnsiTheme="minorHAnsi" w:cs="Arial"/>
                <w:sz w:val="22"/>
              </w:rPr>
              <w:t>98</w:t>
            </w:r>
          </w:p>
        </w:tc>
        <w:tc>
          <w:tcPr>
            <w:tcW w:w="1790" w:type="dxa"/>
            <w:tcBorders>
              <w:bottom w:val="single" w:sz="8" w:space="0" w:color="7BA0CD" w:themeColor="accent1" w:themeTint="BF"/>
            </w:tcBorders>
            <w:shd w:val="clear" w:color="auto" w:fill="auto"/>
            <w:noWrap/>
            <w:vAlign w:val="center"/>
            <w:hideMark/>
          </w:tcPr>
          <w:p w14:paraId="69D6D806" w14:textId="3591FB23"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100.0%</w:t>
            </w:r>
          </w:p>
        </w:tc>
      </w:tr>
      <w:tr w:rsidR="00985235" w:rsidRPr="00C01228" w14:paraId="3508401E" w14:textId="77777777" w:rsidTr="009F7BEB">
        <w:trPr>
          <w:trHeight w:val="300"/>
          <w:jc w:val="center"/>
        </w:trPr>
        <w:tc>
          <w:tcPr>
            <w:tcW w:w="6916" w:type="dxa"/>
            <w:tcBorders>
              <w:bottom w:val="single" w:sz="8" w:space="0" w:color="7BA0CD" w:themeColor="accent1" w:themeTint="BF"/>
            </w:tcBorders>
            <w:shd w:val="clear" w:color="auto" w:fill="B8CCE4" w:themeFill="accent1" w:themeFillTint="66"/>
            <w:vAlign w:val="bottom"/>
            <w:hideMark/>
          </w:tcPr>
          <w:p w14:paraId="5D37757F" w14:textId="6E96665D" w:rsidR="00985235" w:rsidRPr="00985235" w:rsidRDefault="00985235" w:rsidP="00FA0DC6">
            <w:pPr>
              <w:spacing w:line="240" w:lineRule="auto"/>
              <w:rPr>
                <w:rFonts w:asciiTheme="minorHAnsi" w:hAnsiTheme="minorHAnsi"/>
                <w:sz w:val="22"/>
              </w:rPr>
            </w:pPr>
            <w:r w:rsidRPr="00985235">
              <w:rPr>
                <w:rFonts w:asciiTheme="minorHAnsi" w:hAnsiTheme="minorHAnsi" w:cs="Arial"/>
                <w:color w:val="000000"/>
                <w:sz w:val="22"/>
              </w:rPr>
              <w:t>The provider received training in HIPAA.</w:t>
            </w:r>
          </w:p>
        </w:tc>
        <w:tc>
          <w:tcPr>
            <w:tcW w:w="1194" w:type="dxa"/>
            <w:tcBorders>
              <w:bottom w:val="single" w:sz="8" w:space="0" w:color="7BA0CD" w:themeColor="accent1" w:themeTint="BF"/>
            </w:tcBorders>
            <w:shd w:val="clear" w:color="auto" w:fill="B8CCE4" w:themeFill="accent1" w:themeFillTint="66"/>
            <w:noWrap/>
            <w:vAlign w:val="center"/>
            <w:hideMark/>
          </w:tcPr>
          <w:p w14:paraId="33A381D9" w14:textId="4F125EFC" w:rsidR="00985235" w:rsidRPr="00985235" w:rsidRDefault="00985235" w:rsidP="00985235">
            <w:pPr>
              <w:jc w:val="center"/>
              <w:rPr>
                <w:rFonts w:asciiTheme="minorHAnsi" w:hAnsiTheme="minorHAnsi"/>
                <w:sz w:val="22"/>
              </w:rPr>
            </w:pPr>
            <w:r w:rsidRPr="00985235">
              <w:rPr>
                <w:rFonts w:asciiTheme="minorHAnsi" w:hAnsiTheme="minorHAnsi" w:cs="Arial"/>
                <w:sz w:val="22"/>
              </w:rPr>
              <w:t>343</w:t>
            </w:r>
          </w:p>
        </w:tc>
        <w:tc>
          <w:tcPr>
            <w:tcW w:w="1790" w:type="dxa"/>
            <w:tcBorders>
              <w:bottom w:val="single" w:sz="8" w:space="0" w:color="7BA0CD" w:themeColor="accent1" w:themeTint="BF"/>
            </w:tcBorders>
            <w:shd w:val="clear" w:color="auto" w:fill="B8CCE4" w:themeFill="accent1" w:themeFillTint="66"/>
            <w:noWrap/>
            <w:vAlign w:val="center"/>
            <w:hideMark/>
          </w:tcPr>
          <w:p w14:paraId="22B92D36" w14:textId="3A462EDD"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89.2%</w:t>
            </w:r>
          </w:p>
        </w:tc>
      </w:tr>
      <w:tr w:rsidR="00985235" w:rsidRPr="00C01228" w14:paraId="307A124C" w14:textId="77777777" w:rsidTr="009F7BEB">
        <w:trPr>
          <w:trHeight w:val="367"/>
          <w:jc w:val="center"/>
        </w:trPr>
        <w:tc>
          <w:tcPr>
            <w:tcW w:w="6916" w:type="dxa"/>
            <w:tcBorders>
              <w:bottom w:val="single" w:sz="8" w:space="0" w:color="7BA0CD" w:themeColor="accent1" w:themeTint="BF"/>
            </w:tcBorders>
            <w:shd w:val="clear" w:color="auto" w:fill="auto"/>
            <w:vAlign w:val="bottom"/>
            <w:hideMark/>
          </w:tcPr>
          <w:p w14:paraId="18908E07" w14:textId="67F41169" w:rsidR="00985235" w:rsidRPr="00985235" w:rsidRDefault="00985235" w:rsidP="00FA0DC6">
            <w:pPr>
              <w:spacing w:line="240" w:lineRule="auto"/>
              <w:rPr>
                <w:rFonts w:asciiTheme="minorHAnsi" w:hAnsiTheme="minorHAnsi"/>
                <w:sz w:val="22"/>
              </w:rPr>
            </w:pPr>
            <w:r w:rsidRPr="00985235">
              <w:rPr>
                <w:rFonts w:asciiTheme="minorHAnsi" w:hAnsiTheme="minorHAnsi" w:cs="Arial"/>
                <w:color w:val="000000"/>
                <w:sz w:val="22"/>
              </w:rPr>
              <w:t>The provider received training in HIV/AIDS/Infection Control.</w:t>
            </w:r>
          </w:p>
        </w:tc>
        <w:tc>
          <w:tcPr>
            <w:tcW w:w="1194" w:type="dxa"/>
            <w:tcBorders>
              <w:bottom w:val="single" w:sz="8" w:space="0" w:color="7BA0CD" w:themeColor="accent1" w:themeTint="BF"/>
            </w:tcBorders>
            <w:shd w:val="clear" w:color="auto" w:fill="auto"/>
            <w:noWrap/>
            <w:vAlign w:val="center"/>
            <w:hideMark/>
          </w:tcPr>
          <w:p w14:paraId="7CA54ED2" w14:textId="466AC0F7" w:rsidR="00985235" w:rsidRPr="00985235" w:rsidRDefault="00985235" w:rsidP="00985235">
            <w:pPr>
              <w:jc w:val="center"/>
              <w:rPr>
                <w:rFonts w:asciiTheme="minorHAnsi" w:hAnsiTheme="minorHAnsi"/>
                <w:sz w:val="22"/>
              </w:rPr>
            </w:pPr>
            <w:r w:rsidRPr="00985235">
              <w:rPr>
                <w:rFonts w:asciiTheme="minorHAnsi" w:hAnsiTheme="minorHAnsi" w:cs="Arial"/>
                <w:sz w:val="22"/>
              </w:rPr>
              <w:t>255</w:t>
            </w:r>
          </w:p>
        </w:tc>
        <w:tc>
          <w:tcPr>
            <w:tcW w:w="1790" w:type="dxa"/>
            <w:tcBorders>
              <w:bottom w:val="single" w:sz="8" w:space="0" w:color="7BA0CD" w:themeColor="accent1" w:themeTint="BF"/>
            </w:tcBorders>
            <w:shd w:val="clear" w:color="auto" w:fill="auto"/>
            <w:noWrap/>
            <w:vAlign w:val="center"/>
            <w:hideMark/>
          </w:tcPr>
          <w:p w14:paraId="6CCDDBE7" w14:textId="2F79E0C0"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99.6%</w:t>
            </w:r>
          </w:p>
        </w:tc>
      </w:tr>
      <w:tr w:rsidR="00985235" w:rsidRPr="00C01228" w14:paraId="35F9C01C" w14:textId="77777777" w:rsidTr="009F7BEB">
        <w:trPr>
          <w:trHeight w:val="421"/>
          <w:jc w:val="center"/>
        </w:trPr>
        <w:tc>
          <w:tcPr>
            <w:tcW w:w="6916" w:type="dxa"/>
            <w:tcBorders>
              <w:bottom w:val="single" w:sz="8" w:space="0" w:color="7BA0CD" w:themeColor="accent1" w:themeTint="BF"/>
            </w:tcBorders>
            <w:shd w:val="clear" w:color="auto" w:fill="B8CCE4" w:themeFill="accent1" w:themeFillTint="66"/>
            <w:vAlign w:val="bottom"/>
          </w:tcPr>
          <w:p w14:paraId="561CBE4E" w14:textId="33B84E80" w:rsidR="00985235" w:rsidRPr="00985235" w:rsidRDefault="00985235" w:rsidP="00FA0DC6">
            <w:pPr>
              <w:spacing w:line="240" w:lineRule="auto"/>
              <w:rPr>
                <w:rFonts w:asciiTheme="minorHAnsi" w:hAnsiTheme="minorHAnsi"/>
                <w:sz w:val="22"/>
              </w:rPr>
            </w:pPr>
            <w:r w:rsidRPr="00985235">
              <w:rPr>
                <w:rFonts w:asciiTheme="minorHAnsi" w:hAnsiTheme="minorHAnsi" w:cs="Arial"/>
                <w:color w:val="000000"/>
                <w:sz w:val="22"/>
              </w:rPr>
              <w:t>The provider maintains current CPR certification.</w:t>
            </w:r>
          </w:p>
        </w:tc>
        <w:tc>
          <w:tcPr>
            <w:tcW w:w="1194" w:type="dxa"/>
            <w:tcBorders>
              <w:bottom w:val="single" w:sz="8" w:space="0" w:color="7BA0CD" w:themeColor="accent1" w:themeTint="BF"/>
            </w:tcBorders>
            <w:shd w:val="clear" w:color="auto" w:fill="B8CCE4" w:themeFill="accent1" w:themeFillTint="66"/>
            <w:noWrap/>
            <w:vAlign w:val="center"/>
          </w:tcPr>
          <w:p w14:paraId="27BDA83B" w14:textId="3C2BC0E2" w:rsidR="00985235" w:rsidRPr="00985235" w:rsidRDefault="00985235" w:rsidP="00985235">
            <w:pPr>
              <w:jc w:val="center"/>
              <w:rPr>
                <w:rFonts w:asciiTheme="minorHAnsi" w:hAnsiTheme="minorHAnsi"/>
                <w:sz w:val="22"/>
              </w:rPr>
            </w:pPr>
            <w:r w:rsidRPr="00985235">
              <w:rPr>
                <w:rFonts w:asciiTheme="minorHAnsi" w:hAnsiTheme="minorHAnsi" w:cs="Arial"/>
                <w:sz w:val="22"/>
              </w:rPr>
              <w:t>170</w:t>
            </w:r>
          </w:p>
        </w:tc>
        <w:tc>
          <w:tcPr>
            <w:tcW w:w="1790" w:type="dxa"/>
            <w:tcBorders>
              <w:bottom w:val="single" w:sz="8" w:space="0" w:color="7BA0CD" w:themeColor="accent1" w:themeTint="BF"/>
            </w:tcBorders>
            <w:shd w:val="clear" w:color="auto" w:fill="B8CCE4" w:themeFill="accent1" w:themeFillTint="66"/>
            <w:noWrap/>
            <w:vAlign w:val="center"/>
          </w:tcPr>
          <w:p w14:paraId="31EB9682" w14:textId="03190D24"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99.4%</w:t>
            </w:r>
          </w:p>
        </w:tc>
      </w:tr>
      <w:tr w:rsidR="00985235" w:rsidRPr="00C01228" w14:paraId="2AE09E4C" w14:textId="77777777" w:rsidTr="009F7BEB">
        <w:trPr>
          <w:trHeight w:val="340"/>
          <w:jc w:val="center"/>
        </w:trPr>
        <w:tc>
          <w:tcPr>
            <w:tcW w:w="6916" w:type="dxa"/>
            <w:tcBorders>
              <w:bottom w:val="single" w:sz="8" w:space="0" w:color="7BA0CD" w:themeColor="accent1" w:themeTint="BF"/>
            </w:tcBorders>
            <w:shd w:val="clear" w:color="auto" w:fill="FFFFFF" w:themeFill="background1"/>
            <w:vAlign w:val="bottom"/>
            <w:hideMark/>
          </w:tcPr>
          <w:p w14:paraId="494BC591" w14:textId="15212DD3" w:rsidR="00985235" w:rsidRPr="00985235" w:rsidRDefault="00985235" w:rsidP="00FA0DC6">
            <w:pPr>
              <w:spacing w:line="240" w:lineRule="auto"/>
              <w:rPr>
                <w:rFonts w:asciiTheme="minorHAnsi" w:hAnsiTheme="minorHAnsi"/>
                <w:sz w:val="22"/>
              </w:rPr>
            </w:pPr>
            <w:r w:rsidRPr="00985235">
              <w:rPr>
                <w:rFonts w:asciiTheme="minorHAnsi" w:hAnsiTheme="minorHAnsi" w:cs="Arial"/>
                <w:color w:val="000000"/>
                <w:sz w:val="22"/>
              </w:rPr>
              <w:t>The provider received training in First Aid.</w:t>
            </w:r>
          </w:p>
        </w:tc>
        <w:tc>
          <w:tcPr>
            <w:tcW w:w="1194" w:type="dxa"/>
            <w:tcBorders>
              <w:bottom w:val="single" w:sz="8" w:space="0" w:color="7BA0CD" w:themeColor="accent1" w:themeTint="BF"/>
            </w:tcBorders>
            <w:shd w:val="clear" w:color="auto" w:fill="FFFFFF" w:themeFill="background1"/>
            <w:noWrap/>
            <w:vAlign w:val="center"/>
            <w:hideMark/>
          </w:tcPr>
          <w:p w14:paraId="7AE72BE1" w14:textId="3710D758" w:rsidR="00985235" w:rsidRPr="00985235" w:rsidRDefault="00985235" w:rsidP="00985235">
            <w:pPr>
              <w:jc w:val="center"/>
              <w:rPr>
                <w:rFonts w:asciiTheme="minorHAnsi" w:hAnsiTheme="minorHAnsi"/>
                <w:sz w:val="22"/>
              </w:rPr>
            </w:pPr>
            <w:r w:rsidRPr="00985235">
              <w:rPr>
                <w:rFonts w:asciiTheme="minorHAnsi" w:hAnsiTheme="minorHAnsi" w:cs="Arial"/>
                <w:sz w:val="22"/>
              </w:rPr>
              <w:t>154</w:t>
            </w:r>
          </w:p>
        </w:tc>
        <w:tc>
          <w:tcPr>
            <w:tcW w:w="1790" w:type="dxa"/>
            <w:tcBorders>
              <w:bottom w:val="single" w:sz="8" w:space="0" w:color="7BA0CD" w:themeColor="accent1" w:themeTint="BF"/>
            </w:tcBorders>
            <w:shd w:val="clear" w:color="auto" w:fill="FFFFFF" w:themeFill="background1"/>
            <w:noWrap/>
            <w:vAlign w:val="center"/>
            <w:hideMark/>
          </w:tcPr>
          <w:p w14:paraId="118B5FA3" w14:textId="41917A5D"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99.4%</w:t>
            </w:r>
          </w:p>
        </w:tc>
      </w:tr>
      <w:tr w:rsidR="00985235" w:rsidRPr="00C01228" w14:paraId="0CF996A3" w14:textId="77777777" w:rsidTr="009F7BEB">
        <w:trPr>
          <w:trHeight w:val="300"/>
          <w:jc w:val="center"/>
        </w:trPr>
        <w:tc>
          <w:tcPr>
            <w:tcW w:w="6916" w:type="dxa"/>
            <w:tcBorders>
              <w:bottom w:val="single" w:sz="8" w:space="0" w:color="7BA0CD" w:themeColor="accent1" w:themeTint="BF"/>
            </w:tcBorders>
            <w:shd w:val="clear" w:color="auto" w:fill="C6D9F1" w:themeFill="text2" w:themeFillTint="33"/>
            <w:vAlign w:val="bottom"/>
            <w:hideMark/>
          </w:tcPr>
          <w:p w14:paraId="0625984A" w14:textId="38F5A7A2" w:rsidR="00985235" w:rsidRPr="00985235" w:rsidRDefault="00985235" w:rsidP="00FA0DC6">
            <w:pPr>
              <w:spacing w:line="240" w:lineRule="auto"/>
              <w:rPr>
                <w:rFonts w:asciiTheme="minorHAnsi" w:hAnsiTheme="minorHAnsi"/>
                <w:sz w:val="22"/>
              </w:rPr>
            </w:pPr>
            <w:r w:rsidRPr="00985235">
              <w:rPr>
                <w:rFonts w:asciiTheme="minorHAnsi" w:hAnsiTheme="minorHAnsi" w:cs="Arial"/>
                <w:color w:val="000000"/>
                <w:sz w:val="22"/>
              </w:rPr>
              <w:t>The provider received training in an Agency approved curriculum for behavioral emergency procedures consistent with the requirements of the Reactive Strategies rule (65G-8, FAC).</w:t>
            </w:r>
          </w:p>
        </w:tc>
        <w:tc>
          <w:tcPr>
            <w:tcW w:w="1194" w:type="dxa"/>
            <w:tcBorders>
              <w:bottom w:val="single" w:sz="8" w:space="0" w:color="7BA0CD" w:themeColor="accent1" w:themeTint="BF"/>
            </w:tcBorders>
            <w:shd w:val="clear" w:color="auto" w:fill="C6D9F1" w:themeFill="text2" w:themeFillTint="33"/>
            <w:noWrap/>
            <w:vAlign w:val="center"/>
            <w:hideMark/>
          </w:tcPr>
          <w:p w14:paraId="6B4FF7B7" w14:textId="60EB98E9" w:rsidR="00985235" w:rsidRPr="00985235" w:rsidRDefault="00985235" w:rsidP="00985235">
            <w:pPr>
              <w:jc w:val="center"/>
              <w:rPr>
                <w:rFonts w:asciiTheme="minorHAnsi" w:hAnsiTheme="minorHAnsi"/>
                <w:sz w:val="22"/>
              </w:rPr>
            </w:pPr>
            <w:r w:rsidRPr="00985235">
              <w:rPr>
                <w:rFonts w:asciiTheme="minorHAnsi" w:hAnsiTheme="minorHAnsi" w:cs="Arial"/>
                <w:sz w:val="22"/>
              </w:rPr>
              <w:t>3</w:t>
            </w:r>
          </w:p>
        </w:tc>
        <w:tc>
          <w:tcPr>
            <w:tcW w:w="1790" w:type="dxa"/>
            <w:tcBorders>
              <w:bottom w:val="single" w:sz="8" w:space="0" w:color="7BA0CD" w:themeColor="accent1" w:themeTint="BF"/>
            </w:tcBorders>
            <w:shd w:val="clear" w:color="auto" w:fill="C6D9F1" w:themeFill="text2" w:themeFillTint="33"/>
            <w:noWrap/>
            <w:vAlign w:val="center"/>
            <w:hideMark/>
          </w:tcPr>
          <w:p w14:paraId="75DF2774" w14:textId="544BAE74"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100.0%</w:t>
            </w:r>
          </w:p>
        </w:tc>
      </w:tr>
      <w:tr w:rsidR="00985235" w:rsidRPr="00C01228" w14:paraId="7023BD7F" w14:textId="77777777" w:rsidTr="009F7BEB">
        <w:trPr>
          <w:trHeight w:val="250"/>
          <w:jc w:val="center"/>
        </w:trPr>
        <w:tc>
          <w:tcPr>
            <w:tcW w:w="6916" w:type="dxa"/>
            <w:tcBorders>
              <w:bottom w:val="single" w:sz="8" w:space="0" w:color="7BA0CD" w:themeColor="accent1" w:themeTint="BF"/>
            </w:tcBorders>
            <w:shd w:val="clear" w:color="auto" w:fill="FFFFFF" w:themeFill="background1"/>
            <w:vAlign w:val="bottom"/>
            <w:hideMark/>
          </w:tcPr>
          <w:p w14:paraId="5E14AAAD" w14:textId="25E5D5A0" w:rsidR="00985235" w:rsidRPr="00985235" w:rsidRDefault="00985235" w:rsidP="00985235">
            <w:pPr>
              <w:rPr>
                <w:rFonts w:asciiTheme="minorHAnsi" w:hAnsiTheme="minorHAnsi"/>
                <w:sz w:val="22"/>
              </w:rPr>
            </w:pPr>
            <w:r w:rsidRPr="00985235">
              <w:rPr>
                <w:rFonts w:asciiTheme="minorHAnsi" w:hAnsiTheme="minorHAnsi" w:cs="Arial"/>
                <w:color w:val="000000"/>
                <w:sz w:val="22"/>
              </w:rPr>
              <w:t>Drivers of transportation vehicles are licensed to drive vehicles used.</w:t>
            </w:r>
          </w:p>
        </w:tc>
        <w:tc>
          <w:tcPr>
            <w:tcW w:w="1194" w:type="dxa"/>
            <w:tcBorders>
              <w:bottom w:val="single" w:sz="8" w:space="0" w:color="7BA0CD" w:themeColor="accent1" w:themeTint="BF"/>
            </w:tcBorders>
            <w:shd w:val="clear" w:color="auto" w:fill="FFFFFF" w:themeFill="background1"/>
            <w:noWrap/>
            <w:vAlign w:val="center"/>
            <w:hideMark/>
          </w:tcPr>
          <w:p w14:paraId="59E4A947" w14:textId="04172376" w:rsidR="00985235" w:rsidRPr="00985235" w:rsidRDefault="00985235" w:rsidP="00985235">
            <w:pPr>
              <w:jc w:val="center"/>
              <w:rPr>
                <w:rFonts w:asciiTheme="minorHAnsi" w:hAnsiTheme="minorHAnsi"/>
                <w:sz w:val="22"/>
              </w:rPr>
            </w:pPr>
            <w:r w:rsidRPr="00985235">
              <w:rPr>
                <w:rFonts w:asciiTheme="minorHAnsi" w:hAnsiTheme="minorHAnsi" w:cs="Arial"/>
                <w:sz w:val="22"/>
              </w:rPr>
              <w:t>36</w:t>
            </w:r>
          </w:p>
        </w:tc>
        <w:tc>
          <w:tcPr>
            <w:tcW w:w="1790" w:type="dxa"/>
            <w:tcBorders>
              <w:bottom w:val="single" w:sz="8" w:space="0" w:color="7BA0CD" w:themeColor="accent1" w:themeTint="BF"/>
            </w:tcBorders>
            <w:shd w:val="clear" w:color="auto" w:fill="FFFFFF" w:themeFill="background1"/>
            <w:noWrap/>
            <w:vAlign w:val="center"/>
            <w:hideMark/>
          </w:tcPr>
          <w:p w14:paraId="343F015B" w14:textId="54A326E7"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100.0%</w:t>
            </w:r>
          </w:p>
        </w:tc>
      </w:tr>
      <w:tr w:rsidR="00985235" w:rsidRPr="00C01228" w14:paraId="782C4E82" w14:textId="77777777" w:rsidTr="009F7BEB">
        <w:trPr>
          <w:trHeight w:val="295"/>
          <w:jc w:val="center"/>
        </w:trPr>
        <w:tc>
          <w:tcPr>
            <w:tcW w:w="6916" w:type="dxa"/>
            <w:tcBorders>
              <w:bottom w:val="single" w:sz="8" w:space="0" w:color="7BA0CD" w:themeColor="accent1" w:themeTint="BF"/>
            </w:tcBorders>
            <w:shd w:val="clear" w:color="auto" w:fill="C6D9F1" w:themeFill="text2" w:themeFillTint="33"/>
            <w:vAlign w:val="bottom"/>
            <w:hideMark/>
          </w:tcPr>
          <w:p w14:paraId="2629AF3E" w14:textId="466C3E00" w:rsidR="00985235" w:rsidRPr="00985235" w:rsidRDefault="00985235" w:rsidP="00985235">
            <w:pPr>
              <w:rPr>
                <w:rFonts w:asciiTheme="minorHAnsi" w:hAnsiTheme="minorHAnsi"/>
                <w:sz w:val="22"/>
              </w:rPr>
            </w:pPr>
            <w:r w:rsidRPr="00985235">
              <w:rPr>
                <w:rFonts w:asciiTheme="minorHAnsi" w:hAnsiTheme="minorHAnsi" w:cs="Arial"/>
                <w:color w:val="000000"/>
                <w:sz w:val="22"/>
              </w:rPr>
              <w:t>Personal vehicles used for transportation are properly insured.</w:t>
            </w:r>
          </w:p>
        </w:tc>
        <w:tc>
          <w:tcPr>
            <w:tcW w:w="1194" w:type="dxa"/>
            <w:tcBorders>
              <w:bottom w:val="single" w:sz="8" w:space="0" w:color="7BA0CD" w:themeColor="accent1" w:themeTint="BF"/>
            </w:tcBorders>
            <w:shd w:val="clear" w:color="auto" w:fill="C6D9F1" w:themeFill="text2" w:themeFillTint="33"/>
            <w:noWrap/>
            <w:vAlign w:val="center"/>
            <w:hideMark/>
          </w:tcPr>
          <w:p w14:paraId="2834ABFA" w14:textId="617D01F2" w:rsidR="00985235" w:rsidRPr="00985235" w:rsidRDefault="00985235" w:rsidP="00985235">
            <w:pPr>
              <w:jc w:val="center"/>
              <w:rPr>
                <w:rFonts w:asciiTheme="minorHAnsi" w:hAnsiTheme="minorHAnsi"/>
                <w:sz w:val="22"/>
              </w:rPr>
            </w:pPr>
            <w:r w:rsidRPr="00985235">
              <w:rPr>
                <w:rFonts w:asciiTheme="minorHAnsi" w:hAnsiTheme="minorHAnsi" w:cs="Arial"/>
                <w:sz w:val="22"/>
              </w:rPr>
              <w:t>31</w:t>
            </w:r>
          </w:p>
        </w:tc>
        <w:tc>
          <w:tcPr>
            <w:tcW w:w="1790" w:type="dxa"/>
            <w:tcBorders>
              <w:bottom w:val="single" w:sz="8" w:space="0" w:color="7BA0CD" w:themeColor="accent1" w:themeTint="BF"/>
            </w:tcBorders>
            <w:shd w:val="clear" w:color="auto" w:fill="C6D9F1" w:themeFill="text2" w:themeFillTint="33"/>
            <w:noWrap/>
            <w:vAlign w:val="center"/>
            <w:hideMark/>
          </w:tcPr>
          <w:p w14:paraId="07B6501E" w14:textId="4B974E5A"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100.0%</w:t>
            </w:r>
          </w:p>
        </w:tc>
      </w:tr>
      <w:tr w:rsidR="00985235" w:rsidRPr="00C01228" w14:paraId="38F368DA" w14:textId="77777777" w:rsidTr="009F7BEB">
        <w:trPr>
          <w:trHeight w:val="313"/>
          <w:jc w:val="center"/>
        </w:trPr>
        <w:tc>
          <w:tcPr>
            <w:tcW w:w="6916" w:type="dxa"/>
            <w:tcBorders>
              <w:bottom w:val="single" w:sz="8" w:space="0" w:color="7BA0CD" w:themeColor="accent1" w:themeTint="BF"/>
            </w:tcBorders>
            <w:shd w:val="clear" w:color="auto" w:fill="FFFFFF" w:themeFill="background1"/>
            <w:vAlign w:val="bottom"/>
          </w:tcPr>
          <w:p w14:paraId="56CCD998" w14:textId="500F72E9" w:rsidR="00985235" w:rsidRPr="00985235" w:rsidRDefault="00985235" w:rsidP="00985235">
            <w:pPr>
              <w:rPr>
                <w:rFonts w:asciiTheme="minorHAnsi" w:hAnsiTheme="minorHAnsi"/>
                <w:sz w:val="22"/>
              </w:rPr>
            </w:pPr>
            <w:r w:rsidRPr="00985235">
              <w:rPr>
                <w:rFonts w:asciiTheme="minorHAnsi" w:hAnsiTheme="minorHAnsi" w:cs="Arial"/>
                <w:color w:val="000000"/>
                <w:sz w:val="22"/>
              </w:rPr>
              <w:t>Personal vehicles used for transportation are properly registered.</w:t>
            </w:r>
          </w:p>
        </w:tc>
        <w:tc>
          <w:tcPr>
            <w:tcW w:w="1194" w:type="dxa"/>
            <w:tcBorders>
              <w:bottom w:val="single" w:sz="8" w:space="0" w:color="7BA0CD" w:themeColor="accent1" w:themeTint="BF"/>
            </w:tcBorders>
            <w:shd w:val="clear" w:color="auto" w:fill="FFFFFF" w:themeFill="background1"/>
            <w:noWrap/>
            <w:vAlign w:val="center"/>
          </w:tcPr>
          <w:p w14:paraId="0BC48C8A" w14:textId="5ECC9AC3" w:rsidR="00985235" w:rsidRPr="00985235" w:rsidRDefault="00985235" w:rsidP="00985235">
            <w:pPr>
              <w:jc w:val="center"/>
              <w:rPr>
                <w:rFonts w:asciiTheme="minorHAnsi" w:hAnsiTheme="minorHAnsi"/>
                <w:sz w:val="22"/>
              </w:rPr>
            </w:pPr>
            <w:r w:rsidRPr="00985235">
              <w:rPr>
                <w:rFonts w:asciiTheme="minorHAnsi" w:hAnsiTheme="minorHAnsi" w:cs="Arial"/>
                <w:sz w:val="22"/>
              </w:rPr>
              <w:t>31</w:t>
            </w:r>
          </w:p>
        </w:tc>
        <w:tc>
          <w:tcPr>
            <w:tcW w:w="1790" w:type="dxa"/>
            <w:tcBorders>
              <w:bottom w:val="single" w:sz="8" w:space="0" w:color="7BA0CD" w:themeColor="accent1" w:themeTint="BF"/>
            </w:tcBorders>
            <w:shd w:val="clear" w:color="auto" w:fill="FFFFFF" w:themeFill="background1"/>
            <w:noWrap/>
            <w:vAlign w:val="center"/>
          </w:tcPr>
          <w:p w14:paraId="0E504854" w14:textId="1B7A2539"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96.8%</w:t>
            </w:r>
          </w:p>
        </w:tc>
      </w:tr>
      <w:tr w:rsidR="00985235" w:rsidRPr="00C01228" w14:paraId="780DCDEA" w14:textId="77777777" w:rsidTr="009F7BEB">
        <w:trPr>
          <w:trHeight w:val="600"/>
          <w:jc w:val="center"/>
        </w:trPr>
        <w:tc>
          <w:tcPr>
            <w:tcW w:w="6916" w:type="dxa"/>
            <w:tcBorders>
              <w:bottom w:val="single" w:sz="8" w:space="0" w:color="7BA0CD" w:themeColor="accent1" w:themeTint="BF"/>
            </w:tcBorders>
            <w:shd w:val="clear" w:color="auto" w:fill="C6D9F1" w:themeFill="text2" w:themeFillTint="33"/>
            <w:vAlign w:val="bottom"/>
          </w:tcPr>
          <w:p w14:paraId="6D0A3EB8" w14:textId="66C1BB5A" w:rsidR="00985235" w:rsidRPr="00985235" w:rsidRDefault="00985235" w:rsidP="00FA0DC6">
            <w:pPr>
              <w:spacing w:line="240" w:lineRule="auto"/>
              <w:rPr>
                <w:rFonts w:asciiTheme="minorHAnsi" w:hAnsiTheme="minorHAnsi"/>
                <w:sz w:val="22"/>
              </w:rPr>
            </w:pPr>
            <w:r w:rsidRPr="00985235">
              <w:rPr>
                <w:rFonts w:asciiTheme="minorHAnsi" w:hAnsiTheme="minorHAnsi" w:cs="Arial"/>
                <w:color w:val="000000"/>
                <w:sz w:val="22"/>
              </w:rPr>
              <w:t>The provider received a Certificate of Consultant Training from a designated APD trainer (CDC+).</w:t>
            </w:r>
          </w:p>
        </w:tc>
        <w:tc>
          <w:tcPr>
            <w:tcW w:w="1194" w:type="dxa"/>
            <w:tcBorders>
              <w:bottom w:val="single" w:sz="8" w:space="0" w:color="7BA0CD" w:themeColor="accent1" w:themeTint="BF"/>
            </w:tcBorders>
            <w:shd w:val="clear" w:color="auto" w:fill="C6D9F1" w:themeFill="text2" w:themeFillTint="33"/>
            <w:noWrap/>
            <w:vAlign w:val="center"/>
          </w:tcPr>
          <w:p w14:paraId="3D151CA5" w14:textId="1A21DC82" w:rsidR="00985235" w:rsidRPr="00985235" w:rsidRDefault="00985235" w:rsidP="00985235">
            <w:pPr>
              <w:jc w:val="center"/>
              <w:rPr>
                <w:rFonts w:asciiTheme="minorHAnsi" w:hAnsiTheme="minorHAnsi"/>
                <w:sz w:val="22"/>
              </w:rPr>
            </w:pPr>
            <w:r w:rsidRPr="00985235">
              <w:rPr>
                <w:rFonts w:asciiTheme="minorHAnsi" w:hAnsiTheme="minorHAnsi" w:cs="Arial"/>
                <w:sz w:val="22"/>
              </w:rPr>
              <w:t>98</w:t>
            </w:r>
          </w:p>
        </w:tc>
        <w:tc>
          <w:tcPr>
            <w:tcW w:w="1790" w:type="dxa"/>
            <w:tcBorders>
              <w:bottom w:val="single" w:sz="8" w:space="0" w:color="7BA0CD" w:themeColor="accent1" w:themeTint="BF"/>
            </w:tcBorders>
            <w:shd w:val="clear" w:color="auto" w:fill="C6D9F1" w:themeFill="text2" w:themeFillTint="33"/>
            <w:noWrap/>
            <w:vAlign w:val="center"/>
          </w:tcPr>
          <w:p w14:paraId="6DF8ACE5" w14:textId="74C16989"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99.0%</w:t>
            </w:r>
          </w:p>
        </w:tc>
      </w:tr>
      <w:tr w:rsidR="00985235" w:rsidRPr="00C01228" w14:paraId="2508EEA1" w14:textId="77777777" w:rsidTr="009F7BEB">
        <w:trPr>
          <w:trHeight w:val="412"/>
          <w:jc w:val="center"/>
        </w:trPr>
        <w:tc>
          <w:tcPr>
            <w:tcW w:w="6916" w:type="dxa"/>
            <w:tcBorders>
              <w:bottom w:val="single" w:sz="8" w:space="0" w:color="7BA0CD" w:themeColor="accent1" w:themeTint="BF"/>
            </w:tcBorders>
            <w:shd w:val="clear" w:color="auto" w:fill="FFFFFF" w:themeFill="background1"/>
            <w:vAlign w:val="bottom"/>
          </w:tcPr>
          <w:p w14:paraId="44A18C75" w14:textId="1833D857" w:rsidR="00985235" w:rsidRPr="00985235" w:rsidRDefault="00985235" w:rsidP="00FA0DC6">
            <w:pPr>
              <w:spacing w:line="240" w:lineRule="auto"/>
              <w:rPr>
                <w:rFonts w:asciiTheme="minorHAnsi" w:hAnsiTheme="minorHAnsi" w:cs="Arial"/>
                <w:color w:val="000000"/>
                <w:sz w:val="22"/>
              </w:rPr>
            </w:pPr>
            <w:r w:rsidRPr="00985235">
              <w:rPr>
                <w:rFonts w:asciiTheme="minorHAnsi" w:hAnsiTheme="minorHAnsi" w:cs="Arial"/>
                <w:color w:val="000000"/>
                <w:sz w:val="22"/>
              </w:rPr>
              <w:t>The provider meets all minimum educational requirements and levels of experience for Support Coordination.</w:t>
            </w:r>
          </w:p>
        </w:tc>
        <w:tc>
          <w:tcPr>
            <w:tcW w:w="1194" w:type="dxa"/>
            <w:tcBorders>
              <w:bottom w:val="single" w:sz="8" w:space="0" w:color="7BA0CD" w:themeColor="accent1" w:themeTint="BF"/>
            </w:tcBorders>
            <w:shd w:val="clear" w:color="auto" w:fill="FFFFFF" w:themeFill="background1"/>
            <w:noWrap/>
            <w:vAlign w:val="center"/>
          </w:tcPr>
          <w:p w14:paraId="0496477D" w14:textId="64A87D52" w:rsidR="00985235" w:rsidRPr="00985235" w:rsidRDefault="00985235" w:rsidP="00985235">
            <w:pPr>
              <w:jc w:val="center"/>
              <w:rPr>
                <w:rFonts w:asciiTheme="minorHAnsi" w:hAnsiTheme="minorHAnsi"/>
                <w:sz w:val="22"/>
              </w:rPr>
            </w:pPr>
            <w:r w:rsidRPr="00985235">
              <w:rPr>
                <w:rFonts w:asciiTheme="minorHAnsi" w:hAnsiTheme="minorHAnsi" w:cs="Arial"/>
                <w:sz w:val="22"/>
              </w:rPr>
              <w:t>342</w:t>
            </w:r>
          </w:p>
        </w:tc>
        <w:tc>
          <w:tcPr>
            <w:tcW w:w="1790" w:type="dxa"/>
            <w:tcBorders>
              <w:bottom w:val="single" w:sz="8" w:space="0" w:color="7BA0CD" w:themeColor="accent1" w:themeTint="BF"/>
            </w:tcBorders>
            <w:shd w:val="clear" w:color="auto" w:fill="FFFFFF" w:themeFill="background1"/>
            <w:noWrap/>
            <w:vAlign w:val="center"/>
          </w:tcPr>
          <w:p w14:paraId="144137DE" w14:textId="3CD36954"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99.7%</w:t>
            </w:r>
          </w:p>
        </w:tc>
      </w:tr>
      <w:tr w:rsidR="00985235" w:rsidRPr="00C01228" w14:paraId="5CC231AF" w14:textId="77777777" w:rsidTr="009F7BEB">
        <w:trPr>
          <w:trHeight w:val="600"/>
          <w:jc w:val="center"/>
        </w:trPr>
        <w:tc>
          <w:tcPr>
            <w:tcW w:w="6916" w:type="dxa"/>
            <w:tcBorders>
              <w:bottom w:val="single" w:sz="8" w:space="0" w:color="7BA0CD" w:themeColor="accent1" w:themeTint="BF"/>
            </w:tcBorders>
            <w:shd w:val="clear" w:color="auto" w:fill="C6D9F1" w:themeFill="text2" w:themeFillTint="33"/>
            <w:vAlign w:val="bottom"/>
          </w:tcPr>
          <w:p w14:paraId="62B76C0E" w14:textId="34597BAA" w:rsidR="00985235" w:rsidRPr="00985235" w:rsidRDefault="00985235" w:rsidP="00FA0DC6">
            <w:pPr>
              <w:spacing w:line="240" w:lineRule="auto"/>
              <w:rPr>
                <w:rFonts w:asciiTheme="minorHAnsi" w:hAnsiTheme="minorHAnsi" w:cs="Arial"/>
                <w:color w:val="000000"/>
                <w:sz w:val="22"/>
              </w:rPr>
            </w:pPr>
            <w:r w:rsidRPr="00985235">
              <w:rPr>
                <w:rFonts w:asciiTheme="minorHAnsi" w:hAnsiTheme="minorHAnsi" w:cs="Arial"/>
                <w:color w:val="000000"/>
                <w:sz w:val="22"/>
              </w:rPr>
              <w:t>The Support Coordinator completed required Statewide pre-service training.</w:t>
            </w:r>
          </w:p>
        </w:tc>
        <w:tc>
          <w:tcPr>
            <w:tcW w:w="1194" w:type="dxa"/>
            <w:tcBorders>
              <w:bottom w:val="single" w:sz="8" w:space="0" w:color="7BA0CD" w:themeColor="accent1" w:themeTint="BF"/>
            </w:tcBorders>
            <w:shd w:val="clear" w:color="auto" w:fill="C6D9F1" w:themeFill="text2" w:themeFillTint="33"/>
            <w:noWrap/>
            <w:vAlign w:val="center"/>
          </w:tcPr>
          <w:p w14:paraId="31B93F8F" w14:textId="5F36C0B5" w:rsidR="00985235" w:rsidRPr="00985235" w:rsidRDefault="00985235" w:rsidP="00985235">
            <w:pPr>
              <w:jc w:val="center"/>
              <w:rPr>
                <w:rFonts w:asciiTheme="minorHAnsi" w:hAnsiTheme="minorHAnsi"/>
                <w:sz w:val="22"/>
              </w:rPr>
            </w:pPr>
            <w:r w:rsidRPr="00985235">
              <w:rPr>
                <w:rFonts w:asciiTheme="minorHAnsi" w:hAnsiTheme="minorHAnsi" w:cs="Arial"/>
                <w:sz w:val="22"/>
              </w:rPr>
              <w:t>344</w:t>
            </w:r>
          </w:p>
        </w:tc>
        <w:tc>
          <w:tcPr>
            <w:tcW w:w="1790" w:type="dxa"/>
            <w:tcBorders>
              <w:bottom w:val="single" w:sz="8" w:space="0" w:color="7BA0CD" w:themeColor="accent1" w:themeTint="BF"/>
            </w:tcBorders>
            <w:shd w:val="clear" w:color="auto" w:fill="C6D9F1" w:themeFill="text2" w:themeFillTint="33"/>
            <w:noWrap/>
            <w:vAlign w:val="center"/>
          </w:tcPr>
          <w:p w14:paraId="2AC82F10" w14:textId="64139CEA"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99.4%</w:t>
            </w:r>
          </w:p>
        </w:tc>
      </w:tr>
      <w:tr w:rsidR="00985235" w:rsidRPr="00C01228" w14:paraId="7628CFAD" w14:textId="77777777" w:rsidTr="009F7BEB">
        <w:trPr>
          <w:trHeight w:val="385"/>
          <w:jc w:val="center"/>
        </w:trPr>
        <w:tc>
          <w:tcPr>
            <w:tcW w:w="6916" w:type="dxa"/>
            <w:tcBorders>
              <w:bottom w:val="single" w:sz="8" w:space="0" w:color="7BA0CD" w:themeColor="accent1" w:themeTint="BF"/>
            </w:tcBorders>
            <w:shd w:val="clear" w:color="auto" w:fill="FFFFFF" w:themeFill="background1"/>
            <w:vAlign w:val="bottom"/>
          </w:tcPr>
          <w:p w14:paraId="20F8DB3F" w14:textId="163087BE" w:rsidR="00985235" w:rsidRPr="00985235" w:rsidRDefault="00985235" w:rsidP="00FA0DC6">
            <w:pPr>
              <w:spacing w:line="240" w:lineRule="auto"/>
              <w:rPr>
                <w:rFonts w:asciiTheme="minorHAnsi" w:hAnsiTheme="minorHAnsi" w:cs="Arial"/>
                <w:color w:val="000000"/>
                <w:sz w:val="22"/>
              </w:rPr>
            </w:pPr>
            <w:r w:rsidRPr="00985235">
              <w:rPr>
                <w:rFonts w:asciiTheme="minorHAnsi" w:hAnsiTheme="minorHAnsi" w:cs="Arial"/>
                <w:color w:val="000000"/>
                <w:sz w:val="22"/>
              </w:rPr>
              <w:t>The Support Coordinator completed required Region Specific training.</w:t>
            </w:r>
          </w:p>
        </w:tc>
        <w:tc>
          <w:tcPr>
            <w:tcW w:w="1194" w:type="dxa"/>
            <w:tcBorders>
              <w:bottom w:val="single" w:sz="8" w:space="0" w:color="7BA0CD" w:themeColor="accent1" w:themeTint="BF"/>
            </w:tcBorders>
            <w:shd w:val="clear" w:color="auto" w:fill="FFFFFF" w:themeFill="background1"/>
            <w:noWrap/>
            <w:vAlign w:val="center"/>
          </w:tcPr>
          <w:p w14:paraId="05FFBD1B" w14:textId="5A0D57D5" w:rsidR="00985235" w:rsidRPr="00985235" w:rsidRDefault="00985235" w:rsidP="00985235">
            <w:pPr>
              <w:jc w:val="center"/>
              <w:rPr>
                <w:rFonts w:asciiTheme="minorHAnsi" w:hAnsiTheme="minorHAnsi"/>
                <w:sz w:val="22"/>
              </w:rPr>
            </w:pPr>
            <w:r w:rsidRPr="00985235">
              <w:rPr>
                <w:rFonts w:asciiTheme="minorHAnsi" w:hAnsiTheme="minorHAnsi" w:cs="Arial"/>
                <w:sz w:val="22"/>
              </w:rPr>
              <w:t>344</w:t>
            </w:r>
          </w:p>
        </w:tc>
        <w:tc>
          <w:tcPr>
            <w:tcW w:w="1790" w:type="dxa"/>
            <w:tcBorders>
              <w:bottom w:val="single" w:sz="8" w:space="0" w:color="7BA0CD" w:themeColor="accent1" w:themeTint="BF"/>
            </w:tcBorders>
            <w:shd w:val="clear" w:color="auto" w:fill="FFFFFF" w:themeFill="background1"/>
            <w:noWrap/>
            <w:vAlign w:val="center"/>
          </w:tcPr>
          <w:p w14:paraId="3F0677A5" w14:textId="0CF950F1"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98.8%</w:t>
            </w:r>
          </w:p>
        </w:tc>
      </w:tr>
      <w:tr w:rsidR="00985235" w:rsidRPr="00985235" w14:paraId="2E5E0866" w14:textId="77777777" w:rsidTr="009F7BEB">
        <w:trPr>
          <w:trHeight w:val="547"/>
          <w:jc w:val="center"/>
        </w:trPr>
        <w:tc>
          <w:tcPr>
            <w:tcW w:w="6916" w:type="dxa"/>
            <w:tcBorders>
              <w:bottom w:val="single" w:sz="8" w:space="0" w:color="7BA0CD" w:themeColor="accent1" w:themeTint="BF"/>
            </w:tcBorders>
            <w:shd w:val="clear" w:color="auto" w:fill="C6D9F1" w:themeFill="text2" w:themeFillTint="33"/>
            <w:vAlign w:val="bottom"/>
          </w:tcPr>
          <w:p w14:paraId="4D15FC23" w14:textId="5A786464" w:rsidR="00985235" w:rsidRPr="00985235" w:rsidRDefault="00985235" w:rsidP="00FA0DC6">
            <w:pPr>
              <w:spacing w:line="240" w:lineRule="auto"/>
              <w:rPr>
                <w:rFonts w:asciiTheme="minorHAnsi" w:hAnsiTheme="minorHAnsi" w:cs="Arial"/>
                <w:color w:val="000000"/>
                <w:sz w:val="22"/>
              </w:rPr>
            </w:pPr>
            <w:r w:rsidRPr="00985235">
              <w:rPr>
                <w:rFonts w:asciiTheme="minorHAnsi" w:hAnsiTheme="minorHAnsi" w:cs="Arial"/>
                <w:color w:val="000000"/>
                <w:sz w:val="22"/>
              </w:rPr>
              <w:t>The Support Coordinator completed Introduction to Social Security Work Incentives.</w:t>
            </w:r>
          </w:p>
        </w:tc>
        <w:tc>
          <w:tcPr>
            <w:tcW w:w="1194" w:type="dxa"/>
            <w:tcBorders>
              <w:bottom w:val="single" w:sz="8" w:space="0" w:color="7BA0CD" w:themeColor="accent1" w:themeTint="BF"/>
            </w:tcBorders>
            <w:shd w:val="clear" w:color="auto" w:fill="C6D9F1" w:themeFill="text2" w:themeFillTint="33"/>
            <w:noWrap/>
            <w:vAlign w:val="center"/>
          </w:tcPr>
          <w:p w14:paraId="5F76A5E7" w14:textId="4CEF6384" w:rsidR="00985235" w:rsidRPr="00985235" w:rsidRDefault="00985235" w:rsidP="00985235">
            <w:pPr>
              <w:jc w:val="center"/>
              <w:rPr>
                <w:rFonts w:asciiTheme="minorHAnsi" w:hAnsiTheme="minorHAnsi" w:cs="Arial"/>
                <w:sz w:val="22"/>
              </w:rPr>
            </w:pPr>
            <w:r w:rsidRPr="00985235">
              <w:rPr>
                <w:rFonts w:asciiTheme="minorHAnsi" w:hAnsiTheme="minorHAnsi" w:cs="Arial"/>
                <w:sz w:val="22"/>
              </w:rPr>
              <w:t>258</w:t>
            </w:r>
          </w:p>
        </w:tc>
        <w:tc>
          <w:tcPr>
            <w:tcW w:w="1790" w:type="dxa"/>
            <w:tcBorders>
              <w:bottom w:val="single" w:sz="8" w:space="0" w:color="7BA0CD" w:themeColor="accent1" w:themeTint="BF"/>
            </w:tcBorders>
            <w:shd w:val="clear" w:color="auto" w:fill="C6D9F1" w:themeFill="text2" w:themeFillTint="33"/>
            <w:noWrap/>
            <w:vAlign w:val="center"/>
          </w:tcPr>
          <w:p w14:paraId="65C76AEE" w14:textId="53A2F22F" w:rsidR="00985235" w:rsidRPr="00985235" w:rsidRDefault="00985235" w:rsidP="00985235">
            <w:pPr>
              <w:jc w:val="center"/>
              <w:rPr>
                <w:rFonts w:asciiTheme="minorHAnsi" w:hAnsiTheme="minorHAnsi" w:cs="Arial"/>
                <w:color w:val="000000"/>
                <w:sz w:val="22"/>
              </w:rPr>
            </w:pPr>
            <w:r w:rsidRPr="00985235">
              <w:rPr>
                <w:rFonts w:asciiTheme="minorHAnsi" w:hAnsiTheme="minorHAnsi" w:cs="Arial"/>
                <w:color w:val="000000"/>
                <w:sz w:val="22"/>
              </w:rPr>
              <w:t>99.2%</w:t>
            </w:r>
          </w:p>
        </w:tc>
      </w:tr>
      <w:tr w:rsidR="00985235" w:rsidRPr="00C01228" w14:paraId="3157FCE5" w14:textId="77777777" w:rsidTr="009F7BEB">
        <w:trPr>
          <w:trHeight w:val="547"/>
          <w:jc w:val="center"/>
        </w:trPr>
        <w:tc>
          <w:tcPr>
            <w:tcW w:w="6916" w:type="dxa"/>
            <w:tcBorders>
              <w:bottom w:val="single" w:sz="8" w:space="0" w:color="7BA0CD" w:themeColor="accent1" w:themeTint="BF"/>
            </w:tcBorders>
            <w:shd w:val="clear" w:color="auto" w:fill="FFFFFF" w:themeFill="background1"/>
            <w:vAlign w:val="bottom"/>
          </w:tcPr>
          <w:p w14:paraId="68750605" w14:textId="57B03BB3" w:rsidR="00985235" w:rsidRPr="00985235" w:rsidRDefault="00985235" w:rsidP="00FA0DC6">
            <w:pPr>
              <w:spacing w:line="240" w:lineRule="auto"/>
              <w:rPr>
                <w:rFonts w:asciiTheme="minorHAnsi" w:hAnsiTheme="minorHAnsi" w:cs="Arial"/>
                <w:color w:val="000000"/>
                <w:sz w:val="22"/>
              </w:rPr>
            </w:pPr>
            <w:r w:rsidRPr="00985235">
              <w:rPr>
                <w:rFonts w:asciiTheme="minorHAnsi" w:hAnsiTheme="minorHAnsi" w:cs="Arial"/>
                <w:color w:val="000000"/>
                <w:sz w:val="22"/>
              </w:rPr>
              <w:t>The Support Coordinator completes 24 hours of job related annual in-service training.</w:t>
            </w:r>
          </w:p>
        </w:tc>
        <w:tc>
          <w:tcPr>
            <w:tcW w:w="1194" w:type="dxa"/>
            <w:tcBorders>
              <w:bottom w:val="single" w:sz="8" w:space="0" w:color="7BA0CD" w:themeColor="accent1" w:themeTint="BF"/>
            </w:tcBorders>
            <w:shd w:val="clear" w:color="auto" w:fill="FFFFFF" w:themeFill="background1"/>
            <w:noWrap/>
            <w:vAlign w:val="center"/>
          </w:tcPr>
          <w:p w14:paraId="6C74ED44" w14:textId="16C99054" w:rsidR="00985235" w:rsidRPr="00985235" w:rsidRDefault="00985235" w:rsidP="00985235">
            <w:pPr>
              <w:jc w:val="center"/>
              <w:rPr>
                <w:rFonts w:asciiTheme="minorHAnsi" w:hAnsiTheme="minorHAnsi"/>
                <w:sz w:val="22"/>
              </w:rPr>
            </w:pPr>
            <w:r w:rsidRPr="00985235">
              <w:rPr>
                <w:rFonts w:asciiTheme="minorHAnsi" w:hAnsiTheme="minorHAnsi" w:cs="Arial"/>
                <w:sz w:val="22"/>
              </w:rPr>
              <w:t>334</w:t>
            </w:r>
          </w:p>
        </w:tc>
        <w:tc>
          <w:tcPr>
            <w:tcW w:w="1790" w:type="dxa"/>
            <w:tcBorders>
              <w:bottom w:val="single" w:sz="8" w:space="0" w:color="7BA0CD" w:themeColor="accent1" w:themeTint="BF"/>
            </w:tcBorders>
            <w:shd w:val="clear" w:color="auto" w:fill="FFFFFF" w:themeFill="background1"/>
            <w:noWrap/>
            <w:vAlign w:val="center"/>
          </w:tcPr>
          <w:p w14:paraId="5CBF48C8" w14:textId="2D31DD9A" w:rsidR="00985235" w:rsidRPr="00985235" w:rsidRDefault="00985235" w:rsidP="00985235">
            <w:pPr>
              <w:jc w:val="center"/>
              <w:rPr>
                <w:rFonts w:asciiTheme="minorHAnsi" w:hAnsiTheme="minorHAnsi"/>
                <w:sz w:val="22"/>
              </w:rPr>
            </w:pPr>
            <w:r w:rsidRPr="00985235">
              <w:rPr>
                <w:rFonts w:asciiTheme="minorHAnsi" w:hAnsiTheme="minorHAnsi" w:cs="Arial"/>
                <w:color w:val="000000"/>
                <w:sz w:val="22"/>
              </w:rPr>
              <w:t>91.0%</w:t>
            </w:r>
          </w:p>
        </w:tc>
      </w:tr>
      <w:tr w:rsidR="003649E9" w:rsidRPr="00C01228" w14:paraId="4F61B068" w14:textId="77777777" w:rsidTr="009F7BEB">
        <w:trPr>
          <w:trHeight w:val="300"/>
          <w:jc w:val="center"/>
        </w:trPr>
        <w:tc>
          <w:tcPr>
            <w:tcW w:w="6916" w:type="dxa"/>
            <w:shd w:val="clear" w:color="auto" w:fill="FABF8F" w:themeFill="accent6" w:themeFillTint="99"/>
            <w:vAlign w:val="bottom"/>
            <w:hideMark/>
          </w:tcPr>
          <w:p w14:paraId="16B41EC7" w14:textId="77777777" w:rsidR="003649E9" w:rsidRPr="00341DD6" w:rsidRDefault="003649E9" w:rsidP="00985235">
            <w:pPr>
              <w:spacing w:line="240" w:lineRule="auto"/>
              <w:rPr>
                <w:rFonts w:asciiTheme="minorHAnsi" w:eastAsia="Times New Roman" w:hAnsiTheme="minorHAnsi" w:cs="Times New Roman"/>
                <w:color w:val="000000"/>
                <w:sz w:val="22"/>
              </w:rPr>
            </w:pPr>
            <w:r w:rsidRPr="00341DD6">
              <w:rPr>
                <w:rFonts w:asciiTheme="minorHAnsi" w:eastAsia="Times New Roman" w:hAnsiTheme="minorHAnsi" w:cs="Times New Roman"/>
                <w:color w:val="000000"/>
                <w:sz w:val="22"/>
              </w:rPr>
              <w:t>Average Qualifications and Training (WSC)</w:t>
            </w:r>
          </w:p>
        </w:tc>
        <w:tc>
          <w:tcPr>
            <w:tcW w:w="1194" w:type="dxa"/>
            <w:shd w:val="clear" w:color="auto" w:fill="FABF8F" w:themeFill="accent6" w:themeFillTint="99"/>
            <w:noWrap/>
            <w:vAlign w:val="center"/>
            <w:hideMark/>
          </w:tcPr>
          <w:p w14:paraId="170D8699" w14:textId="1BCE4BA4" w:rsidR="003649E9" w:rsidRPr="00341DD6" w:rsidRDefault="00985235" w:rsidP="0074048F">
            <w:pPr>
              <w:jc w:val="center"/>
              <w:rPr>
                <w:rFonts w:asciiTheme="minorHAnsi" w:hAnsiTheme="minorHAnsi"/>
                <w:sz w:val="22"/>
              </w:rPr>
            </w:pPr>
            <w:r>
              <w:rPr>
                <w:rFonts w:asciiTheme="minorHAnsi" w:hAnsiTheme="minorHAnsi"/>
                <w:sz w:val="22"/>
              </w:rPr>
              <w:t>4,330</w:t>
            </w:r>
          </w:p>
        </w:tc>
        <w:tc>
          <w:tcPr>
            <w:tcW w:w="1790" w:type="dxa"/>
            <w:shd w:val="clear" w:color="auto" w:fill="FABF8F" w:themeFill="accent6" w:themeFillTint="99"/>
            <w:noWrap/>
            <w:vAlign w:val="center"/>
            <w:hideMark/>
          </w:tcPr>
          <w:p w14:paraId="7CF147F0" w14:textId="1AA0748D" w:rsidR="003649E9" w:rsidRPr="00341DD6" w:rsidRDefault="003649E9" w:rsidP="00985235">
            <w:pPr>
              <w:jc w:val="center"/>
              <w:rPr>
                <w:rFonts w:asciiTheme="minorHAnsi" w:hAnsiTheme="minorHAnsi"/>
                <w:sz w:val="22"/>
              </w:rPr>
            </w:pPr>
            <w:r w:rsidRPr="00341DD6">
              <w:rPr>
                <w:rFonts w:asciiTheme="minorHAnsi" w:hAnsiTheme="minorHAnsi"/>
                <w:sz w:val="22"/>
              </w:rPr>
              <w:t>96.</w:t>
            </w:r>
            <w:r w:rsidR="00985235">
              <w:rPr>
                <w:rFonts w:asciiTheme="minorHAnsi" w:hAnsiTheme="minorHAnsi"/>
                <w:sz w:val="22"/>
              </w:rPr>
              <w:t>9</w:t>
            </w:r>
            <w:r w:rsidRPr="00341DD6">
              <w:rPr>
                <w:rFonts w:asciiTheme="minorHAnsi" w:hAnsiTheme="minorHAnsi"/>
                <w:sz w:val="22"/>
              </w:rPr>
              <w:t>%</w:t>
            </w:r>
          </w:p>
        </w:tc>
      </w:tr>
    </w:tbl>
    <w:p w14:paraId="71B9671C" w14:textId="77777777" w:rsidR="003649E9" w:rsidRDefault="003649E9" w:rsidP="003649E9">
      <w:pPr>
        <w:spacing w:line="240" w:lineRule="auto"/>
      </w:pPr>
    </w:p>
    <w:p w14:paraId="4A67F85A" w14:textId="77777777" w:rsidR="00846E0A" w:rsidRDefault="00846E0A" w:rsidP="003649E9">
      <w:pPr>
        <w:spacing w:line="240" w:lineRule="auto"/>
      </w:pPr>
    </w:p>
    <w:p w14:paraId="19D00463" w14:textId="77777777" w:rsidR="00846E0A" w:rsidRDefault="00846E0A" w:rsidP="003649E9">
      <w:pPr>
        <w:spacing w:line="240" w:lineRule="auto"/>
      </w:pPr>
    </w:p>
    <w:tbl>
      <w:tblPr>
        <w:tblStyle w:val="MediumShading1-Accent1"/>
        <w:tblW w:w="6150" w:type="dxa"/>
        <w:jc w:val="center"/>
        <w:tblLook w:val="04A0" w:firstRow="1" w:lastRow="0" w:firstColumn="1" w:lastColumn="0" w:noHBand="0" w:noVBand="1"/>
      </w:tblPr>
      <w:tblGrid>
        <w:gridCol w:w="1324"/>
        <w:gridCol w:w="1405"/>
        <w:gridCol w:w="991"/>
        <w:gridCol w:w="1350"/>
        <w:gridCol w:w="1080"/>
      </w:tblGrid>
      <w:tr w:rsidR="00846E0A" w:rsidRPr="00846E0A" w14:paraId="59F138A0" w14:textId="77777777" w:rsidTr="00FA0DC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150" w:type="dxa"/>
            <w:gridSpan w:val="5"/>
            <w:shd w:val="clear" w:color="auto" w:fill="244061" w:themeFill="accent1" w:themeFillShade="80"/>
            <w:noWrap/>
            <w:vAlign w:val="bottom"/>
            <w:hideMark/>
          </w:tcPr>
          <w:p w14:paraId="217D2B42" w14:textId="77777777" w:rsidR="00846E0A" w:rsidRPr="00846E0A" w:rsidRDefault="00846E0A" w:rsidP="00846E0A">
            <w:pPr>
              <w:spacing w:line="240" w:lineRule="auto"/>
              <w:jc w:val="center"/>
              <w:rPr>
                <w:rFonts w:ascii="Calibri" w:eastAsia="Times New Roman" w:hAnsi="Calibri" w:cs="Times New Roman"/>
                <w:b w:val="0"/>
                <w:sz w:val="22"/>
              </w:rPr>
            </w:pPr>
            <w:r w:rsidRPr="00846E0A">
              <w:rPr>
                <w:rFonts w:ascii="Calibri" w:eastAsia="Times New Roman" w:hAnsi="Calibri" w:cs="Times New Roman"/>
                <w:b w:val="0"/>
                <w:sz w:val="22"/>
              </w:rPr>
              <w:t>Table 21: Qualifications and Training Results by Region</w:t>
            </w:r>
          </w:p>
        </w:tc>
      </w:tr>
      <w:tr w:rsidR="00846E0A" w:rsidRPr="00846E0A" w14:paraId="6DAB2CF7" w14:textId="77777777" w:rsidTr="00FA0DC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6150" w:type="dxa"/>
            <w:gridSpan w:val="5"/>
            <w:shd w:val="clear" w:color="auto" w:fill="244061" w:themeFill="accent1" w:themeFillShade="80"/>
            <w:noWrap/>
            <w:vAlign w:val="bottom"/>
            <w:hideMark/>
          </w:tcPr>
          <w:p w14:paraId="16163991" w14:textId="77777777" w:rsidR="00846E0A" w:rsidRPr="00846E0A" w:rsidRDefault="00846E0A" w:rsidP="00846E0A">
            <w:pPr>
              <w:spacing w:line="240" w:lineRule="auto"/>
              <w:jc w:val="center"/>
              <w:rPr>
                <w:rFonts w:ascii="Calibri" w:eastAsia="Times New Roman" w:hAnsi="Calibri" w:cs="Times New Roman"/>
                <w:b w:val="0"/>
                <w:color w:val="FFFFFF" w:themeColor="background1"/>
                <w:sz w:val="22"/>
              </w:rPr>
            </w:pPr>
            <w:r w:rsidRPr="00846E0A">
              <w:rPr>
                <w:rFonts w:ascii="Calibri" w:eastAsia="Times New Roman" w:hAnsi="Calibri" w:cs="Times New Roman"/>
                <w:b w:val="0"/>
                <w:color w:val="FFFFFF" w:themeColor="background1"/>
                <w:sz w:val="22"/>
              </w:rPr>
              <w:t>January - June 2016</w:t>
            </w:r>
          </w:p>
        </w:tc>
      </w:tr>
      <w:tr w:rsidR="00846E0A" w:rsidRPr="00846E0A" w14:paraId="772551C4" w14:textId="77777777" w:rsidTr="00FA0DC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24" w:type="dxa"/>
            <w:tcBorders>
              <w:right w:val="double" w:sz="4" w:space="0" w:color="auto"/>
            </w:tcBorders>
            <w:noWrap/>
            <w:vAlign w:val="bottom"/>
            <w:hideMark/>
          </w:tcPr>
          <w:p w14:paraId="5AE8EFE6" w14:textId="3602A798" w:rsidR="00846E0A" w:rsidRPr="00846E0A" w:rsidRDefault="00846E0A" w:rsidP="00846E0A">
            <w:pPr>
              <w:spacing w:line="240" w:lineRule="auto"/>
              <w:jc w:val="center"/>
              <w:rPr>
                <w:rFonts w:ascii="Calibri" w:eastAsia="Times New Roman" w:hAnsi="Calibri" w:cs="Times New Roman"/>
                <w:color w:val="000000"/>
                <w:sz w:val="22"/>
              </w:rPr>
            </w:pPr>
          </w:p>
        </w:tc>
        <w:tc>
          <w:tcPr>
            <w:tcW w:w="2396" w:type="dxa"/>
            <w:gridSpan w:val="2"/>
            <w:tcBorders>
              <w:left w:val="double" w:sz="4" w:space="0" w:color="auto"/>
              <w:right w:val="double" w:sz="4" w:space="0" w:color="auto"/>
            </w:tcBorders>
            <w:noWrap/>
            <w:vAlign w:val="bottom"/>
            <w:hideMark/>
          </w:tcPr>
          <w:p w14:paraId="3548213F" w14:textId="2DD4C704"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Service Providers</w:t>
            </w:r>
          </w:p>
        </w:tc>
        <w:tc>
          <w:tcPr>
            <w:tcW w:w="2430" w:type="dxa"/>
            <w:gridSpan w:val="2"/>
            <w:tcBorders>
              <w:left w:val="double" w:sz="4" w:space="0" w:color="auto"/>
            </w:tcBorders>
            <w:noWrap/>
            <w:vAlign w:val="bottom"/>
            <w:hideMark/>
          </w:tcPr>
          <w:p w14:paraId="2B304DCC" w14:textId="16A91836"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WSCs</w:t>
            </w:r>
          </w:p>
        </w:tc>
      </w:tr>
      <w:tr w:rsidR="00846E0A" w:rsidRPr="00846E0A" w14:paraId="354A7CA4" w14:textId="77777777" w:rsidTr="00FA0DC6">
        <w:trPr>
          <w:cnfStyle w:val="000000100000" w:firstRow="0" w:lastRow="0" w:firstColumn="0" w:lastColumn="0" w:oddVBand="0" w:evenVBand="0" w:oddHBand="1" w:evenHBand="0" w:firstRowFirstColumn="0" w:firstRowLastColumn="0" w:lastRowFirstColumn="0" w:lastRowLastColumn="0"/>
          <w:trHeight w:val="484"/>
          <w:jc w:val="center"/>
        </w:trPr>
        <w:tc>
          <w:tcPr>
            <w:cnfStyle w:val="001000000000" w:firstRow="0" w:lastRow="0" w:firstColumn="1" w:lastColumn="0" w:oddVBand="0" w:evenVBand="0" w:oddHBand="0" w:evenHBand="0" w:firstRowFirstColumn="0" w:firstRowLastColumn="0" w:lastRowFirstColumn="0" w:lastRowLastColumn="0"/>
            <w:tcW w:w="1324" w:type="dxa"/>
            <w:tcBorders>
              <w:right w:val="double" w:sz="4" w:space="0" w:color="auto"/>
            </w:tcBorders>
            <w:noWrap/>
            <w:vAlign w:val="bottom"/>
            <w:hideMark/>
          </w:tcPr>
          <w:p w14:paraId="6DBEB10E" w14:textId="5C450921" w:rsidR="00846E0A" w:rsidRPr="00846E0A" w:rsidRDefault="00846E0A" w:rsidP="00846E0A">
            <w:pPr>
              <w:spacing w:line="240" w:lineRule="auto"/>
              <w:rPr>
                <w:rFonts w:ascii="Calibri" w:eastAsia="Times New Roman" w:hAnsi="Calibri" w:cs="Times New Roman"/>
                <w:color w:val="000000"/>
                <w:sz w:val="22"/>
              </w:rPr>
            </w:pPr>
            <w:r w:rsidRPr="00846E0A">
              <w:rPr>
                <w:rFonts w:ascii="Calibri" w:eastAsia="Times New Roman" w:hAnsi="Calibri" w:cs="Times New Roman"/>
                <w:color w:val="000000"/>
                <w:sz w:val="22"/>
              </w:rPr>
              <w:t>R</w:t>
            </w:r>
            <w:r>
              <w:rPr>
                <w:rFonts w:ascii="Calibri" w:eastAsia="Times New Roman" w:hAnsi="Calibri" w:cs="Times New Roman"/>
                <w:color w:val="000000"/>
                <w:sz w:val="22"/>
              </w:rPr>
              <w:t>e</w:t>
            </w:r>
            <w:r w:rsidRPr="00846E0A">
              <w:rPr>
                <w:rFonts w:ascii="Calibri" w:eastAsia="Times New Roman" w:hAnsi="Calibri" w:cs="Times New Roman"/>
                <w:color w:val="000000"/>
                <w:sz w:val="22"/>
              </w:rPr>
              <w:t>gion</w:t>
            </w:r>
          </w:p>
        </w:tc>
        <w:tc>
          <w:tcPr>
            <w:tcW w:w="1405" w:type="dxa"/>
            <w:tcBorders>
              <w:left w:val="double" w:sz="4" w:space="0" w:color="auto"/>
            </w:tcBorders>
            <w:vAlign w:val="bottom"/>
            <w:hideMark/>
          </w:tcPr>
          <w:p w14:paraId="479B52A8"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Records Reviewed</w:t>
            </w:r>
          </w:p>
        </w:tc>
        <w:tc>
          <w:tcPr>
            <w:tcW w:w="991" w:type="dxa"/>
            <w:tcBorders>
              <w:right w:val="double" w:sz="4" w:space="0" w:color="auto"/>
            </w:tcBorders>
            <w:noWrap/>
            <w:vAlign w:val="bottom"/>
            <w:hideMark/>
          </w:tcPr>
          <w:p w14:paraId="2CBED884"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 Met</w:t>
            </w:r>
          </w:p>
        </w:tc>
        <w:tc>
          <w:tcPr>
            <w:tcW w:w="1350" w:type="dxa"/>
            <w:tcBorders>
              <w:left w:val="double" w:sz="4" w:space="0" w:color="auto"/>
            </w:tcBorders>
            <w:vAlign w:val="bottom"/>
            <w:hideMark/>
          </w:tcPr>
          <w:p w14:paraId="3084FF7E"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Records Reviewed</w:t>
            </w:r>
          </w:p>
        </w:tc>
        <w:tc>
          <w:tcPr>
            <w:tcW w:w="1080" w:type="dxa"/>
            <w:noWrap/>
            <w:vAlign w:val="bottom"/>
            <w:hideMark/>
          </w:tcPr>
          <w:p w14:paraId="794A5FCF"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 Met</w:t>
            </w:r>
          </w:p>
        </w:tc>
      </w:tr>
      <w:tr w:rsidR="00846E0A" w:rsidRPr="00846E0A" w14:paraId="64B73221" w14:textId="77777777" w:rsidTr="00FA0DC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4" w:type="dxa"/>
            <w:tcBorders>
              <w:right w:val="double" w:sz="4" w:space="0" w:color="auto"/>
            </w:tcBorders>
            <w:noWrap/>
            <w:vAlign w:val="bottom"/>
            <w:hideMark/>
          </w:tcPr>
          <w:p w14:paraId="059C5D66" w14:textId="77777777" w:rsidR="00846E0A" w:rsidRPr="00846E0A" w:rsidRDefault="00846E0A" w:rsidP="00846E0A">
            <w:pPr>
              <w:spacing w:line="240" w:lineRule="auto"/>
              <w:rPr>
                <w:rFonts w:ascii="Calibri" w:eastAsia="Times New Roman" w:hAnsi="Calibri" w:cs="Times New Roman"/>
                <w:color w:val="000000"/>
                <w:sz w:val="22"/>
              </w:rPr>
            </w:pPr>
            <w:r w:rsidRPr="00846E0A">
              <w:rPr>
                <w:rFonts w:ascii="Calibri" w:eastAsia="Times New Roman" w:hAnsi="Calibri" w:cs="Times New Roman"/>
                <w:color w:val="000000"/>
                <w:sz w:val="22"/>
              </w:rPr>
              <w:t>Northwest</w:t>
            </w:r>
          </w:p>
        </w:tc>
        <w:tc>
          <w:tcPr>
            <w:tcW w:w="1405" w:type="dxa"/>
            <w:tcBorders>
              <w:left w:val="double" w:sz="4" w:space="0" w:color="auto"/>
            </w:tcBorders>
            <w:noWrap/>
            <w:vAlign w:val="bottom"/>
            <w:hideMark/>
          </w:tcPr>
          <w:p w14:paraId="5AB7BFE9"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36</w:t>
            </w:r>
          </w:p>
        </w:tc>
        <w:tc>
          <w:tcPr>
            <w:tcW w:w="991" w:type="dxa"/>
            <w:tcBorders>
              <w:right w:val="double" w:sz="4" w:space="0" w:color="auto"/>
            </w:tcBorders>
            <w:noWrap/>
            <w:vAlign w:val="bottom"/>
            <w:hideMark/>
          </w:tcPr>
          <w:p w14:paraId="564A2DC7"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97.5%</w:t>
            </w:r>
          </w:p>
        </w:tc>
        <w:tc>
          <w:tcPr>
            <w:tcW w:w="1350" w:type="dxa"/>
            <w:tcBorders>
              <w:left w:val="double" w:sz="4" w:space="0" w:color="auto"/>
            </w:tcBorders>
            <w:noWrap/>
            <w:vAlign w:val="bottom"/>
            <w:hideMark/>
          </w:tcPr>
          <w:p w14:paraId="76CB06DA"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26</w:t>
            </w:r>
          </w:p>
        </w:tc>
        <w:tc>
          <w:tcPr>
            <w:tcW w:w="1080" w:type="dxa"/>
            <w:noWrap/>
            <w:vAlign w:val="bottom"/>
            <w:hideMark/>
          </w:tcPr>
          <w:p w14:paraId="65D2D80C"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97.6%</w:t>
            </w:r>
          </w:p>
        </w:tc>
      </w:tr>
      <w:tr w:rsidR="00846E0A" w:rsidRPr="00846E0A" w14:paraId="024D1451" w14:textId="77777777" w:rsidTr="00FA0D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4" w:type="dxa"/>
            <w:tcBorders>
              <w:right w:val="double" w:sz="4" w:space="0" w:color="auto"/>
            </w:tcBorders>
            <w:noWrap/>
            <w:vAlign w:val="bottom"/>
            <w:hideMark/>
          </w:tcPr>
          <w:p w14:paraId="630AF9CC" w14:textId="77777777" w:rsidR="00846E0A" w:rsidRPr="00846E0A" w:rsidRDefault="00846E0A" w:rsidP="00846E0A">
            <w:pPr>
              <w:spacing w:line="240" w:lineRule="auto"/>
              <w:rPr>
                <w:rFonts w:ascii="Calibri" w:eastAsia="Times New Roman" w:hAnsi="Calibri" w:cs="Times New Roman"/>
                <w:color w:val="000000"/>
                <w:sz w:val="22"/>
              </w:rPr>
            </w:pPr>
            <w:r w:rsidRPr="00846E0A">
              <w:rPr>
                <w:rFonts w:ascii="Calibri" w:eastAsia="Times New Roman" w:hAnsi="Calibri" w:cs="Times New Roman"/>
                <w:color w:val="000000"/>
                <w:sz w:val="22"/>
              </w:rPr>
              <w:t>Northeast</w:t>
            </w:r>
          </w:p>
        </w:tc>
        <w:tc>
          <w:tcPr>
            <w:tcW w:w="1405" w:type="dxa"/>
            <w:tcBorders>
              <w:left w:val="double" w:sz="4" w:space="0" w:color="auto"/>
            </w:tcBorders>
            <w:noWrap/>
            <w:vAlign w:val="bottom"/>
            <w:hideMark/>
          </w:tcPr>
          <w:p w14:paraId="371DF0D6"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306</w:t>
            </w:r>
          </w:p>
        </w:tc>
        <w:tc>
          <w:tcPr>
            <w:tcW w:w="991" w:type="dxa"/>
            <w:tcBorders>
              <w:right w:val="double" w:sz="4" w:space="0" w:color="auto"/>
            </w:tcBorders>
            <w:noWrap/>
            <w:vAlign w:val="bottom"/>
            <w:hideMark/>
          </w:tcPr>
          <w:p w14:paraId="12AD0089"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96.4%</w:t>
            </w:r>
          </w:p>
        </w:tc>
        <w:tc>
          <w:tcPr>
            <w:tcW w:w="1350" w:type="dxa"/>
            <w:tcBorders>
              <w:left w:val="double" w:sz="4" w:space="0" w:color="auto"/>
            </w:tcBorders>
            <w:noWrap/>
            <w:vAlign w:val="bottom"/>
            <w:hideMark/>
          </w:tcPr>
          <w:p w14:paraId="11FA437E"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59</w:t>
            </w:r>
          </w:p>
        </w:tc>
        <w:tc>
          <w:tcPr>
            <w:tcW w:w="1080" w:type="dxa"/>
            <w:noWrap/>
            <w:vAlign w:val="bottom"/>
            <w:hideMark/>
          </w:tcPr>
          <w:p w14:paraId="48FBE355"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96.2%</w:t>
            </w:r>
          </w:p>
        </w:tc>
      </w:tr>
      <w:tr w:rsidR="00846E0A" w:rsidRPr="00846E0A" w14:paraId="04BD1B0F" w14:textId="77777777" w:rsidTr="00FA0DC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4" w:type="dxa"/>
            <w:tcBorders>
              <w:right w:val="double" w:sz="4" w:space="0" w:color="auto"/>
            </w:tcBorders>
            <w:noWrap/>
            <w:vAlign w:val="bottom"/>
            <w:hideMark/>
          </w:tcPr>
          <w:p w14:paraId="62111222" w14:textId="77777777" w:rsidR="00846E0A" w:rsidRPr="00846E0A" w:rsidRDefault="00846E0A" w:rsidP="00846E0A">
            <w:pPr>
              <w:spacing w:line="240" w:lineRule="auto"/>
              <w:rPr>
                <w:rFonts w:ascii="Calibri" w:eastAsia="Times New Roman" w:hAnsi="Calibri" w:cs="Times New Roman"/>
                <w:color w:val="000000"/>
                <w:sz w:val="22"/>
              </w:rPr>
            </w:pPr>
            <w:r w:rsidRPr="00846E0A">
              <w:rPr>
                <w:rFonts w:ascii="Calibri" w:eastAsia="Times New Roman" w:hAnsi="Calibri" w:cs="Times New Roman"/>
                <w:color w:val="000000"/>
                <w:sz w:val="22"/>
              </w:rPr>
              <w:t>Central</w:t>
            </w:r>
          </w:p>
        </w:tc>
        <w:tc>
          <w:tcPr>
            <w:tcW w:w="1405" w:type="dxa"/>
            <w:tcBorders>
              <w:left w:val="double" w:sz="4" w:space="0" w:color="auto"/>
            </w:tcBorders>
            <w:noWrap/>
            <w:vAlign w:val="bottom"/>
            <w:hideMark/>
          </w:tcPr>
          <w:p w14:paraId="43F190B9"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286</w:t>
            </w:r>
          </w:p>
        </w:tc>
        <w:tc>
          <w:tcPr>
            <w:tcW w:w="991" w:type="dxa"/>
            <w:tcBorders>
              <w:right w:val="double" w:sz="4" w:space="0" w:color="auto"/>
            </w:tcBorders>
            <w:noWrap/>
            <w:vAlign w:val="bottom"/>
            <w:hideMark/>
          </w:tcPr>
          <w:p w14:paraId="2549E90B"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96.0%</w:t>
            </w:r>
          </w:p>
        </w:tc>
        <w:tc>
          <w:tcPr>
            <w:tcW w:w="1350" w:type="dxa"/>
            <w:tcBorders>
              <w:left w:val="double" w:sz="4" w:space="0" w:color="auto"/>
            </w:tcBorders>
            <w:noWrap/>
            <w:vAlign w:val="bottom"/>
            <w:hideMark/>
          </w:tcPr>
          <w:p w14:paraId="1F7E0AB0"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68</w:t>
            </w:r>
          </w:p>
        </w:tc>
        <w:tc>
          <w:tcPr>
            <w:tcW w:w="1080" w:type="dxa"/>
            <w:noWrap/>
            <w:vAlign w:val="bottom"/>
            <w:hideMark/>
          </w:tcPr>
          <w:p w14:paraId="416CC48D"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96.2%</w:t>
            </w:r>
          </w:p>
        </w:tc>
      </w:tr>
      <w:tr w:rsidR="00846E0A" w:rsidRPr="00846E0A" w14:paraId="2D353792" w14:textId="77777777" w:rsidTr="00FA0D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4" w:type="dxa"/>
            <w:tcBorders>
              <w:right w:val="double" w:sz="4" w:space="0" w:color="auto"/>
            </w:tcBorders>
            <w:noWrap/>
            <w:vAlign w:val="bottom"/>
            <w:hideMark/>
          </w:tcPr>
          <w:p w14:paraId="65C3CD03" w14:textId="77777777" w:rsidR="00846E0A" w:rsidRPr="00846E0A" w:rsidRDefault="00846E0A" w:rsidP="00846E0A">
            <w:pPr>
              <w:spacing w:line="240" w:lineRule="auto"/>
              <w:rPr>
                <w:rFonts w:ascii="Calibri" w:eastAsia="Times New Roman" w:hAnsi="Calibri" w:cs="Times New Roman"/>
                <w:color w:val="000000"/>
                <w:sz w:val="22"/>
              </w:rPr>
            </w:pPr>
            <w:r w:rsidRPr="00846E0A">
              <w:rPr>
                <w:rFonts w:ascii="Calibri" w:eastAsia="Times New Roman" w:hAnsi="Calibri" w:cs="Times New Roman"/>
                <w:color w:val="000000"/>
                <w:sz w:val="22"/>
              </w:rPr>
              <w:t>Suncoast</w:t>
            </w:r>
          </w:p>
        </w:tc>
        <w:tc>
          <w:tcPr>
            <w:tcW w:w="1405" w:type="dxa"/>
            <w:tcBorders>
              <w:left w:val="double" w:sz="4" w:space="0" w:color="auto"/>
            </w:tcBorders>
            <w:noWrap/>
            <w:vAlign w:val="bottom"/>
            <w:hideMark/>
          </w:tcPr>
          <w:p w14:paraId="239CDFA2"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281</w:t>
            </w:r>
          </w:p>
        </w:tc>
        <w:tc>
          <w:tcPr>
            <w:tcW w:w="991" w:type="dxa"/>
            <w:tcBorders>
              <w:right w:val="double" w:sz="4" w:space="0" w:color="auto"/>
            </w:tcBorders>
            <w:noWrap/>
            <w:vAlign w:val="bottom"/>
            <w:hideMark/>
          </w:tcPr>
          <w:p w14:paraId="543C00C6"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96.1%</w:t>
            </w:r>
          </w:p>
        </w:tc>
        <w:tc>
          <w:tcPr>
            <w:tcW w:w="1350" w:type="dxa"/>
            <w:tcBorders>
              <w:left w:val="double" w:sz="4" w:space="0" w:color="auto"/>
            </w:tcBorders>
            <w:noWrap/>
            <w:vAlign w:val="bottom"/>
            <w:hideMark/>
          </w:tcPr>
          <w:p w14:paraId="1CF68B3E"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70</w:t>
            </w:r>
          </w:p>
        </w:tc>
        <w:tc>
          <w:tcPr>
            <w:tcW w:w="1080" w:type="dxa"/>
            <w:noWrap/>
            <w:vAlign w:val="bottom"/>
            <w:hideMark/>
          </w:tcPr>
          <w:p w14:paraId="39487ECC"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96.2%</w:t>
            </w:r>
          </w:p>
        </w:tc>
      </w:tr>
      <w:tr w:rsidR="00846E0A" w:rsidRPr="00846E0A" w14:paraId="63340E73" w14:textId="77777777" w:rsidTr="00FA0DC6">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4" w:type="dxa"/>
            <w:tcBorders>
              <w:bottom w:val="single" w:sz="8" w:space="0" w:color="7BA0CD" w:themeColor="accent1" w:themeTint="BF"/>
              <w:right w:val="double" w:sz="4" w:space="0" w:color="auto"/>
            </w:tcBorders>
            <w:noWrap/>
            <w:vAlign w:val="bottom"/>
            <w:hideMark/>
          </w:tcPr>
          <w:p w14:paraId="6DA19F3F" w14:textId="77777777" w:rsidR="00846E0A" w:rsidRPr="00846E0A" w:rsidRDefault="00846E0A" w:rsidP="00846E0A">
            <w:pPr>
              <w:spacing w:line="240" w:lineRule="auto"/>
              <w:rPr>
                <w:rFonts w:ascii="Calibri" w:eastAsia="Times New Roman" w:hAnsi="Calibri" w:cs="Times New Roman"/>
                <w:color w:val="000000"/>
                <w:sz w:val="22"/>
              </w:rPr>
            </w:pPr>
            <w:r w:rsidRPr="00846E0A">
              <w:rPr>
                <w:rFonts w:ascii="Calibri" w:eastAsia="Times New Roman" w:hAnsi="Calibri" w:cs="Times New Roman"/>
                <w:color w:val="000000"/>
                <w:sz w:val="22"/>
              </w:rPr>
              <w:t>Southeast</w:t>
            </w:r>
          </w:p>
        </w:tc>
        <w:tc>
          <w:tcPr>
            <w:tcW w:w="1405" w:type="dxa"/>
            <w:tcBorders>
              <w:left w:val="double" w:sz="4" w:space="0" w:color="auto"/>
              <w:bottom w:val="single" w:sz="8" w:space="0" w:color="7BA0CD" w:themeColor="accent1" w:themeTint="BF"/>
            </w:tcBorders>
            <w:noWrap/>
            <w:vAlign w:val="bottom"/>
            <w:hideMark/>
          </w:tcPr>
          <w:p w14:paraId="6C673177"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364</w:t>
            </w:r>
          </w:p>
        </w:tc>
        <w:tc>
          <w:tcPr>
            <w:tcW w:w="991" w:type="dxa"/>
            <w:tcBorders>
              <w:bottom w:val="single" w:sz="8" w:space="0" w:color="7BA0CD" w:themeColor="accent1" w:themeTint="BF"/>
              <w:right w:val="double" w:sz="4" w:space="0" w:color="auto"/>
            </w:tcBorders>
            <w:noWrap/>
            <w:vAlign w:val="bottom"/>
            <w:hideMark/>
          </w:tcPr>
          <w:p w14:paraId="4DE18C8E"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96.1%</w:t>
            </w:r>
          </w:p>
        </w:tc>
        <w:tc>
          <w:tcPr>
            <w:tcW w:w="1350" w:type="dxa"/>
            <w:tcBorders>
              <w:left w:val="double" w:sz="4" w:space="0" w:color="auto"/>
              <w:bottom w:val="single" w:sz="8" w:space="0" w:color="7BA0CD" w:themeColor="accent1" w:themeTint="BF"/>
            </w:tcBorders>
            <w:noWrap/>
            <w:vAlign w:val="bottom"/>
            <w:hideMark/>
          </w:tcPr>
          <w:p w14:paraId="60D9F3D5"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67</w:t>
            </w:r>
          </w:p>
        </w:tc>
        <w:tc>
          <w:tcPr>
            <w:tcW w:w="1080" w:type="dxa"/>
            <w:tcBorders>
              <w:bottom w:val="single" w:sz="8" w:space="0" w:color="7BA0CD" w:themeColor="accent1" w:themeTint="BF"/>
            </w:tcBorders>
            <w:noWrap/>
            <w:vAlign w:val="bottom"/>
            <w:hideMark/>
          </w:tcPr>
          <w:p w14:paraId="246C20D3"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97.7%</w:t>
            </w:r>
          </w:p>
        </w:tc>
      </w:tr>
      <w:tr w:rsidR="00846E0A" w:rsidRPr="00846E0A" w14:paraId="646937DA" w14:textId="77777777" w:rsidTr="00FA0DC6">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324" w:type="dxa"/>
            <w:tcBorders>
              <w:bottom w:val="double" w:sz="4" w:space="0" w:color="auto"/>
              <w:right w:val="double" w:sz="4" w:space="0" w:color="auto"/>
            </w:tcBorders>
            <w:noWrap/>
            <w:vAlign w:val="bottom"/>
            <w:hideMark/>
          </w:tcPr>
          <w:p w14:paraId="5F1B3CC6" w14:textId="77777777" w:rsidR="00846E0A" w:rsidRPr="00846E0A" w:rsidRDefault="00846E0A" w:rsidP="00846E0A">
            <w:pPr>
              <w:spacing w:line="240" w:lineRule="auto"/>
              <w:rPr>
                <w:rFonts w:ascii="Calibri" w:eastAsia="Times New Roman" w:hAnsi="Calibri" w:cs="Times New Roman"/>
                <w:color w:val="000000"/>
                <w:sz w:val="22"/>
              </w:rPr>
            </w:pPr>
            <w:r w:rsidRPr="00846E0A">
              <w:rPr>
                <w:rFonts w:ascii="Calibri" w:eastAsia="Times New Roman" w:hAnsi="Calibri" w:cs="Times New Roman"/>
                <w:color w:val="000000"/>
                <w:sz w:val="22"/>
              </w:rPr>
              <w:t>Southern</w:t>
            </w:r>
          </w:p>
        </w:tc>
        <w:tc>
          <w:tcPr>
            <w:tcW w:w="1405" w:type="dxa"/>
            <w:tcBorders>
              <w:left w:val="double" w:sz="4" w:space="0" w:color="auto"/>
              <w:bottom w:val="double" w:sz="4" w:space="0" w:color="auto"/>
            </w:tcBorders>
            <w:noWrap/>
            <w:vAlign w:val="bottom"/>
            <w:hideMark/>
          </w:tcPr>
          <w:p w14:paraId="32F76075"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290</w:t>
            </w:r>
          </w:p>
        </w:tc>
        <w:tc>
          <w:tcPr>
            <w:tcW w:w="991" w:type="dxa"/>
            <w:tcBorders>
              <w:bottom w:val="double" w:sz="4" w:space="0" w:color="auto"/>
              <w:right w:val="double" w:sz="4" w:space="0" w:color="auto"/>
            </w:tcBorders>
            <w:noWrap/>
            <w:vAlign w:val="bottom"/>
            <w:hideMark/>
          </w:tcPr>
          <w:p w14:paraId="573C2AE4"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95.2%</w:t>
            </w:r>
          </w:p>
        </w:tc>
        <w:tc>
          <w:tcPr>
            <w:tcW w:w="1350" w:type="dxa"/>
            <w:tcBorders>
              <w:left w:val="double" w:sz="4" w:space="0" w:color="auto"/>
              <w:bottom w:val="double" w:sz="4" w:space="0" w:color="auto"/>
            </w:tcBorders>
            <w:noWrap/>
            <w:vAlign w:val="bottom"/>
            <w:hideMark/>
          </w:tcPr>
          <w:p w14:paraId="3A46441F"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55</w:t>
            </w:r>
          </w:p>
        </w:tc>
        <w:tc>
          <w:tcPr>
            <w:tcW w:w="1080" w:type="dxa"/>
            <w:tcBorders>
              <w:bottom w:val="double" w:sz="4" w:space="0" w:color="auto"/>
            </w:tcBorders>
            <w:noWrap/>
            <w:vAlign w:val="bottom"/>
            <w:hideMark/>
          </w:tcPr>
          <w:p w14:paraId="34B02431" w14:textId="77777777" w:rsidR="00846E0A" w:rsidRPr="00846E0A" w:rsidRDefault="00846E0A" w:rsidP="00846E0A">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98.0%</w:t>
            </w:r>
          </w:p>
        </w:tc>
      </w:tr>
      <w:tr w:rsidR="00846E0A" w:rsidRPr="00846E0A" w14:paraId="69F9F8D7" w14:textId="77777777" w:rsidTr="00FA0DC6">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324" w:type="dxa"/>
            <w:tcBorders>
              <w:top w:val="double" w:sz="4" w:space="0" w:color="auto"/>
              <w:right w:val="double" w:sz="4" w:space="0" w:color="auto"/>
            </w:tcBorders>
            <w:noWrap/>
            <w:vAlign w:val="bottom"/>
            <w:hideMark/>
          </w:tcPr>
          <w:p w14:paraId="33908E0C" w14:textId="77777777" w:rsidR="00846E0A" w:rsidRPr="00846E0A" w:rsidRDefault="00846E0A" w:rsidP="00846E0A">
            <w:pPr>
              <w:spacing w:line="240" w:lineRule="auto"/>
              <w:rPr>
                <w:rFonts w:ascii="Calibri" w:eastAsia="Times New Roman" w:hAnsi="Calibri" w:cs="Times New Roman"/>
                <w:color w:val="000000"/>
                <w:sz w:val="22"/>
              </w:rPr>
            </w:pPr>
            <w:r w:rsidRPr="00846E0A">
              <w:rPr>
                <w:rFonts w:ascii="Calibri" w:eastAsia="Times New Roman" w:hAnsi="Calibri" w:cs="Times New Roman"/>
                <w:color w:val="000000"/>
                <w:sz w:val="22"/>
              </w:rPr>
              <w:t xml:space="preserve">State </w:t>
            </w:r>
          </w:p>
        </w:tc>
        <w:tc>
          <w:tcPr>
            <w:tcW w:w="1405" w:type="dxa"/>
            <w:tcBorders>
              <w:top w:val="double" w:sz="4" w:space="0" w:color="auto"/>
              <w:left w:val="double" w:sz="4" w:space="0" w:color="auto"/>
            </w:tcBorders>
            <w:noWrap/>
            <w:vAlign w:val="bottom"/>
            <w:hideMark/>
          </w:tcPr>
          <w:p w14:paraId="4BA632C2"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1,563</w:t>
            </w:r>
          </w:p>
        </w:tc>
        <w:tc>
          <w:tcPr>
            <w:tcW w:w="991" w:type="dxa"/>
            <w:tcBorders>
              <w:top w:val="double" w:sz="4" w:space="0" w:color="auto"/>
              <w:right w:val="double" w:sz="4" w:space="0" w:color="auto"/>
            </w:tcBorders>
            <w:noWrap/>
            <w:vAlign w:val="bottom"/>
            <w:hideMark/>
          </w:tcPr>
          <w:p w14:paraId="41F6127F"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96.0%</w:t>
            </w:r>
          </w:p>
        </w:tc>
        <w:tc>
          <w:tcPr>
            <w:tcW w:w="1350" w:type="dxa"/>
            <w:tcBorders>
              <w:top w:val="double" w:sz="4" w:space="0" w:color="auto"/>
              <w:left w:val="double" w:sz="4" w:space="0" w:color="auto"/>
            </w:tcBorders>
            <w:noWrap/>
            <w:vAlign w:val="bottom"/>
            <w:hideMark/>
          </w:tcPr>
          <w:p w14:paraId="183059B2"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345</w:t>
            </w:r>
          </w:p>
        </w:tc>
        <w:tc>
          <w:tcPr>
            <w:tcW w:w="1080" w:type="dxa"/>
            <w:tcBorders>
              <w:top w:val="double" w:sz="4" w:space="0" w:color="auto"/>
            </w:tcBorders>
            <w:noWrap/>
            <w:vAlign w:val="bottom"/>
            <w:hideMark/>
          </w:tcPr>
          <w:p w14:paraId="11EDC70D" w14:textId="77777777" w:rsidR="00846E0A" w:rsidRPr="00846E0A" w:rsidRDefault="00846E0A" w:rsidP="00846E0A">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846E0A">
              <w:rPr>
                <w:rFonts w:ascii="Calibri" w:eastAsia="Times New Roman" w:hAnsi="Calibri" w:cs="Times New Roman"/>
                <w:color w:val="000000"/>
                <w:sz w:val="22"/>
              </w:rPr>
              <w:t>96.9%</w:t>
            </w:r>
          </w:p>
        </w:tc>
      </w:tr>
    </w:tbl>
    <w:p w14:paraId="488E7644" w14:textId="77777777" w:rsidR="009F7BEB" w:rsidRDefault="009F7BEB" w:rsidP="003649E9">
      <w:pPr>
        <w:spacing w:line="240" w:lineRule="auto"/>
      </w:pPr>
    </w:p>
    <w:p w14:paraId="2C300B49" w14:textId="77777777" w:rsidR="003649E9" w:rsidRDefault="003649E9" w:rsidP="001B6245">
      <w:pPr>
        <w:pStyle w:val="Heading3"/>
      </w:pPr>
      <w:bookmarkStart w:id="60" w:name="_Toc369864682"/>
      <w:bookmarkStart w:id="61" w:name="_Toc459080649"/>
      <w:r>
        <w:lastRenderedPageBreak/>
        <w:t>Service Specific Record Review Results (SSRR)</w:t>
      </w:r>
      <w:bookmarkEnd w:id="60"/>
      <w:bookmarkEnd w:id="61"/>
    </w:p>
    <w:p w14:paraId="4A2DAD43" w14:textId="5B039FE8" w:rsidR="003649E9" w:rsidRDefault="003649E9" w:rsidP="003649E9">
      <w:r w:rsidRPr="0040794C">
        <w:t>During the PDR, a sample of individuals is used to review records for each service offered by the provider.  The number of records reviewed depends upon the size of the organization and the number of services provided.  At least one record per service is reviewed, a minimum of 10 records for larger</w:t>
      </w:r>
      <w:r>
        <w:t xml:space="preserve"> providers (caseload of 200 or more).  T</w:t>
      </w:r>
      <w:r w:rsidRPr="00D72C67">
        <w:t>he SSRR tool includes a review of stand</w:t>
      </w:r>
      <w:r>
        <w:t xml:space="preserve">ards specific to each service. There were </w:t>
      </w:r>
      <w:r w:rsidR="00C55A85">
        <w:t>2,209</w:t>
      </w:r>
      <w:r>
        <w:t xml:space="preserve"> </w:t>
      </w:r>
      <w:r w:rsidRPr="00D72C67">
        <w:t>SSRRs</w:t>
      </w:r>
      <w:r w:rsidRPr="001C244A">
        <w:t xml:space="preserve"> </w:t>
      </w:r>
      <w:r>
        <w:t xml:space="preserve">completed </w:t>
      </w:r>
      <w:r w:rsidR="00341DD6">
        <w:t xml:space="preserve">between January and </w:t>
      </w:r>
      <w:r w:rsidR="00C55A85">
        <w:t>June</w:t>
      </w:r>
      <w:r w:rsidR="00341DD6">
        <w:t xml:space="preserve"> 2016 </w:t>
      </w:r>
      <w:r>
        <w:t xml:space="preserve">as part of the </w:t>
      </w:r>
      <w:r w:rsidR="00C55A85">
        <w:t>668</w:t>
      </w:r>
      <w:r>
        <w:t xml:space="preserve"> PDRs for service providers and </w:t>
      </w:r>
      <w:r w:rsidR="00C55A85">
        <w:t>993</w:t>
      </w:r>
      <w:r>
        <w:t xml:space="preserve"> SSRRs completed as part of </w:t>
      </w:r>
      <w:r w:rsidRPr="00C55A85">
        <w:t xml:space="preserve">the </w:t>
      </w:r>
      <w:r w:rsidR="00C55A85">
        <w:t>265</w:t>
      </w:r>
      <w:r w:rsidR="00D63EF5">
        <w:t xml:space="preserve"> WSC PDRs. All WSCs </w:t>
      </w:r>
      <w:r w:rsidR="00740629">
        <w:t xml:space="preserve">had </w:t>
      </w:r>
      <w:r w:rsidR="00D63EF5">
        <w:t xml:space="preserve">two records </w:t>
      </w:r>
      <w:r>
        <w:t>reviewed as part of the PCR</w:t>
      </w:r>
      <w:r w:rsidR="00D63EF5">
        <w:t>.  These</w:t>
      </w:r>
      <w:r>
        <w:t xml:space="preserve"> are included in the WSC PDR</w:t>
      </w:r>
      <w:r w:rsidR="00D63EF5">
        <w:t xml:space="preserve"> and are</w:t>
      </w:r>
      <w:r>
        <w:t xml:space="preserve"> supplemented with additional unannounced records requested at the time of the review.     </w:t>
      </w:r>
    </w:p>
    <w:p w14:paraId="244BF046" w14:textId="77777777" w:rsidR="00D63EF5" w:rsidRDefault="00D63EF5" w:rsidP="003649E9"/>
    <w:p w14:paraId="03A554CB" w14:textId="6C10B4B9" w:rsidR="00D63EF5" w:rsidRDefault="00D63EF5" w:rsidP="00D63EF5">
      <w:r w:rsidRPr="001B2B71">
        <w:t xml:space="preserve">SSRR results are presented by service in Figure </w:t>
      </w:r>
      <w:r>
        <w:t>1</w:t>
      </w:r>
      <w:r w:rsidR="00C55A85">
        <w:t>3</w:t>
      </w:r>
      <w:r>
        <w:t xml:space="preserve"> and by region in Table 22</w:t>
      </w:r>
      <w:r w:rsidRPr="001B2B71">
        <w:t xml:space="preserve">.  </w:t>
      </w:r>
      <w:r>
        <w:t xml:space="preserve">Because many of the standards have a weight of more than one, for regional comparisons we provide both the weighted </w:t>
      </w:r>
      <w:r w:rsidR="00C55A85">
        <w:t xml:space="preserve">score </w:t>
      </w:r>
      <w:r w:rsidRPr="00E15522">
        <w:t xml:space="preserve">and the percent of standards scored as met, </w:t>
      </w:r>
      <w:r w:rsidR="00CB0546">
        <w:t>the</w:t>
      </w:r>
      <w:r w:rsidRPr="00E15522">
        <w:t xml:space="preserve"> unweighted score.  </w:t>
      </w:r>
      <w:r>
        <w:t>Data gathered to date indicate</w:t>
      </w:r>
      <w:r w:rsidRPr="00E15522">
        <w:t>:</w:t>
      </w:r>
    </w:p>
    <w:p w14:paraId="2729B083" w14:textId="77777777" w:rsidR="00D63EF5" w:rsidRDefault="00D63EF5" w:rsidP="00D63EF5"/>
    <w:p w14:paraId="78B2A40B" w14:textId="523F79E9" w:rsidR="00D63EF5" w:rsidRPr="00890EAE" w:rsidRDefault="00D63EF5" w:rsidP="00D63EF5">
      <w:pPr>
        <w:pStyle w:val="ListParagraph"/>
        <w:numPr>
          <w:ilvl w:val="0"/>
          <w:numId w:val="11"/>
        </w:numPr>
      </w:pPr>
      <w:r w:rsidRPr="00890EAE">
        <w:t>On average, providers and WSCs have performed well on Service Specific requirements</w:t>
      </w:r>
      <w:r w:rsidR="00890EAE" w:rsidRPr="00890EAE">
        <w:t>, approximately 93 percent and 94 percent met respectively</w:t>
      </w:r>
    </w:p>
    <w:p w14:paraId="197445E4" w14:textId="45DE4BCC" w:rsidR="00D63EF5" w:rsidRPr="00C93A72" w:rsidRDefault="00890EAE" w:rsidP="00D63EF5">
      <w:pPr>
        <w:pStyle w:val="ListParagraph"/>
        <w:numPr>
          <w:ilvl w:val="0"/>
          <w:numId w:val="11"/>
        </w:numPr>
      </w:pPr>
      <w:r>
        <w:t>Through the first two quarters of the year, there is little variation across services or regions</w:t>
      </w:r>
    </w:p>
    <w:p w14:paraId="104D6195" w14:textId="77777777" w:rsidR="00D63EF5" w:rsidRDefault="00D63EF5" w:rsidP="003649E9"/>
    <w:p w14:paraId="5FEF751C" w14:textId="7AC15E4E" w:rsidR="003649E9" w:rsidRDefault="00C55A85" w:rsidP="003649E9">
      <w:pPr>
        <w:spacing w:line="240" w:lineRule="auto"/>
        <w:jc w:val="center"/>
      </w:pPr>
      <w:r>
        <w:rPr>
          <w:noProof/>
        </w:rPr>
        <w:lastRenderedPageBreak/>
        <w:drawing>
          <wp:inline distT="0" distB="0" distL="0" distR="0" wp14:anchorId="674BDA0F" wp14:editId="67CF3062">
            <wp:extent cx="5756744" cy="3681454"/>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06C8E5D" w14:textId="77777777" w:rsidR="003649E9" w:rsidRDefault="003649E9" w:rsidP="003649E9"/>
    <w:p w14:paraId="51A6B15B" w14:textId="77777777" w:rsidR="003649E9" w:rsidRDefault="003649E9" w:rsidP="003649E9"/>
    <w:tbl>
      <w:tblPr>
        <w:tblW w:w="9558" w:type="dxa"/>
        <w:tblInd w:w="18" w:type="dxa"/>
        <w:tblLook w:val="04A0" w:firstRow="1" w:lastRow="0" w:firstColumn="1" w:lastColumn="0" w:noHBand="0" w:noVBand="1"/>
      </w:tblPr>
      <w:tblGrid>
        <w:gridCol w:w="1170"/>
        <w:gridCol w:w="1292"/>
        <w:gridCol w:w="1508"/>
        <w:gridCol w:w="1448"/>
        <w:gridCol w:w="1448"/>
        <w:gridCol w:w="1264"/>
        <w:gridCol w:w="1428"/>
      </w:tblGrid>
      <w:tr w:rsidR="003649E9" w:rsidRPr="00024484" w14:paraId="1F2E7DEF" w14:textId="77777777" w:rsidTr="003649E9">
        <w:trPr>
          <w:trHeight w:val="315"/>
        </w:trPr>
        <w:tc>
          <w:tcPr>
            <w:tcW w:w="9558" w:type="dxa"/>
            <w:gridSpan w:val="7"/>
            <w:tcBorders>
              <w:top w:val="single" w:sz="12" w:space="0" w:color="auto"/>
              <w:left w:val="single" w:sz="12" w:space="0" w:color="auto"/>
              <w:bottom w:val="single" w:sz="4" w:space="0" w:color="auto"/>
              <w:right w:val="single" w:sz="12" w:space="0" w:color="000000"/>
            </w:tcBorders>
            <w:shd w:val="clear" w:color="000000" w:fill="31869B"/>
            <w:vAlign w:val="bottom"/>
            <w:hideMark/>
          </w:tcPr>
          <w:p w14:paraId="02EED358" w14:textId="77777777" w:rsidR="003649E9" w:rsidRPr="00A51BC3" w:rsidRDefault="003649E9" w:rsidP="003649E9">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 xml:space="preserve">Table 22:  PDR Service Specific Record Review Results by Region                                            </w:t>
            </w:r>
          </w:p>
        </w:tc>
      </w:tr>
      <w:tr w:rsidR="003649E9" w:rsidRPr="00024484" w14:paraId="42B46DA5" w14:textId="77777777" w:rsidTr="003649E9">
        <w:trPr>
          <w:trHeight w:val="315"/>
        </w:trPr>
        <w:tc>
          <w:tcPr>
            <w:tcW w:w="9558" w:type="dxa"/>
            <w:gridSpan w:val="7"/>
            <w:tcBorders>
              <w:top w:val="single" w:sz="4" w:space="0" w:color="auto"/>
              <w:left w:val="single" w:sz="12" w:space="0" w:color="auto"/>
              <w:bottom w:val="single" w:sz="4" w:space="0" w:color="auto"/>
              <w:right w:val="single" w:sz="12" w:space="0" w:color="000000"/>
            </w:tcBorders>
            <w:shd w:val="clear" w:color="000000" w:fill="31869B"/>
            <w:noWrap/>
            <w:vAlign w:val="bottom"/>
            <w:hideMark/>
          </w:tcPr>
          <w:p w14:paraId="55A1FEAF" w14:textId="2788D2B2" w:rsidR="003649E9" w:rsidRPr="00A51BC3" w:rsidRDefault="003649E9" w:rsidP="00EB44DB">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 xml:space="preserve">January – </w:t>
            </w:r>
            <w:r w:rsidR="00EB44DB">
              <w:rPr>
                <w:rFonts w:ascii="Franklin Gothic Medium" w:eastAsia="Times New Roman" w:hAnsi="Franklin Gothic Medium" w:cs="Times New Roman"/>
                <w:bCs/>
                <w:color w:val="FFFFFF"/>
                <w:szCs w:val="24"/>
              </w:rPr>
              <w:t>June</w:t>
            </w:r>
            <w:r w:rsidRPr="00A51BC3">
              <w:rPr>
                <w:rFonts w:ascii="Franklin Gothic Medium" w:eastAsia="Times New Roman" w:hAnsi="Franklin Gothic Medium" w:cs="Times New Roman"/>
                <w:bCs/>
                <w:color w:val="FFFFFF"/>
                <w:szCs w:val="24"/>
              </w:rPr>
              <w:t xml:space="preserve"> 2016</w:t>
            </w:r>
          </w:p>
        </w:tc>
      </w:tr>
      <w:tr w:rsidR="003649E9" w:rsidRPr="00024484" w14:paraId="756E19DD" w14:textId="77777777" w:rsidTr="003649E9">
        <w:trPr>
          <w:trHeight w:val="278"/>
        </w:trPr>
        <w:tc>
          <w:tcPr>
            <w:tcW w:w="1170" w:type="dxa"/>
            <w:tcBorders>
              <w:top w:val="nil"/>
              <w:left w:val="single" w:sz="12" w:space="0" w:color="auto"/>
              <w:bottom w:val="single" w:sz="4" w:space="0" w:color="auto"/>
              <w:right w:val="nil"/>
            </w:tcBorders>
            <w:shd w:val="clear" w:color="000000" w:fill="BFBFBF"/>
            <w:noWrap/>
            <w:vAlign w:val="bottom"/>
            <w:hideMark/>
          </w:tcPr>
          <w:p w14:paraId="1EDF2644" w14:textId="77777777" w:rsidR="003649E9" w:rsidRPr="00A51BC3" w:rsidRDefault="003649E9" w:rsidP="003649E9">
            <w:pPr>
              <w:spacing w:line="240" w:lineRule="auto"/>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 </w:t>
            </w:r>
          </w:p>
        </w:tc>
        <w:tc>
          <w:tcPr>
            <w:tcW w:w="4248" w:type="dxa"/>
            <w:gridSpan w:val="3"/>
            <w:tcBorders>
              <w:top w:val="single" w:sz="4" w:space="0" w:color="auto"/>
              <w:left w:val="double" w:sz="6" w:space="0" w:color="auto"/>
              <w:bottom w:val="single" w:sz="4" w:space="0" w:color="auto"/>
              <w:right w:val="double" w:sz="6" w:space="0" w:color="000000"/>
            </w:tcBorders>
            <w:shd w:val="clear" w:color="000000" w:fill="BFBFBF"/>
            <w:noWrap/>
            <w:vAlign w:val="bottom"/>
            <w:hideMark/>
          </w:tcPr>
          <w:p w14:paraId="71CBB194" w14:textId="77777777" w:rsidR="003649E9" w:rsidRPr="00A51BC3" w:rsidRDefault="003649E9" w:rsidP="003649E9">
            <w:pPr>
              <w:spacing w:line="240" w:lineRule="auto"/>
              <w:jc w:val="center"/>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Service Providers</w:t>
            </w:r>
          </w:p>
        </w:tc>
        <w:tc>
          <w:tcPr>
            <w:tcW w:w="4140" w:type="dxa"/>
            <w:gridSpan w:val="3"/>
            <w:tcBorders>
              <w:top w:val="single" w:sz="4" w:space="0" w:color="auto"/>
              <w:left w:val="nil"/>
              <w:bottom w:val="single" w:sz="4" w:space="0" w:color="auto"/>
              <w:right w:val="single" w:sz="12" w:space="0" w:color="000000"/>
            </w:tcBorders>
            <w:shd w:val="clear" w:color="000000" w:fill="BFBFBF"/>
            <w:noWrap/>
            <w:vAlign w:val="bottom"/>
            <w:hideMark/>
          </w:tcPr>
          <w:p w14:paraId="2E68616B" w14:textId="77777777" w:rsidR="003649E9" w:rsidRPr="00A51BC3" w:rsidRDefault="003649E9" w:rsidP="003649E9">
            <w:pPr>
              <w:spacing w:line="240" w:lineRule="auto"/>
              <w:jc w:val="center"/>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WSCs</w:t>
            </w:r>
          </w:p>
        </w:tc>
      </w:tr>
      <w:tr w:rsidR="003649E9" w:rsidRPr="00024484" w14:paraId="570641A7" w14:textId="77777777" w:rsidTr="003649E9">
        <w:trPr>
          <w:trHeight w:val="530"/>
        </w:trPr>
        <w:tc>
          <w:tcPr>
            <w:tcW w:w="1170" w:type="dxa"/>
            <w:tcBorders>
              <w:top w:val="nil"/>
              <w:left w:val="single" w:sz="12" w:space="0" w:color="auto"/>
              <w:bottom w:val="single" w:sz="4" w:space="0" w:color="auto"/>
              <w:right w:val="nil"/>
            </w:tcBorders>
            <w:shd w:val="clear" w:color="000000" w:fill="31869B"/>
            <w:noWrap/>
            <w:vAlign w:val="bottom"/>
            <w:hideMark/>
          </w:tcPr>
          <w:p w14:paraId="1BE324E1" w14:textId="77777777" w:rsidR="003649E9" w:rsidRPr="00A51BC3" w:rsidRDefault="003649E9" w:rsidP="003649E9">
            <w:pPr>
              <w:spacing w:line="240" w:lineRule="auto"/>
              <w:rPr>
                <w:rFonts w:ascii="Franklin Gothic Medium" w:eastAsia="Times New Roman" w:hAnsi="Franklin Gothic Medium" w:cs="Times New Roman"/>
                <w:color w:val="FFFFFF"/>
                <w:szCs w:val="24"/>
              </w:rPr>
            </w:pPr>
            <w:r w:rsidRPr="00A51BC3">
              <w:rPr>
                <w:rFonts w:ascii="Franklin Gothic Medium" w:eastAsia="Times New Roman" w:hAnsi="Franklin Gothic Medium" w:cs="Times New Roman"/>
                <w:color w:val="FFFFFF"/>
                <w:szCs w:val="24"/>
              </w:rPr>
              <w:t>Region</w:t>
            </w:r>
          </w:p>
        </w:tc>
        <w:tc>
          <w:tcPr>
            <w:tcW w:w="1292" w:type="dxa"/>
            <w:tcBorders>
              <w:top w:val="nil"/>
              <w:left w:val="double" w:sz="6" w:space="0" w:color="auto"/>
              <w:bottom w:val="single" w:sz="4" w:space="0" w:color="auto"/>
              <w:right w:val="nil"/>
            </w:tcBorders>
            <w:shd w:val="clear" w:color="000000" w:fill="31869B"/>
            <w:vAlign w:val="bottom"/>
            <w:hideMark/>
          </w:tcPr>
          <w:p w14:paraId="740A8D4C" w14:textId="77777777" w:rsidR="003649E9" w:rsidRPr="00A51BC3" w:rsidRDefault="003649E9" w:rsidP="003649E9">
            <w:pPr>
              <w:spacing w:line="240" w:lineRule="auto"/>
              <w:jc w:val="center"/>
              <w:rPr>
                <w:rFonts w:ascii="Franklin Gothic Medium" w:eastAsia="Times New Roman" w:hAnsi="Franklin Gothic Medium" w:cs="Times New Roman"/>
                <w:color w:val="FFFFFF"/>
                <w:szCs w:val="24"/>
              </w:rPr>
            </w:pPr>
            <w:r w:rsidRPr="00A51BC3">
              <w:rPr>
                <w:rFonts w:ascii="Franklin Gothic Medium" w:eastAsia="Times New Roman" w:hAnsi="Franklin Gothic Medium" w:cs="Times New Roman"/>
                <w:color w:val="FFFFFF"/>
                <w:szCs w:val="24"/>
              </w:rPr>
              <w:t># Records Reviewed</w:t>
            </w:r>
          </w:p>
        </w:tc>
        <w:tc>
          <w:tcPr>
            <w:tcW w:w="1508" w:type="dxa"/>
            <w:tcBorders>
              <w:top w:val="nil"/>
              <w:left w:val="nil"/>
              <w:bottom w:val="single" w:sz="4" w:space="0" w:color="auto"/>
              <w:right w:val="nil"/>
            </w:tcBorders>
            <w:shd w:val="clear" w:color="000000" w:fill="31869B"/>
            <w:vAlign w:val="bottom"/>
            <w:hideMark/>
          </w:tcPr>
          <w:p w14:paraId="53DB9A57" w14:textId="77777777" w:rsidR="003649E9" w:rsidRPr="00A51BC3" w:rsidRDefault="003649E9" w:rsidP="003649E9">
            <w:pPr>
              <w:spacing w:line="240" w:lineRule="auto"/>
              <w:jc w:val="center"/>
              <w:rPr>
                <w:rFonts w:ascii="Franklin Gothic Medium" w:eastAsia="Times New Roman" w:hAnsi="Franklin Gothic Medium" w:cs="Times New Roman"/>
                <w:color w:val="FFFFFF"/>
                <w:szCs w:val="24"/>
              </w:rPr>
            </w:pPr>
            <w:r w:rsidRPr="00A51BC3">
              <w:rPr>
                <w:rFonts w:ascii="Franklin Gothic Medium" w:eastAsia="Times New Roman" w:hAnsi="Franklin Gothic Medium" w:cs="Times New Roman"/>
                <w:color w:val="FFFFFF"/>
                <w:szCs w:val="24"/>
              </w:rPr>
              <w:t>Weighted Score</w:t>
            </w:r>
          </w:p>
        </w:tc>
        <w:tc>
          <w:tcPr>
            <w:tcW w:w="1448" w:type="dxa"/>
            <w:tcBorders>
              <w:top w:val="nil"/>
              <w:left w:val="nil"/>
              <w:bottom w:val="single" w:sz="4" w:space="0" w:color="auto"/>
              <w:right w:val="double" w:sz="6" w:space="0" w:color="auto"/>
            </w:tcBorders>
            <w:shd w:val="clear" w:color="000000" w:fill="31869B"/>
            <w:vAlign w:val="bottom"/>
            <w:hideMark/>
          </w:tcPr>
          <w:p w14:paraId="2ABCCD81" w14:textId="77777777" w:rsidR="003649E9" w:rsidRPr="00A51BC3" w:rsidRDefault="003649E9" w:rsidP="003649E9">
            <w:pPr>
              <w:spacing w:line="240" w:lineRule="auto"/>
              <w:jc w:val="center"/>
              <w:rPr>
                <w:rFonts w:ascii="Franklin Gothic Medium" w:eastAsia="Times New Roman" w:hAnsi="Franklin Gothic Medium" w:cs="Times New Roman"/>
                <w:color w:val="FFFFFF"/>
                <w:szCs w:val="24"/>
              </w:rPr>
            </w:pPr>
            <w:r w:rsidRPr="00A51BC3">
              <w:rPr>
                <w:rFonts w:ascii="Franklin Gothic Medium" w:eastAsia="Times New Roman" w:hAnsi="Franklin Gothic Medium" w:cs="Times New Roman"/>
                <w:color w:val="FFFFFF"/>
                <w:szCs w:val="24"/>
              </w:rPr>
              <w:t>Unweighted Score</w:t>
            </w:r>
          </w:p>
        </w:tc>
        <w:tc>
          <w:tcPr>
            <w:tcW w:w="1448" w:type="dxa"/>
            <w:tcBorders>
              <w:top w:val="single" w:sz="4" w:space="0" w:color="auto"/>
              <w:left w:val="nil"/>
              <w:bottom w:val="single" w:sz="4" w:space="0" w:color="auto"/>
              <w:right w:val="nil"/>
            </w:tcBorders>
            <w:shd w:val="clear" w:color="000000" w:fill="31869B"/>
            <w:vAlign w:val="bottom"/>
            <w:hideMark/>
          </w:tcPr>
          <w:p w14:paraId="282495CC" w14:textId="77777777" w:rsidR="003649E9" w:rsidRPr="00A51BC3" w:rsidRDefault="003649E9" w:rsidP="003649E9">
            <w:pPr>
              <w:spacing w:line="240" w:lineRule="auto"/>
              <w:jc w:val="center"/>
              <w:rPr>
                <w:rFonts w:ascii="Franklin Gothic Medium" w:eastAsia="Times New Roman" w:hAnsi="Franklin Gothic Medium" w:cs="Times New Roman"/>
                <w:color w:val="FFFFFF"/>
                <w:szCs w:val="24"/>
              </w:rPr>
            </w:pPr>
            <w:r w:rsidRPr="00A51BC3">
              <w:rPr>
                <w:rFonts w:ascii="Franklin Gothic Medium" w:eastAsia="Times New Roman" w:hAnsi="Franklin Gothic Medium" w:cs="Times New Roman"/>
                <w:color w:val="FFFFFF"/>
                <w:szCs w:val="24"/>
              </w:rPr>
              <w:t># Records Reviewed</w:t>
            </w:r>
          </w:p>
        </w:tc>
        <w:tc>
          <w:tcPr>
            <w:tcW w:w="1264" w:type="dxa"/>
            <w:tcBorders>
              <w:top w:val="single" w:sz="4" w:space="0" w:color="auto"/>
              <w:left w:val="nil"/>
              <w:bottom w:val="single" w:sz="4" w:space="0" w:color="auto"/>
              <w:right w:val="nil"/>
            </w:tcBorders>
            <w:shd w:val="clear" w:color="000000" w:fill="31869B"/>
            <w:vAlign w:val="bottom"/>
            <w:hideMark/>
          </w:tcPr>
          <w:p w14:paraId="1E9374F9" w14:textId="77777777" w:rsidR="003649E9" w:rsidRPr="00A51BC3" w:rsidRDefault="003649E9" w:rsidP="003649E9">
            <w:pPr>
              <w:spacing w:line="240" w:lineRule="auto"/>
              <w:jc w:val="center"/>
              <w:rPr>
                <w:rFonts w:ascii="Franklin Gothic Medium" w:eastAsia="Times New Roman" w:hAnsi="Franklin Gothic Medium" w:cs="Times New Roman"/>
                <w:color w:val="FFFFFF"/>
                <w:szCs w:val="24"/>
              </w:rPr>
            </w:pPr>
            <w:r w:rsidRPr="00A51BC3">
              <w:rPr>
                <w:rFonts w:ascii="Franklin Gothic Medium" w:eastAsia="Times New Roman" w:hAnsi="Franklin Gothic Medium" w:cs="Times New Roman"/>
                <w:color w:val="FFFFFF"/>
                <w:szCs w:val="24"/>
              </w:rPr>
              <w:t>Weighted Score</w:t>
            </w:r>
          </w:p>
        </w:tc>
        <w:tc>
          <w:tcPr>
            <w:tcW w:w="1428" w:type="dxa"/>
            <w:tcBorders>
              <w:top w:val="nil"/>
              <w:left w:val="nil"/>
              <w:bottom w:val="single" w:sz="4" w:space="0" w:color="auto"/>
              <w:right w:val="single" w:sz="12" w:space="0" w:color="auto"/>
            </w:tcBorders>
            <w:shd w:val="clear" w:color="000000" w:fill="31869B"/>
            <w:vAlign w:val="bottom"/>
            <w:hideMark/>
          </w:tcPr>
          <w:p w14:paraId="19FB4156" w14:textId="77777777" w:rsidR="003649E9" w:rsidRPr="00A51BC3" w:rsidRDefault="003649E9" w:rsidP="003649E9">
            <w:pPr>
              <w:spacing w:line="240" w:lineRule="auto"/>
              <w:jc w:val="center"/>
              <w:rPr>
                <w:rFonts w:ascii="Franklin Gothic Medium" w:eastAsia="Times New Roman" w:hAnsi="Franklin Gothic Medium" w:cs="Times New Roman"/>
                <w:color w:val="FFFFFF"/>
                <w:szCs w:val="24"/>
              </w:rPr>
            </w:pPr>
            <w:r w:rsidRPr="00A51BC3">
              <w:rPr>
                <w:rFonts w:ascii="Franklin Gothic Medium" w:eastAsia="Times New Roman" w:hAnsi="Franklin Gothic Medium" w:cs="Times New Roman"/>
                <w:color w:val="FFFFFF"/>
                <w:szCs w:val="24"/>
              </w:rPr>
              <w:t>Unweighted Score</w:t>
            </w:r>
          </w:p>
        </w:tc>
      </w:tr>
      <w:tr w:rsidR="00EB44DB" w:rsidRPr="00024484" w14:paraId="5B0E6169" w14:textId="77777777" w:rsidTr="00EB44DB">
        <w:trPr>
          <w:trHeight w:val="300"/>
        </w:trPr>
        <w:tc>
          <w:tcPr>
            <w:tcW w:w="1170" w:type="dxa"/>
            <w:tcBorders>
              <w:top w:val="nil"/>
              <w:left w:val="single" w:sz="12" w:space="0" w:color="auto"/>
              <w:bottom w:val="single" w:sz="4" w:space="0" w:color="auto"/>
              <w:right w:val="nil"/>
            </w:tcBorders>
            <w:shd w:val="clear" w:color="auto" w:fill="auto"/>
            <w:noWrap/>
            <w:vAlign w:val="bottom"/>
            <w:hideMark/>
          </w:tcPr>
          <w:p w14:paraId="26119376" w14:textId="77777777" w:rsidR="00EB44DB" w:rsidRPr="00024484" w:rsidRDefault="00EB44DB" w:rsidP="00EB44DB">
            <w:pPr>
              <w:spacing w:line="240" w:lineRule="auto"/>
              <w:rPr>
                <w:rFonts w:ascii="Calibri" w:eastAsia="Times New Roman" w:hAnsi="Calibri" w:cs="Times New Roman"/>
                <w:color w:val="000000"/>
                <w:sz w:val="22"/>
              </w:rPr>
            </w:pPr>
            <w:r w:rsidRPr="00024484">
              <w:rPr>
                <w:rFonts w:ascii="Calibri" w:eastAsia="Times New Roman" w:hAnsi="Calibri" w:cs="Times New Roman"/>
                <w:color w:val="000000"/>
                <w:sz w:val="22"/>
              </w:rPr>
              <w:t>Northwest</w:t>
            </w:r>
          </w:p>
        </w:tc>
        <w:tc>
          <w:tcPr>
            <w:tcW w:w="1292" w:type="dxa"/>
            <w:tcBorders>
              <w:top w:val="nil"/>
              <w:left w:val="double" w:sz="6" w:space="0" w:color="auto"/>
              <w:bottom w:val="single" w:sz="4" w:space="0" w:color="auto"/>
              <w:right w:val="nil"/>
            </w:tcBorders>
            <w:shd w:val="clear" w:color="auto" w:fill="auto"/>
            <w:noWrap/>
            <w:vAlign w:val="bottom"/>
            <w:hideMark/>
          </w:tcPr>
          <w:p w14:paraId="0B52F002" w14:textId="7EDCB3DD"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73</w:t>
            </w:r>
          </w:p>
        </w:tc>
        <w:tc>
          <w:tcPr>
            <w:tcW w:w="1508" w:type="dxa"/>
            <w:tcBorders>
              <w:top w:val="nil"/>
              <w:left w:val="nil"/>
              <w:bottom w:val="single" w:sz="4" w:space="0" w:color="auto"/>
              <w:right w:val="nil"/>
            </w:tcBorders>
            <w:shd w:val="clear" w:color="auto" w:fill="auto"/>
            <w:noWrap/>
            <w:vAlign w:val="bottom"/>
            <w:hideMark/>
          </w:tcPr>
          <w:p w14:paraId="07CE43EA" w14:textId="0DC38C1D"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92.8%</w:t>
            </w:r>
          </w:p>
        </w:tc>
        <w:tc>
          <w:tcPr>
            <w:tcW w:w="1448" w:type="dxa"/>
            <w:tcBorders>
              <w:top w:val="nil"/>
              <w:left w:val="nil"/>
              <w:bottom w:val="single" w:sz="4" w:space="0" w:color="auto"/>
              <w:right w:val="double" w:sz="6" w:space="0" w:color="auto"/>
            </w:tcBorders>
            <w:shd w:val="clear" w:color="auto" w:fill="auto"/>
            <w:noWrap/>
            <w:vAlign w:val="bottom"/>
            <w:hideMark/>
          </w:tcPr>
          <w:p w14:paraId="0F100A8E" w14:textId="41B0AE75"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93.4%</w:t>
            </w:r>
          </w:p>
        </w:tc>
        <w:tc>
          <w:tcPr>
            <w:tcW w:w="1448" w:type="dxa"/>
            <w:tcBorders>
              <w:top w:val="nil"/>
              <w:left w:val="nil"/>
              <w:bottom w:val="single" w:sz="4" w:space="0" w:color="auto"/>
              <w:right w:val="nil"/>
            </w:tcBorders>
            <w:shd w:val="clear" w:color="auto" w:fill="auto"/>
            <w:noWrap/>
            <w:vAlign w:val="bottom"/>
            <w:hideMark/>
          </w:tcPr>
          <w:p w14:paraId="757192F2" w14:textId="6EF21D49" w:rsidR="00EB44DB" w:rsidRDefault="00EB44DB" w:rsidP="00EB44DB">
            <w:pPr>
              <w:jc w:val="center"/>
              <w:rPr>
                <w:rFonts w:ascii="Calibri" w:hAnsi="Calibri"/>
                <w:color w:val="000000"/>
                <w:sz w:val="22"/>
              </w:rPr>
            </w:pPr>
            <w:r>
              <w:rPr>
                <w:rFonts w:ascii="Calibri" w:hAnsi="Calibri"/>
                <w:color w:val="000000"/>
                <w:sz w:val="22"/>
              </w:rPr>
              <w:t>100</w:t>
            </w:r>
          </w:p>
        </w:tc>
        <w:tc>
          <w:tcPr>
            <w:tcW w:w="1264" w:type="dxa"/>
            <w:tcBorders>
              <w:top w:val="nil"/>
              <w:left w:val="nil"/>
              <w:bottom w:val="single" w:sz="4" w:space="0" w:color="auto"/>
              <w:right w:val="nil"/>
            </w:tcBorders>
            <w:shd w:val="clear" w:color="auto" w:fill="auto"/>
            <w:noWrap/>
            <w:vAlign w:val="bottom"/>
            <w:hideMark/>
          </w:tcPr>
          <w:p w14:paraId="211F31F2" w14:textId="761581DA" w:rsidR="00EB44DB" w:rsidRDefault="00EB44DB" w:rsidP="00EB44DB">
            <w:pPr>
              <w:jc w:val="center"/>
              <w:rPr>
                <w:rFonts w:ascii="Calibri" w:hAnsi="Calibri"/>
                <w:color w:val="000000"/>
                <w:sz w:val="22"/>
              </w:rPr>
            </w:pPr>
            <w:r>
              <w:rPr>
                <w:rFonts w:ascii="Calibri" w:hAnsi="Calibri"/>
                <w:color w:val="000000"/>
                <w:sz w:val="22"/>
              </w:rPr>
              <w:t>96.1%</w:t>
            </w:r>
          </w:p>
        </w:tc>
        <w:tc>
          <w:tcPr>
            <w:tcW w:w="1428" w:type="dxa"/>
            <w:tcBorders>
              <w:top w:val="nil"/>
              <w:left w:val="nil"/>
              <w:bottom w:val="single" w:sz="4" w:space="0" w:color="auto"/>
              <w:right w:val="single" w:sz="12" w:space="0" w:color="auto"/>
            </w:tcBorders>
            <w:shd w:val="clear" w:color="auto" w:fill="auto"/>
            <w:noWrap/>
            <w:vAlign w:val="bottom"/>
            <w:hideMark/>
          </w:tcPr>
          <w:p w14:paraId="44CBD746" w14:textId="1987B38B" w:rsidR="00EB44DB" w:rsidRDefault="00EB44DB" w:rsidP="00EB44DB">
            <w:pPr>
              <w:jc w:val="center"/>
              <w:rPr>
                <w:rFonts w:ascii="Calibri" w:hAnsi="Calibri"/>
                <w:color w:val="000000"/>
                <w:sz w:val="22"/>
              </w:rPr>
            </w:pPr>
            <w:r>
              <w:rPr>
                <w:rFonts w:ascii="Calibri" w:hAnsi="Calibri"/>
                <w:color w:val="000000"/>
                <w:sz w:val="22"/>
              </w:rPr>
              <w:t>96.0%</w:t>
            </w:r>
          </w:p>
        </w:tc>
      </w:tr>
      <w:tr w:rsidR="00EB44DB" w:rsidRPr="00024484" w14:paraId="0DE1E163" w14:textId="77777777" w:rsidTr="00EB44DB">
        <w:trPr>
          <w:trHeight w:val="300"/>
        </w:trPr>
        <w:tc>
          <w:tcPr>
            <w:tcW w:w="1170" w:type="dxa"/>
            <w:tcBorders>
              <w:top w:val="nil"/>
              <w:left w:val="single" w:sz="12" w:space="0" w:color="auto"/>
              <w:bottom w:val="single" w:sz="4" w:space="0" w:color="auto"/>
              <w:right w:val="nil"/>
            </w:tcBorders>
            <w:shd w:val="clear" w:color="auto" w:fill="auto"/>
            <w:noWrap/>
            <w:vAlign w:val="bottom"/>
            <w:hideMark/>
          </w:tcPr>
          <w:p w14:paraId="51BBCFD6" w14:textId="77777777" w:rsidR="00EB44DB" w:rsidRPr="00024484" w:rsidRDefault="00EB44DB" w:rsidP="00EB44DB">
            <w:pPr>
              <w:spacing w:line="240" w:lineRule="auto"/>
              <w:rPr>
                <w:rFonts w:ascii="Calibri" w:eastAsia="Times New Roman" w:hAnsi="Calibri" w:cs="Times New Roman"/>
                <w:color w:val="000000"/>
                <w:sz w:val="22"/>
              </w:rPr>
            </w:pPr>
            <w:r w:rsidRPr="00024484">
              <w:rPr>
                <w:rFonts w:ascii="Calibri" w:eastAsia="Times New Roman" w:hAnsi="Calibri" w:cs="Times New Roman"/>
                <w:color w:val="000000"/>
                <w:sz w:val="22"/>
              </w:rPr>
              <w:t>Northeast</w:t>
            </w:r>
          </w:p>
        </w:tc>
        <w:tc>
          <w:tcPr>
            <w:tcW w:w="1292" w:type="dxa"/>
            <w:tcBorders>
              <w:top w:val="nil"/>
              <w:left w:val="double" w:sz="6" w:space="0" w:color="auto"/>
              <w:bottom w:val="single" w:sz="4" w:space="0" w:color="auto"/>
              <w:right w:val="nil"/>
            </w:tcBorders>
            <w:shd w:val="clear" w:color="auto" w:fill="auto"/>
            <w:noWrap/>
            <w:vAlign w:val="bottom"/>
            <w:hideMark/>
          </w:tcPr>
          <w:p w14:paraId="2D2124A7" w14:textId="6A1D7117"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430</w:t>
            </w:r>
          </w:p>
        </w:tc>
        <w:tc>
          <w:tcPr>
            <w:tcW w:w="1508" w:type="dxa"/>
            <w:tcBorders>
              <w:top w:val="nil"/>
              <w:left w:val="nil"/>
              <w:bottom w:val="single" w:sz="4" w:space="0" w:color="auto"/>
              <w:right w:val="nil"/>
            </w:tcBorders>
            <w:shd w:val="clear" w:color="auto" w:fill="auto"/>
            <w:noWrap/>
            <w:vAlign w:val="bottom"/>
            <w:hideMark/>
          </w:tcPr>
          <w:p w14:paraId="6B87E153" w14:textId="1C41465B"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91.3%</w:t>
            </w:r>
          </w:p>
        </w:tc>
        <w:tc>
          <w:tcPr>
            <w:tcW w:w="1448" w:type="dxa"/>
            <w:tcBorders>
              <w:top w:val="nil"/>
              <w:left w:val="nil"/>
              <w:bottom w:val="single" w:sz="4" w:space="0" w:color="auto"/>
              <w:right w:val="double" w:sz="6" w:space="0" w:color="auto"/>
            </w:tcBorders>
            <w:shd w:val="clear" w:color="auto" w:fill="auto"/>
            <w:noWrap/>
            <w:vAlign w:val="bottom"/>
            <w:hideMark/>
          </w:tcPr>
          <w:p w14:paraId="56DC1201" w14:textId="4D20822D"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91.1%</w:t>
            </w:r>
          </w:p>
        </w:tc>
        <w:tc>
          <w:tcPr>
            <w:tcW w:w="1448" w:type="dxa"/>
            <w:tcBorders>
              <w:top w:val="nil"/>
              <w:left w:val="nil"/>
              <w:bottom w:val="single" w:sz="4" w:space="0" w:color="auto"/>
              <w:right w:val="nil"/>
            </w:tcBorders>
            <w:shd w:val="clear" w:color="auto" w:fill="auto"/>
            <w:noWrap/>
            <w:vAlign w:val="bottom"/>
            <w:hideMark/>
          </w:tcPr>
          <w:p w14:paraId="53AB9CEF" w14:textId="7DF9CB97" w:rsidR="00EB44DB" w:rsidRDefault="00EB44DB" w:rsidP="00EB44DB">
            <w:pPr>
              <w:jc w:val="center"/>
              <w:rPr>
                <w:rFonts w:ascii="Calibri" w:hAnsi="Calibri"/>
                <w:color w:val="000000"/>
                <w:sz w:val="22"/>
              </w:rPr>
            </w:pPr>
            <w:r>
              <w:rPr>
                <w:rFonts w:ascii="Calibri" w:hAnsi="Calibri"/>
                <w:color w:val="000000"/>
                <w:sz w:val="22"/>
              </w:rPr>
              <w:t>177</w:t>
            </w:r>
          </w:p>
        </w:tc>
        <w:tc>
          <w:tcPr>
            <w:tcW w:w="1264" w:type="dxa"/>
            <w:tcBorders>
              <w:top w:val="nil"/>
              <w:left w:val="nil"/>
              <w:bottom w:val="single" w:sz="4" w:space="0" w:color="auto"/>
              <w:right w:val="nil"/>
            </w:tcBorders>
            <w:shd w:val="clear" w:color="auto" w:fill="auto"/>
            <w:noWrap/>
            <w:vAlign w:val="bottom"/>
            <w:hideMark/>
          </w:tcPr>
          <w:p w14:paraId="79B05E3A" w14:textId="3AF3F769" w:rsidR="00EB44DB" w:rsidRDefault="00EB44DB" w:rsidP="00EB44DB">
            <w:pPr>
              <w:jc w:val="center"/>
              <w:rPr>
                <w:rFonts w:ascii="Calibri" w:hAnsi="Calibri"/>
                <w:color w:val="000000"/>
                <w:sz w:val="22"/>
              </w:rPr>
            </w:pPr>
            <w:r>
              <w:rPr>
                <w:rFonts w:ascii="Calibri" w:hAnsi="Calibri"/>
                <w:color w:val="000000"/>
                <w:sz w:val="22"/>
              </w:rPr>
              <w:t>94.6%</w:t>
            </w:r>
          </w:p>
        </w:tc>
        <w:tc>
          <w:tcPr>
            <w:tcW w:w="1428" w:type="dxa"/>
            <w:tcBorders>
              <w:top w:val="nil"/>
              <w:left w:val="nil"/>
              <w:bottom w:val="single" w:sz="4" w:space="0" w:color="auto"/>
              <w:right w:val="single" w:sz="12" w:space="0" w:color="auto"/>
            </w:tcBorders>
            <w:shd w:val="clear" w:color="auto" w:fill="auto"/>
            <w:noWrap/>
            <w:vAlign w:val="bottom"/>
            <w:hideMark/>
          </w:tcPr>
          <w:p w14:paraId="7E1BDC5D" w14:textId="6183D1C3" w:rsidR="00EB44DB" w:rsidRDefault="00EB44DB" w:rsidP="00EB44DB">
            <w:pPr>
              <w:jc w:val="center"/>
              <w:rPr>
                <w:rFonts w:ascii="Calibri" w:hAnsi="Calibri"/>
                <w:color w:val="000000"/>
                <w:sz w:val="22"/>
              </w:rPr>
            </w:pPr>
            <w:r>
              <w:rPr>
                <w:rFonts w:ascii="Calibri" w:hAnsi="Calibri"/>
                <w:color w:val="000000"/>
                <w:sz w:val="22"/>
              </w:rPr>
              <w:t>95.4%</w:t>
            </w:r>
          </w:p>
        </w:tc>
      </w:tr>
      <w:tr w:rsidR="00EB44DB" w:rsidRPr="00024484" w14:paraId="6C1F4ECB" w14:textId="77777777" w:rsidTr="00EB44DB">
        <w:trPr>
          <w:trHeight w:val="300"/>
        </w:trPr>
        <w:tc>
          <w:tcPr>
            <w:tcW w:w="1170" w:type="dxa"/>
            <w:tcBorders>
              <w:top w:val="nil"/>
              <w:left w:val="single" w:sz="12" w:space="0" w:color="auto"/>
              <w:bottom w:val="single" w:sz="4" w:space="0" w:color="auto"/>
              <w:right w:val="nil"/>
            </w:tcBorders>
            <w:shd w:val="clear" w:color="auto" w:fill="auto"/>
            <w:noWrap/>
            <w:vAlign w:val="bottom"/>
            <w:hideMark/>
          </w:tcPr>
          <w:p w14:paraId="2D904159" w14:textId="77777777" w:rsidR="00EB44DB" w:rsidRPr="00024484" w:rsidRDefault="00EB44DB" w:rsidP="00EB44DB">
            <w:pPr>
              <w:spacing w:line="240" w:lineRule="auto"/>
              <w:rPr>
                <w:rFonts w:ascii="Calibri" w:eastAsia="Times New Roman" w:hAnsi="Calibri" w:cs="Times New Roman"/>
                <w:color w:val="000000"/>
                <w:sz w:val="22"/>
              </w:rPr>
            </w:pPr>
            <w:r w:rsidRPr="00024484">
              <w:rPr>
                <w:rFonts w:ascii="Calibri" w:eastAsia="Times New Roman" w:hAnsi="Calibri" w:cs="Times New Roman"/>
                <w:color w:val="000000"/>
                <w:sz w:val="22"/>
              </w:rPr>
              <w:t>Central</w:t>
            </w:r>
          </w:p>
        </w:tc>
        <w:tc>
          <w:tcPr>
            <w:tcW w:w="1292" w:type="dxa"/>
            <w:tcBorders>
              <w:top w:val="nil"/>
              <w:left w:val="double" w:sz="6" w:space="0" w:color="auto"/>
              <w:bottom w:val="single" w:sz="4" w:space="0" w:color="auto"/>
              <w:right w:val="nil"/>
            </w:tcBorders>
            <w:shd w:val="clear" w:color="auto" w:fill="auto"/>
            <w:noWrap/>
            <w:vAlign w:val="bottom"/>
            <w:hideMark/>
          </w:tcPr>
          <w:p w14:paraId="1227B785" w14:textId="3C50711B"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423</w:t>
            </w:r>
          </w:p>
        </w:tc>
        <w:tc>
          <w:tcPr>
            <w:tcW w:w="1508" w:type="dxa"/>
            <w:tcBorders>
              <w:top w:val="nil"/>
              <w:left w:val="nil"/>
              <w:bottom w:val="single" w:sz="4" w:space="0" w:color="auto"/>
              <w:right w:val="nil"/>
            </w:tcBorders>
            <w:shd w:val="clear" w:color="auto" w:fill="auto"/>
            <w:noWrap/>
            <w:vAlign w:val="bottom"/>
            <w:hideMark/>
          </w:tcPr>
          <w:p w14:paraId="18B82809" w14:textId="76E027E1"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93.4%</w:t>
            </w:r>
          </w:p>
        </w:tc>
        <w:tc>
          <w:tcPr>
            <w:tcW w:w="1448" w:type="dxa"/>
            <w:tcBorders>
              <w:top w:val="nil"/>
              <w:left w:val="nil"/>
              <w:bottom w:val="single" w:sz="4" w:space="0" w:color="auto"/>
              <w:right w:val="double" w:sz="6" w:space="0" w:color="auto"/>
            </w:tcBorders>
            <w:shd w:val="clear" w:color="auto" w:fill="auto"/>
            <w:noWrap/>
            <w:vAlign w:val="bottom"/>
            <w:hideMark/>
          </w:tcPr>
          <w:p w14:paraId="6BE49604" w14:textId="66B547EF"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93.6%</w:t>
            </w:r>
          </w:p>
        </w:tc>
        <w:tc>
          <w:tcPr>
            <w:tcW w:w="1448" w:type="dxa"/>
            <w:tcBorders>
              <w:top w:val="nil"/>
              <w:left w:val="nil"/>
              <w:bottom w:val="single" w:sz="4" w:space="0" w:color="auto"/>
              <w:right w:val="nil"/>
            </w:tcBorders>
            <w:shd w:val="clear" w:color="auto" w:fill="auto"/>
            <w:noWrap/>
            <w:vAlign w:val="bottom"/>
            <w:hideMark/>
          </w:tcPr>
          <w:p w14:paraId="3B5C12DC" w14:textId="08F75BDC" w:rsidR="00EB44DB" w:rsidRDefault="00EB44DB" w:rsidP="00EB44DB">
            <w:pPr>
              <w:jc w:val="center"/>
              <w:rPr>
                <w:rFonts w:ascii="Calibri" w:hAnsi="Calibri"/>
                <w:color w:val="000000"/>
                <w:sz w:val="22"/>
              </w:rPr>
            </w:pPr>
            <w:r>
              <w:rPr>
                <w:rFonts w:ascii="Calibri" w:hAnsi="Calibri"/>
                <w:color w:val="000000"/>
                <w:sz w:val="22"/>
              </w:rPr>
              <w:t>181</w:t>
            </w:r>
          </w:p>
        </w:tc>
        <w:tc>
          <w:tcPr>
            <w:tcW w:w="1264" w:type="dxa"/>
            <w:tcBorders>
              <w:top w:val="nil"/>
              <w:left w:val="nil"/>
              <w:bottom w:val="single" w:sz="4" w:space="0" w:color="auto"/>
              <w:right w:val="nil"/>
            </w:tcBorders>
            <w:shd w:val="clear" w:color="auto" w:fill="auto"/>
            <w:noWrap/>
            <w:vAlign w:val="bottom"/>
            <w:hideMark/>
          </w:tcPr>
          <w:p w14:paraId="564C620E" w14:textId="0B404CDB" w:rsidR="00EB44DB" w:rsidRDefault="00EB44DB" w:rsidP="00EB44DB">
            <w:pPr>
              <w:jc w:val="center"/>
              <w:rPr>
                <w:rFonts w:ascii="Calibri" w:hAnsi="Calibri"/>
                <w:color w:val="000000"/>
                <w:sz w:val="22"/>
              </w:rPr>
            </w:pPr>
            <w:r>
              <w:rPr>
                <w:rFonts w:ascii="Calibri" w:hAnsi="Calibri"/>
                <w:color w:val="000000"/>
                <w:sz w:val="22"/>
              </w:rPr>
              <w:t>93.3%</w:t>
            </w:r>
          </w:p>
        </w:tc>
        <w:tc>
          <w:tcPr>
            <w:tcW w:w="1428" w:type="dxa"/>
            <w:tcBorders>
              <w:top w:val="nil"/>
              <w:left w:val="nil"/>
              <w:bottom w:val="single" w:sz="4" w:space="0" w:color="auto"/>
              <w:right w:val="single" w:sz="12" w:space="0" w:color="auto"/>
            </w:tcBorders>
            <w:shd w:val="clear" w:color="auto" w:fill="auto"/>
            <w:noWrap/>
            <w:vAlign w:val="bottom"/>
            <w:hideMark/>
          </w:tcPr>
          <w:p w14:paraId="4B5A8EA6" w14:textId="4103A461" w:rsidR="00EB44DB" w:rsidRDefault="00EB44DB" w:rsidP="00EB44DB">
            <w:pPr>
              <w:jc w:val="center"/>
              <w:rPr>
                <w:rFonts w:ascii="Calibri" w:hAnsi="Calibri"/>
                <w:color w:val="000000"/>
                <w:sz w:val="22"/>
              </w:rPr>
            </w:pPr>
            <w:r>
              <w:rPr>
                <w:rFonts w:ascii="Calibri" w:hAnsi="Calibri"/>
                <w:color w:val="000000"/>
                <w:sz w:val="22"/>
              </w:rPr>
              <w:t>93.9%</w:t>
            </w:r>
          </w:p>
        </w:tc>
      </w:tr>
      <w:tr w:rsidR="00EB44DB" w:rsidRPr="00024484" w14:paraId="7DFC8B88" w14:textId="77777777" w:rsidTr="00EB44DB">
        <w:trPr>
          <w:trHeight w:val="300"/>
        </w:trPr>
        <w:tc>
          <w:tcPr>
            <w:tcW w:w="1170" w:type="dxa"/>
            <w:tcBorders>
              <w:top w:val="nil"/>
              <w:left w:val="single" w:sz="12" w:space="0" w:color="auto"/>
              <w:bottom w:val="single" w:sz="4" w:space="0" w:color="auto"/>
              <w:right w:val="nil"/>
            </w:tcBorders>
            <w:shd w:val="clear" w:color="auto" w:fill="auto"/>
            <w:noWrap/>
            <w:vAlign w:val="bottom"/>
            <w:hideMark/>
          </w:tcPr>
          <w:p w14:paraId="081EAF72" w14:textId="77777777" w:rsidR="00EB44DB" w:rsidRPr="00024484" w:rsidRDefault="00EB44DB" w:rsidP="00EB44DB">
            <w:pPr>
              <w:spacing w:line="240" w:lineRule="auto"/>
              <w:rPr>
                <w:rFonts w:ascii="Calibri" w:eastAsia="Times New Roman" w:hAnsi="Calibri" w:cs="Times New Roman"/>
                <w:color w:val="000000"/>
                <w:sz w:val="22"/>
              </w:rPr>
            </w:pPr>
            <w:r w:rsidRPr="00024484">
              <w:rPr>
                <w:rFonts w:ascii="Calibri" w:eastAsia="Times New Roman" w:hAnsi="Calibri" w:cs="Times New Roman"/>
                <w:color w:val="000000"/>
                <w:sz w:val="22"/>
              </w:rPr>
              <w:t>Suncoast</w:t>
            </w:r>
          </w:p>
        </w:tc>
        <w:tc>
          <w:tcPr>
            <w:tcW w:w="1292" w:type="dxa"/>
            <w:tcBorders>
              <w:top w:val="nil"/>
              <w:left w:val="double" w:sz="6" w:space="0" w:color="auto"/>
              <w:bottom w:val="single" w:sz="4" w:space="0" w:color="auto"/>
              <w:right w:val="nil"/>
            </w:tcBorders>
            <w:shd w:val="clear" w:color="auto" w:fill="auto"/>
            <w:noWrap/>
            <w:vAlign w:val="bottom"/>
            <w:hideMark/>
          </w:tcPr>
          <w:p w14:paraId="1C3D58E5" w14:textId="7FF95AAE"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415</w:t>
            </w:r>
          </w:p>
        </w:tc>
        <w:tc>
          <w:tcPr>
            <w:tcW w:w="1508" w:type="dxa"/>
            <w:tcBorders>
              <w:top w:val="nil"/>
              <w:left w:val="nil"/>
              <w:bottom w:val="single" w:sz="4" w:space="0" w:color="auto"/>
              <w:right w:val="nil"/>
            </w:tcBorders>
            <w:shd w:val="clear" w:color="auto" w:fill="auto"/>
            <w:noWrap/>
            <w:vAlign w:val="bottom"/>
            <w:hideMark/>
          </w:tcPr>
          <w:p w14:paraId="788810AB" w14:textId="527C92FE"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93.4%</w:t>
            </w:r>
          </w:p>
        </w:tc>
        <w:tc>
          <w:tcPr>
            <w:tcW w:w="1448" w:type="dxa"/>
            <w:tcBorders>
              <w:top w:val="nil"/>
              <w:left w:val="nil"/>
              <w:bottom w:val="single" w:sz="4" w:space="0" w:color="auto"/>
              <w:right w:val="double" w:sz="6" w:space="0" w:color="auto"/>
            </w:tcBorders>
            <w:shd w:val="clear" w:color="auto" w:fill="auto"/>
            <w:noWrap/>
            <w:vAlign w:val="bottom"/>
            <w:hideMark/>
          </w:tcPr>
          <w:p w14:paraId="16F47B44" w14:textId="2BC95EA6"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93.3%</w:t>
            </w:r>
          </w:p>
        </w:tc>
        <w:tc>
          <w:tcPr>
            <w:tcW w:w="1448" w:type="dxa"/>
            <w:tcBorders>
              <w:top w:val="nil"/>
              <w:left w:val="nil"/>
              <w:bottom w:val="single" w:sz="4" w:space="0" w:color="auto"/>
              <w:right w:val="nil"/>
            </w:tcBorders>
            <w:shd w:val="clear" w:color="auto" w:fill="auto"/>
            <w:noWrap/>
            <w:vAlign w:val="bottom"/>
            <w:hideMark/>
          </w:tcPr>
          <w:p w14:paraId="3C299F05" w14:textId="4EF0B2EF" w:rsidR="00EB44DB" w:rsidRDefault="00EB44DB" w:rsidP="00EB44DB">
            <w:pPr>
              <w:jc w:val="center"/>
              <w:rPr>
                <w:rFonts w:ascii="Calibri" w:hAnsi="Calibri"/>
                <w:color w:val="000000"/>
                <w:sz w:val="22"/>
              </w:rPr>
            </w:pPr>
            <w:r>
              <w:rPr>
                <w:rFonts w:ascii="Calibri" w:hAnsi="Calibri"/>
                <w:color w:val="000000"/>
                <w:sz w:val="22"/>
              </w:rPr>
              <w:t>206</w:t>
            </w:r>
          </w:p>
        </w:tc>
        <w:tc>
          <w:tcPr>
            <w:tcW w:w="1264" w:type="dxa"/>
            <w:tcBorders>
              <w:top w:val="nil"/>
              <w:left w:val="nil"/>
              <w:bottom w:val="single" w:sz="4" w:space="0" w:color="auto"/>
              <w:right w:val="nil"/>
            </w:tcBorders>
            <w:shd w:val="clear" w:color="auto" w:fill="auto"/>
            <w:noWrap/>
            <w:vAlign w:val="bottom"/>
            <w:hideMark/>
          </w:tcPr>
          <w:p w14:paraId="23C648F4" w14:textId="1977108A" w:rsidR="00EB44DB" w:rsidRDefault="00EB44DB" w:rsidP="00EB44DB">
            <w:pPr>
              <w:jc w:val="center"/>
              <w:rPr>
                <w:rFonts w:ascii="Calibri" w:hAnsi="Calibri"/>
                <w:color w:val="000000"/>
                <w:sz w:val="22"/>
              </w:rPr>
            </w:pPr>
            <w:r>
              <w:rPr>
                <w:rFonts w:ascii="Calibri" w:hAnsi="Calibri"/>
                <w:color w:val="000000"/>
                <w:sz w:val="22"/>
              </w:rPr>
              <w:t>92.3%</w:t>
            </w:r>
          </w:p>
        </w:tc>
        <w:tc>
          <w:tcPr>
            <w:tcW w:w="1428" w:type="dxa"/>
            <w:tcBorders>
              <w:top w:val="nil"/>
              <w:left w:val="nil"/>
              <w:bottom w:val="single" w:sz="4" w:space="0" w:color="auto"/>
              <w:right w:val="single" w:sz="12" w:space="0" w:color="auto"/>
            </w:tcBorders>
            <w:shd w:val="clear" w:color="auto" w:fill="auto"/>
            <w:noWrap/>
            <w:vAlign w:val="bottom"/>
            <w:hideMark/>
          </w:tcPr>
          <w:p w14:paraId="08E96CB8" w14:textId="4232059C" w:rsidR="00EB44DB" w:rsidRDefault="00EB44DB" w:rsidP="00EB44DB">
            <w:pPr>
              <w:jc w:val="center"/>
              <w:rPr>
                <w:rFonts w:ascii="Calibri" w:hAnsi="Calibri"/>
                <w:color w:val="000000"/>
                <w:sz w:val="22"/>
              </w:rPr>
            </w:pPr>
            <w:r>
              <w:rPr>
                <w:rFonts w:ascii="Calibri" w:hAnsi="Calibri"/>
                <w:color w:val="000000"/>
                <w:sz w:val="22"/>
              </w:rPr>
              <w:t>91.9%</w:t>
            </w:r>
          </w:p>
        </w:tc>
      </w:tr>
      <w:tr w:rsidR="00EB44DB" w:rsidRPr="00024484" w14:paraId="24071349" w14:textId="77777777" w:rsidTr="00EB44DB">
        <w:trPr>
          <w:trHeight w:val="60"/>
        </w:trPr>
        <w:tc>
          <w:tcPr>
            <w:tcW w:w="1170" w:type="dxa"/>
            <w:tcBorders>
              <w:top w:val="nil"/>
              <w:left w:val="single" w:sz="12" w:space="0" w:color="auto"/>
              <w:bottom w:val="single" w:sz="4" w:space="0" w:color="auto"/>
              <w:right w:val="nil"/>
            </w:tcBorders>
            <w:shd w:val="clear" w:color="auto" w:fill="auto"/>
            <w:noWrap/>
            <w:vAlign w:val="bottom"/>
            <w:hideMark/>
          </w:tcPr>
          <w:p w14:paraId="5C81E58D" w14:textId="77777777" w:rsidR="00EB44DB" w:rsidRPr="00024484" w:rsidRDefault="00EB44DB" w:rsidP="00EB44DB">
            <w:pPr>
              <w:spacing w:line="240" w:lineRule="auto"/>
              <w:rPr>
                <w:rFonts w:ascii="Calibri" w:eastAsia="Times New Roman" w:hAnsi="Calibri" w:cs="Times New Roman"/>
                <w:color w:val="000000"/>
                <w:sz w:val="22"/>
              </w:rPr>
            </w:pPr>
            <w:r w:rsidRPr="00024484">
              <w:rPr>
                <w:rFonts w:ascii="Calibri" w:eastAsia="Times New Roman" w:hAnsi="Calibri" w:cs="Times New Roman"/>
                <w:color w:val="000000"/>
                <w:sz w:val="22"/>
              </w:rPr>
              <w:t>Southeast</w:t>
            </w:r>
          </w:p>
        </w:tc>
        <w:tc>
          <w:tcPr>
            <w:tcW w:w="1292" w:type="dxa"/>
            <w:tcBorders>
              <w:top w:val="nil"/>
              <w:left w:val="double" w:sz="6" w:space="0" w:color="auto"/>
              <w:bottom w:val="single" w:sz="4" w:space="0" w:color="auto"/>
              <w:right w:val="nil"/>
            </w:tcBorders>
            <w:shd w:val="clear" w:color="auto" w:fill="auto"/>
            <w:noWrap/>
            <w:vAlign w:val="bottom"/>
            <w:hideMark/>
          </w:tcPr>
          <w:p w14:paraId="7E5049E1" w14:textId="7CDBCAF1"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445</w:t>
            </w:r>
          </w:p>
        </w:tc>
        <w:tc>
          <w:tcPr>
            <w:tcW w:w="1508" w:type="dxa"/>
            <w:tcBorders>
              <w:top w:val="nil"/>
              <w:left w:val="nil"/>
              <w:bottom w:val="single" w:sz="4" w:space="0" w:color="auto"/>
              <w:right w:val="nil"/>
            </w:tcBorders>
            <w:shd w:val="clear" w:color="auto" w:fill="auto"/>
            <w:noWrap/>
            <w:vAlign w:val="bottom"/>
            <w:hideMark/>
          </w:tcPr>
          <w:p w14:paraId="692F4003" w14:textId="38D5C0D0"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91.7%</w:t>
            </w:r>
          </w:p>
        </w:tc>
        <w:tc>
          <w:tcPr>
            <w:tcW w:w="1448" w:type="dxa"/>
            <w:tcBorders>
              <w:top w:val="nil"/>
              <w:left w:val="nil"/>
              <w:bottom w:val="single" w:sz="4" w:space="0" w:color="auto"/>
              <w:right w:val="double" w:sz="6" w:space="0" w:color="auto"/>
            </w:tcBorders>
            <w:shd w:val="clear" w:color="auto" w:fill="auto"/>
            <w:noWrap/>
            <w:vAlign w:val="bottom"/>
            <w:hideMark/>
          </w:tcPr>
          <w:p w14:paraId="54B795EB" w14:textId="3EAA3FB3"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90.9%</w:t>
            </w:r>
          </w:p>
        </w:tc>
        <w:tc>
          <w:tcPr>
            <w:tcW w:w="1448" w:type="dxa"/>
            <w:tcBorders>
              <w:top w:val="nil"/>
              <w:left w:val="nil"/>
              <w:bottom w:val="single" w:sz="4" w:space="0" w:color="auto"/>
              <w:right w:val="nil"/>
            </w:tcBorders>
            <w:shd w:val="clear" w:color="auto" w:fill="auto"/>
            <w:noWrap/>
            <w:vAlign w:val="bottom"/>
            <w:hideMark/>
          </w:tcPr>
          <w:p w14:paraId="21FF489E" w14:textId="324A85DC" w:rsidR="00EB44DB" w:rsidRDefault="00EB44DB" w:rsidP="00EB44DB">
            <w:pPr>
              <w:jc w:val="center"/>
              <w:rPr>
                <w:rFonts w:ascii="Calibri" w:hAnsi="Calibri"/>
                <w:color w:val="000000"/>
                <w:sz w:val="22"/>
              </w:rPr>
            </w:pPr>
            <w:r>
              <w:rPr>
                <w:rFonts w:ascii="Calibri" w:hAnsi="Calibri"/>
                <w:color w:val="000000"/>
                <w:sz w:val="22"/>
              </w:rPr>
              <w:t>174</w:t>
            </w:r>
          </w:p>
        </w:tc>
        <w:tc>
          <w:tcPr>
            <w:tcW w:w="1264" w:type="dxa"/>
            <w:tcBorders>
              <w:top w:val="nil"/>
              <w:left w:val="nil"/>
              <w:bottom w:val="single" w:sz="4" w:space="0" w:color="auto"/>
              <w:right w:val="nil"/>
            </w:tcBorders>
            <w:shd w:val="clear" w:color="auto" w:fill="auto"/>
            <w:noWrap/>
            <w:vAlign w:val="bottom"/>
            <w:hideMark/>
          </w:tcPr>
          <w:p w14:paraId="59918C9F" w14:textId="77A06BFF" w:rsidR="00EB44DB" w:rsidRDefault="00EB44DB" w:rsidP="00EB44DB">
            <w:pPr>
              <w:jc w:val="center"/>
              <w:rPr>
                <w:rFonts w:ascii="Calibri" w:hAnsi="Calibri"/>
                <w:color w:val="000000"/>
                <w:sz w:val="22"/>
              </w:rPr>
            </w:pPr>
            <w:r>
              <w:rPr>
                <w:rFonts w:ascii="Calibri" w:hAnsi="Calibri"/>
                <w:color w:val="000000"/>
                <w:sz w:val="22"/>
              </w:rPr>
              <w:t>97.0%</w:t>
            </w:r>
          </w:p>
        </w:tc>
        <w:tc>
          <w:tcPr>
            <w:tcW w:w="1428" w:type="dxa"/>
            <w:tcBorders>
              <w:top w:val="nil"/>
              <w:left w:val="nil"/>
              <w:bottom w:val="single" w:sz="4" w:space="0" w:color="auto"/>
              <w:right w:val="single" w:sz="12" w:space="0" w:color="auto"/>
            </w:tcBorders>
            <w:shd w:val="clear" w:color="auto" w:fill="auto"/>
            <w:noWrap/>
            <w:vAlign w:val="bottom"/>
            <w:hideMark/>
          </w:tcPr>
          <w:p w14:paraId="3FCC8495" w14:textId="441874CF" w:rsidR="00EB44DB" w:rsidRDefault="00EB44DB" w:rsidP="00EB44DB">
            <w:pPr>
              <w:jc w:val="center"/>
              <w:rPr>
                <w:rFonts w:ascii="Calibri" w:hAnsi="Calibri"/>
                <w:color w:val="000000"/>
                <w:sz w:val="22"/>
              </w:rPr>
            </w:pPr>
            <w:r>
              <w:rPr>
                <w:rFonts w:ascii="Calibri" w:hAnsi="Calibri"/>
                <w:color w:val="000000"/>
                <w:sz w:val="22"/>
              </w:rPr>
              <w:t>96.9%</w:t>
            </w:r>
          </w:p>
        </w:tc>
      </w:tr>
      <w:tr w:rsidR="00EB44DB" w:rsidRPr="00024484" w14:paraId="4B487105" w14:textId="77777777" w:rsidTr="00EB44DB">
        <w:trPr>
          <w:trHeight w:val="315"/>
        </w:trPr>
        <w:tc>
          <w:tcPr>
            <w:tcW w:w="1170" w:type="dxa"/>
            <w:tcBorders>
              <w:top w:val="nil"/>
              <w:left w:val="single" w:sz="12" w:space="0" w:color="auto"/>
              <w:bottom w:val="double" w:sz="6" w:space="0" w:color="auto"/>
              <w:right w:val="nil"/>
            </w:tcBorders>
            <w:shd w:val="clear" w:color="auto" w:fill="auto"/>
            <w:noWrap/>
            <w:vAlign w:val="bottom"/>
            <w:hideMark/>
          </w:tcPr>
          <w:p w14:paraId="3E7B921D" w14:textId="77777777" w:rsidR="00EB44DB" w:rsidRPr="00024484" w:rsidRDefault="00EB44DB" w:rsidP="00EB44DB">
            <w:pPr>
              <w:spacing w:line="240" w:lineRule="auto"/>
              <w:rPr>
                <w:rFonts w:ascii="Calibri" w:eastAsia="Times New Roman" w:hAnsi="Calibri" w:cs="Times New Roman"/>
                <w:color w:val="000000"/>
                <w:sz w:val="22"/>
              </w:rPr>
            </w:pPr>
            <w:r w:rsidRPr="00024484">
              <w:rPr>
                <w:rFonts w:ascii="Calibri" w:eastAsia="Times New Roman" w:hAnsi="Calibri" w:cs="Times New Roman"/>
                <w:color w:val="000000"/>
                <w:sz w:val="22"/>
              </w:rPr>
              <w:t>Southern</w:t>
            </w:r>
          </w:p>
        </w:tc>
        <w:tc>
          <w:tcPr>
            <w:tcW w:w="1292" w:type="dxa"/>
            <w:tcBorders>
              <w:top w:val="single" w:sz="4" w:space="0" w:color="auto"/>
              <w:left w:val="double" w:sz="6" w:space="0" w:color="auto"/>
              <w:bottom w:val="double" w:sz="6" w:space="0" w:color="auto"/>
              <w:right w:val="nil"/>
            </w:tcBorders>
            <w:shd w:val="clear" w:color="auto" w:fill="auto"/>
            <w:noWrap/>
            <w:vAlign w:val="bottom"/>
            <w:hideMark/>
          </w:tcPr>
          <w:p w14:paraId="25A13E06" w14:textId="486A87A4"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423</w:t>
            </w:r>
          </w:p>
        </w:tc>
        <w:tc>
          <w:tcPr>
            <w:tcW w:w="1508" w:type="dxa"/>
            <w:tcBorders>
              <w:top w:val="nil"/>
              <w:left w:val="nil"/>
              <w:bottom w:val="double" w:sz="6" w:space="0" w:color="auto"/>
              <w:right w:val="nil"/>
            </w:tcBorders>
            <w:shd w:val="clear" w:color="auto" w:fill="auto"/>
            <w:noWrap/>
            <w:vAlign w:val="bottom"/>
            <w:hideMark/>
          </w:tcPr>
          <w:p w14:paraId="35D53DB4" w14:textId="330C9F57"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93.4%</w:t>
            </w:r>
          </w:p>
        </w:tc>
        <w:tc>
          <w:tcPr>
            <w:tcW w:w="1448" w:type="dxa"/>
            <w:tcBorders>
              <w:top w:val="single" w:sz="4" w:space="0" w:color="auto"/>
              <w:left w:val="nil"/>
              <w:bottom w:val="double" w:sz="6" w:space="0" w:color="auto"/>
              <w:right w:val="double" w:sz="6" w:space="0" w:color="auto"/>
            </w:tcBorders>
            <w:shd w:val="clear" w:color="auto" w:fill="auto"/>
            <w:noWrap/>
            <w:vAlign w:val="bottom"/>
            <w:hideMark/>
          </w:tcPr>
          <w:p w14:paraId="50ACEDD8" w14:textId="42174045" w:rsidR="00EB44DB" w:rsidRPr="00EB44DB" w:rsidRDefault="00EB44DB" w:rsidP="00EB44DB">
            <w:pPr>
              <w:jc w:val="center"/>
              <w:rPr>
                <w:rFonts w:asciiTheme="minorHAnsi" w:hAnsiTheme="minorHAnsi"/>
                <w:color w:val="000000"/>
                <w:sz w:val="22"/>
              </w:rPr>
            </w:pPr>
            <w:r w:rsidRPr="00EB44DB">
              <w:rPr>
                <w:rFonts w:asciiTheme="minorHAnsi" w:hAnsiTheme="minorHAnsi" w:cs="Arial"/>
                <w:color w:val="000000"/>
                <w:sz w:val="22"/>
              </w:rPr>
              <w:t>93.0%</w:t>
            </w:r>
          </w:p>
        </w:tc>
        <w:tc>
          <w:tcPr>
            <w:tcW w:w="1448" w:type="dxa"/>
            <w:tcBorders>
              <w:top w:val="nil"/>
              <w:left w:val="nil"/>
              <w:bottom w:val="double" w:sz="6" w:space="0" w:color="auto"/>
              <w:right w:val="nil"/>
            </w:tcBorders>
            <w:shd w:val="clear" w:color="auto" w:fill="auto"/>
            <w:noWrap/>
            <w:vAlign w:val="bottom"/>
            <w:hideMark/>
          </w:tcPr>
          <w:p w14:paraId="152D4DF0" w14:textId="03C1F8EF" w:rsidR="00EB44DB" w:rsidRDefault="00EB44DB" w:rsidP="00EB44DB">
            <w:pPr>
              <w:jc w:val="center"/>
              <w:rPr>
                <w:rFonts w:ascii="Calibri" w:hAnsi="Calibri"/>
                <w:color w:val="000000"/>
                <w:sz w:val="22"/>
              </w:rPr>
            </w:pPr>
            <w:r>
              <w:rPr>
                <w:rFonts w:ascii="Calibri" w:hAnsi="Calibri"/>
                <w:color w:val="000000"/>
                <w:sz w:val="22"/>
              </w:rPr>
              <w:t>155</w:t>
            </w:r>
          </w:p>
        </w:tc>
        <w:tc>
          <w:tcPr>
            <w:tcW w:w="1264" w:type="dxa"/>
            <w:tcBorders>
              <w:top w:val="nil"/>
              <w:left w:val="nil"/>
              <w:bottom w:val="double" w:sz="6" w:space="0" w:color="auto"/>
              <w:right w:val="nil"/>
            </w:tcBorders>
            <w:shd w:val="clear" w:color="auto" w:fill="auto"/>
            <w:noWrap/>
            <w:vAlign w:val="bottom"/>
            <w:hideMark/>
          </w:tcPr>
          <w:p w14:paraId="0613BB32" w14:textId="0D5CCEE7" w:rsidR="00EB44DB" w:rsidRDefault="00EB44DB" w:rsidP="00EB44DB">
            <w:pPr>
              <w:jc w:val="center"/>
              <w:rPr>
                <w:rFonts w:ascii="Calibri" w:hAnsi="Calibri"/>
                <w:color w:val="000000"/>
                <w:sz w:val="22"/>
              </w:rPr>
            </w:pPr>
            <w:r>
              <w:rPr>
                <w:rFonts w:ascii="Calibri" w:hAnsi="Calibri"/>
                <w:color w:val="000000"/>
                <w:sz w:val="22"/>
              </w:rPr>
              <w:t>93.7%</w:t>
            </w:r>
          </w:p>
        </w:tc>
        <w:tc>
          <w:tcPr>
            <w:tcW w:w="1428" w:type="dxa"/>
            <w:tcBorders>
              <w:top w:val="nil"/>
              <w:left w:val="nil"/>
              <w:bottom w:val="double" w:sz="6" w:space="0" w:color="auto"/>
              <w:right w:val="single" w:sz="12" w:space="0" w:color="auto"/>
            </w:tcBorders>
            <w:shd w:val="clear" w:color="auto" w:fill="auto"/>
            <w:noWrap/>
            <w:vAlign w:val="bottom"/>
            <w:hideMark/>
          </w:tcPr>
          <w:p w14:paraId="3E0119D2" w14:textId="37F80053" w:rsidR="00EB44DB" w:rsidRDefault="00EB44DB" w:rsidP="00EB44DB">
            <w:pPr>
              <w:jc w:val="center"/>
              <w:rPr>
                <w:rFonts w:ascii="Calibri" w:hAnsi="Calibri"/>
                <w:color w:val="000000"/>
                <w:sz w:val="22"/>
              </w:rPr>
            </w:pPr>
            <w:r>
              <w:rPr>
                <w:rFonts w:ascii="Calibri" w:hAnsi="Calibri"/>
                <w:color w:val="000000"/>
                <w:sz w:val="22"/>
              </w:rPr>
              <w:t>93.4%</w:t>
            </w:r>
          </w:p>
        </w:tc>
      </w:tr>
      <w:tr w:rsidR="00EB44DB" w:rsidRPr="00024484" w14:paraId="46F6F57E" w14:textId="77777777" w:rsidTr="00EB44DB">
        <w:trPr>
          <w:trHeight w:val="297"/>
        </w:trPr>
        <w:tc>
          <w:tcPr>
            <w:tcW w:w="1170" w:type="dxa"/>
            <w:tcBorders>
              <w:top w:val="nil"/>
              <w:left w:val="single" w:sz="12" w:space="0" w:color="auto"/>
              <w:bottom w:val="single" w:sz="12" w:space="0" w:color="auto"/>
              <w:right w:val="nil"/>
            </w:tcBorders>
            <w:shd w:val="clear" w:color="auto" w:fill="auto"/>
            <w:noWrap/>
            <w:vAlign w:val="bottom"/>
            <w:hideMark/>
          </w:tcPr>
          <w:p w14:paraId="35249D97" w14:textId="77777777" w:rsidR="00EB44DB" w:rsidRPr="00A51BC3" w:rsidRDefault="00EB44DB" w:rsidP="00EB44DB">
            <w:pPr>
              <w:spacing w:line="240" w:lineRule="auto"/>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State</w:t>
            </w:r>
          </w:p>
        </w:tc>
        <w:tc>
          <w:tcPr>
            <w:tcW w:w="1292" w:type="dxa"/>
            <w:tcBorders>
              <w:top w:val="nil"/>
              <w:left w:val="double" w:sz="6" w:space="0" w:color="auto"/>
              <w:bottom w:val="single" w:sz="12" w:space="0" w:color="auto"/>
              <w:right w:val="nil"/>
            </w:tcBorders>
            <w:shd w:val="clear" w:color="auto" w:fill="auto"/>
            <w:noWrap/>
            <w:vAlign w:val="bottom"/>
            <w:hideMark/>
          </w:tcPr>
          <w:p w14:paraId="58BE7C5A" w14:textId="3A1F76AC" w:rsidR="00EB44DB" w:rsidRPr="00EB44DB" w:rsidRDefault="00EB44DB" w:rsidP="00EB44DB">
            <w:pPr>
              <w:spacing w:line="240" w:lineRule="auto"/>
              <w:jc w:val="center"/>
              <w:rPr>
                <w:rFonts w:asciiTheme="minorHAnsi" w:eastAsia="Times New Roman" w:hAnsiTheme="minorHAnsi" w:cs="Times New Roman"/>
                <w:b/>
                <w:color w:val="000000"/>
                <w:szCs w:val="24"/>
              </w:rPr>
            </w:pPr>
            <w:r w:rsidRPr="00EB44DB">
              <w:rPr>
                <w:rFonts w:asciiTheme="minorHAnsi" w:hAnsiTheme="minorHAnsi" w:cs="Arial"/>
                <w:b/>
                <w:color w:val="000000"/>
                <w:sz w:val="22"/>
              </w:rPr>
              <w:t>2,209</w:t>
            </w:r>
          </w:p>
        </w:tc>
        <w:tc>
          <w:tcPr>
            <w:tcW w:w="1508" w:type="dxa"/>
            <w:tcBorders>
              <w:top w:val="nil"/>
              <w:left w:val="nil"/>
              <w:bottom w:val="single" w:sz="12" w:space="0" w:color="auto"/>
              <w:right w:val="nil"/>
            </w:tcBorders>
            <w:shd w:val="clear" w:color="auto" w:fill="auto"/>
            <w:noWrap/>
            <w:vAlign w:val="bottom"/>
            <w:hideMark/>
          </w:tcPr>
          <w:p w14:paraId="1EB56203" w14:textId="4F24DBE2" w:rsidR="00EB44DB" w:rsidRPr="00EB44DB" w:rsidRDefault="00EB44DB" w:rsidP="00EB44DB">
            <w:pPr>
              <w:spacing w:line="240" w:lineRule="auto"/>
              <w:jc w:val="center"/>
              <w:rPr>
                <w:rFonts w:asciiTheme="minorHAnsi" w:eastAsia="Times New Roman" w:hAnsiTheme="minorHAnsi" w:cs="Times New Roman"/>
                <w:b/>
                <w:color w:val="000000"/>
                <w:szCs w:val="24"/>
                <w:highlight w:val="yellow"/>
              </w:rPr>
            </w:pPr>
            <w:r w:rsidRPr="00EB44DB">
              <w:rPr>
                <w:rFonts w:asciiTheme="minorHAnsi" w:hAnsiTheme="minorHAnsi" w:cs="Arial"/>
                <w:b/>
                <w:color w:val="000000"/>
                <w:sz w:val="22"/>
              </w:rPr>
              <w:t>92.6%</w:t>
            </w:r>
          </w:p>
        </w:tc>
        <w:tc>
          <w:tcPr>
            <w:tcW w:w="1448" w:type="dxa"/>
            <w:tcBorders>
              <w:top w:val="nil"/>
              <w:left w:val="nil"/>
              <w:bottom w:val="single" w:sz="12" w:space="0" w:color="auto"/>
              <w:right w:val="double" w:sz="6" w:space="0" w:color="auto"/>
            </w:tcBorders>
            <w:shd w:val="clear" w:color="auto" w:fill="auto"/>
            <w:noWrap/>
            <w:vAlign w:val="bottom"/>
            <w:hideMark/>
          </w:tcPr>
          <w:p w14:paraId="2F7DD459" w14:textId="2F2F6922" w:rsidR="00EB44DB" w:rsidRPr="00EB44DB" w:rsidRDefault="00EB44DB" w:rsidP="00EB44DB">
            <w:pPr>
              <w:spacing w:line="240" w:lineRule="auto"/>
              <w:jc w:val="center"/>
              <w:rPr>
                <w:rFonts w:asciiTheme="minorHAnsi" w:hAnsiTheme="minorHAnsi" w:cs="Arial"/>
                <w:b/>
                <w:color w:val="000000"/>
                <w:szCs w:val="24"/>
              </w:rPr>
            </w:pPr>
            <w:r w:rsidRPr="00EB44DB">
              <w:rPr>
                <w:rFonts w:asciiTheme="minorHAnsi" w:hAnsiTheme="minorHAnsi" w:cs="Arial"/>
                <w:b/>
                <w:color w:val="000000"/>
                <w:sz w:val="22"/>
              </w:rPr>
              <w:t>92.4%</w:t>
            </w:r>
          </w:p>
        </w:tc>
        <w:tc>
          <w:tcPr>
            <w:tcW w:w="1448" w:type="dxa"/>
            <w:tcBorders>
              <w:top w:val="nil"/>
              <w:left w:val="nil"/>
              <w:bottom w:val="single" w:sz="12" w:space="0" w:color="auto"/>
              <w:right w:val="nil"/>
            </w:tcBorders>
            <w:shd w:val="clear" w:color="auto" w:fill="auto"/>
            <w:noWrap/>
            <w:vAlign w:val="bottom"/>
            <w:hideMark/>
          </w:tcPr>
          <w:p w14:paraId="09482A36" w14:textId="5C6F61C4" w:rsidR="00EB44DB" w:rsidRPr="00EB44DB" w:rsidRDefault="00EB44DB" w:rsidP="00EB44DB">
            <w:pPr>
              <w:spacing w:line="240" w:lineRule="auto"/>
              <w:jc w:val="center"/>
              <w:rPr>
                <w:rFonts w:ascii="Franklin Gothic Medium" w:eastAsia="Times New Roman" w:hAnsi="Franklin Gothic Medium" w:cs="Times New Roman"/>
                <w:b/>
                <w:color w:val="000000"/>
                <w:szCs w:val="24"/>
                <w:highlight w:val="yellow"/>
              </w:rPr>
            </w:pPr>
            <w:r w:rsidRPr="00EB44DB">
              <w:rPr>
                <w:rFonts w:ascii="Calibri" w:hAnsi="Calibri"/>
                <w:b/>
                <w:color w:val="000000"/>
                <w:sz w:val="22"/>
              </w:rPr>
              <w:t>993</w:t>
            </w:r>
          </w:p>
        </w:tc>
        <w:tc>
          <w:tcPr>
            <w:tcW w:w="1264" w:type="dxa"/>
            <w:tcBorders>
              <w:top w:val="nil"/>
              <w:left w:val="nil"/>
              <w:bottom w:val="single" w:sz="12" w:space="0" w:color="auto"/>
              <w:right w:val="nil"/>
            </w:tcBorders>
            <w:shd w:val="clear" w:color="auto" w:fill="auto"/>
            <w:noWrap/>
            <w:vAlign w:val="bottom"/>
            <w:hideMark/>
          </w:tcPr>
          <w:p w14:paraId="3087FEDC" w14:textId="3F21193D" w:rsidR="00EB44DB" w:rsidRPr="00A51BC3" w:rsidRDefault="00EB44DB" w:rsidP="00EB44DB">
            <w:pPr>
              <w:spacing w:line="240" w:lineRule="auto"/>
              <w:jc w:val="center"/>
              <w:rPr>
                <w:rFonts w:ascii="Franklin Gothic Medium" w:eastAsia="Times New Roman" w:hAnsi="Franklin Gothic Medium" w:cs="Times New Roman"/>
                <w:color w:val="000000"/>
                <w:szCs w:val="24"/>
                <w:highlight w:val="yellow"/>
              </w:rPr>
            </w:pPr>
            <w:r>
              <w:rPr>
                <w:rFonts w:ascii="Calibri" w:hAnsi="Calibri"/>
                <w:b/>
                <w:bCs/>
                <w:color w:val="000000"/>
                <w:sz w:val="22"/>
              </w:rPr>
              <w:t>94.3%</w:t>
            </w:r>
          </w:p>
        </w:tc>
        <w:tc>
          <w:tcPr>
            <w:tcW w:w="1428" w:type="dxa"/>
            <w:tcBorders>
              <w:top w:val="nil"/>
              <w:left w:val="nil"/>
              <w:bottom w:val="single" w:sz="12" w:space="0" w:color="auto"/>
              <w:right w:val="single" w:sz="12" w:space="0" w:color="auto"/>
            </w:tcBorders>
            <w:shd w:val="clear" w:color="auto" w:fill="auto"/>
            <w:noWrap/>
            <w:vAlign w:val="bottom"/>
            <w:hideMark/>
          </w:tcPr>
          <w:p w14:paraId="6C48FBF6" w14:textId="5AE5530E" w:rsidR="00EB44DB" w:rsidRPr="00A51BC3" w:rsidRDefault="00EB44DB" w:rsidP="00EB44DB">
            <w:pPr>
              <w:spacing w:line="240" w:lineRule="auto"/>
              <w:jc w:val="center"/>
              <w:rPr>
                <w:rFonts w:ascii="Franklin Gothic Medium" w:eastAsia="Times New Roman" w:hAnsi="Franklin Gothic Medium" w:cs="Times New Roman"/>
                <w:color w:val="000000"/>
                <w:szCs w:val="24"/>
                <w:highlight w:val="yellow"/>
              </w:rPr>
            </w:pPr>
            <w:r>
              <w:rPr>
                <w:rFonts w:ascii="Calibri" w:hAnsi="Calibri"/>
                <w:b/>
                <w:bCs/>
                <w:color w:val="000000"/>
                <w:sz w:val="22"/>
              </w:rPr>
              <w:t>94.4%</w:t>
            </w:r>
          </w:p>
        </w:tc>
      </w:tr>
    </w:tbl>
    <w:p w14:paraId="6C4F0585" w14:textId="77777777" w:rsidR="00EB44DB" w:rsidRDefault="00EB44DB" w:rsidP="00EB44DB"/>
    <w:p w14:paraId="2E939D81" w14:textId="77777777" w:rsidR="00EB44DB" w:rsidRDefault="00EB44DB" w:rsidP="00EB44DB"/>
    <w:p w14:paraId="004EAF0F" w14:textId="339F3326" w:rsidR="003649E9" w:rsidRDefault="00753255" w:rsidP="001B6245">
      <w:pPr>
        <w:pStyle w:val="Heading3"/>
      </w:pPr>
      <w:bookmarkStart w:id="62" w:name="_Toc459080650"/>
      <w:r>
        <w:t>Summary of</w:t>
      </w:r>
      <w:r w:rsidR="003649E9">
        <w:t xml:space="preserve"> PDR Scores by Region</w:t>
      </w:r>
      <w:bookmarkEnd w:id="62"/>
    </w:p>
    <w:p w14:paraId="659E75E3" w14:textId="14882A81" w:rsidR="003649E9" w:rsidRDefault="003649E9" w:rsidP="003649E9">
      <w:pPr>
        <w:rPr>
          <w:b/>
        </w:rPr>
      </w:pPr>
      <w:r>
        <w:t xml:space="preserve">Information in Tables 23 and 24 provides a summary of the average weighted PDR results by region for service providers and WSCs respectively. </w:t>
      </w:r>
      <w:r w:rsidR="00C84BB2">
        <w:t xml:space="preserve"> </w:t>
      </w:r>
      <w:r w:rsidRPr="002F4CEE">
        <w:t xml:space="preserve">For support coordinators, the </w:t>
      </w:r>
      <w:r>
        <w:t>A</w:t>
      </w:r>
      <w:r w:rsidRPr="002F4CEE">
        <w:t xml:space="preserve">nnounced record reviews are completed as part of a PCR.  </w:t>
      </w:r>
      <w:r>
        <w:t>U</w:t>
      </w:r>
      <w:r w:rsidRPr="002F4CEE">
        <w:t xml:space="preserve">nannounced record reviews are requested </w:t>
      </w:r>
      <w:r w:rsidR="002D7E0C">
        <w:t xml:space="preserve">once </w:t>
      </w:r>
      <w:r w:rsidR="00F767D6">
        <w:t xml:space="preserve">the reviewer is </w:t>
      </w:r>
      <w:r w:rsidRPr="002F4CEE">
        <w:t>onsite</w:t>
      </w:r>
      <w:r w:rsidR="00F14550">
        <w:t xml:space="preserve"> and ready to </w:t>
      </w:r>
      <w:r w:rsidR="00B04824">
        <w:t>begin the record review process</w:t>
      </w:r>
      <w:r>
        <w:t xml:space="preserve">.  </w:t>
      </w:r>
      <w:r w:rsidR="00D12C2A">
        <w:lastRenderedPageBreak/>
        <w:t xml:space="preserve">Until all reviews are completed for the year, findings should not be generalized to the population and comparisons across regions and review components should be made with caution.  </w:t>
      </w:r>
    </w:p>
    <w:p w14:paraId="0B1D8273" w14:textId="77777777" w:rsidR="003649E9" w:rsidRDefault="003649E9" w:rsidP="003649E9">
      <w:pPr>
        <w:rPr>
          <w:b/>
        </w:rPr>
      </w:pPr>
    </w:p>
    <w:tbl>
      <w:tblPr>
        <w:tblW w:w="10133" w:type="dxa"/>
        <w:jc w:val="center"/>
        <w:tblLook w:val="04A0" w:firstRow="1" w:lastRow="0" w:firstColumn="1" w:lastColumn="0" w:noHBand="0" w:noVBand="1"/>
      </w:tblPr>
      <w:tblGrid>
        <w:gridCol w:w="1245"/>
        <w:gridCol w:w="1548"/>
        <w:gridCol w:w="1778"/>
        <w:gridCol w:w="1484"/>
        <w:gridCol w:w="1506"/>
        <w:gridCol w:w="1360"/>
        <w:gridCol w:w="1212"/>
      </w:tblGrid>
      <w:tr w:rsidR="003649E9" w:rsidRPr="00A673A5" w14:paraId="699ADD01" w14:textId="77777777" w:rsidTr="003649E9">
        <w:trPr>
          <w:trHeight w:val="659"/>
          <w:jc w:val="center"/>
        </w:trPr>
        <w:tc>
          <w:tcPr>
            <w:tcW w:w="10133" w:type="dxa"/>
            <w:gridSpan w:val="7"/>
            <w:tcBorders>
              <w:top w:val="single" w:sz="4" w:space="0" w:color="auto"/>
              <w:left w:val="single" w:sz="4" w:space="0" w:color="auto"/>
              <w:bottom w:val="nil"/>
              <w:right w:val="single" w:sz="4" w:space="0" w:color="auto"/>
            </w:tcBorders>
            <w:shd w:val="clear" w:color="000000" w:fill="244062"/>
            <w:noWrap/>
            <w:vAlign w:val="bottom"/>
            <w:hideMark/>
          </w:tcPr>
          <w:p w14:paraId="062236BE" w14:textId="77777777" w:rsidR="003649E9" w:rsidRPr="00A51BC3" w:rsidRDefault="003649E9" w:rsidP="003649E9">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Table 23:  PDR Weighted Scores for Service Providers</w:t>
            </w:r>
          </w:p>
        </w:tc>
      </w:tr>
      <w:tr w:rsidR="003649E9" w:rsidRPr="00A673A5" w14:paraId="034E365F" w14:textId="77777777" w:rsidTr="003649E9">
        <w:trPr>
          <w:trHeight w:val="101"/>
          <w:jc w:val="center"/>
        </w:trPr>
        <w:tc>
          <w:tcPr>
            <w:tcW w:w="10133" w:type="dxa"/>
            <w:gridSpan w:val="7"/>
            <w:tcBorders>
              <w:top w:val="nil"/>
              <w:left w:val="single" w:sz="4" w:space="0" w:color="auto"/>
              <w:bottom w:val="nil"/>
              <w:right w:val="single" w:sz="4" w:space="0" w:color="auto"/>
            </w:tcBorders>
            <w:shd w:val="clear" w:color="000000" w:fill="244062"/>
            <w:noWrap/>
            <w:vAlign w:val="bottom"/>
            <w:hideMark/>
          </w:tcPr>
          <w:p w14:paraId="751D623A" w14:textId="77C841D4" w:rsidR="003649E9" w:rsidRPr="00A51BC3" w:rsidRDefault="003649E9" w:rsidP="00890EAE">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 xml:space="preserve">January – </w:t>
            </w:r>
            <w:r w:rsidR="00890EAE">
              <w:rPr>
                <w:rFonts w:ascii="Franklin Gothic Medium" w:eastAsia="Times New Roman" w:hAnsi="Franklin Gothic Medium" w:cs="Times New Roman"/>
                <w:bCs/>
                <w:color w:val="FFFFFF"/>
                <w:szCs w:val="24"/>
              </w:rPr>
              <w:t>June</w:t>
            </w:r>
            <w:r w:rsidRPr="00A51BC3">
              <w:rPr>
                <w:rFonts w:ascii="Franklin Gothic Medium" w:eastAsia="Times New Roman" w:hAnsi="Franklin Gothic Medium" w:cs="Times New Roman"/>
                <w:bCs/>
                <w:color w:val="FFFFFF"/>
                <w:szCs w:val="24"/>
              </w:rPr>
              <w:t xml:space="preserve"> 2016</w:t>
            </w:r>
          </w:p>
        </w:tc>
      </w:tr>
      <w:tr w:rsidR="003649E9" w:rsidRPr="00A673A5" w14:paraId="13E33CA3" w14:textId="77777777" w:rsidTr="003649E9">
        <w:trPr>
          <w:trHeight w:val="1128"/>
          <w:jc w:val="center"/>
        </w:trPr>
        <w:tc>
          <w:tcPr>
            <w:tcW w:w="1245" w:type="dxa"/>
            <w:tcBorders>
              <w:top w:val="single" w:sz="8" w:space="0" w:color="7BA0CD"/>
              <w:left w:val="single" w:sz="4" w:space="0" w:color="auto"/>
              <w:bottom w:val="nil"/>
              <w:right w:val="nil"/>
            </w:tcBorders>
            <w:shd w:val="clear" w:color="000000" w:fill="244061"/>
            <w:vAlign w:val="bottom"/>
            <w:hideMark/>
          </w:tcPr>
          <w:p w14:paraId="6A88922E" w14:textId="77777777" w:rsidR="003649E9" w:rsidRPr="00A51BC3" w:rsidRDefault="003649E9" w:rsidP="003649E9">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Region</w:t>
            </w:r>
          </w:p>
        </w:tc>
        <w:tc>
          <w:tcPr>
            <w:tcW w:w="1548" w:type="dxa"/>
            <w:tcBorders>
              <w:top w:val="single" w:sz="8" w:space="0" w:color="7BA0CD"/>
              <w:left w:val="nil"/>
              <w:bottom w:val="nil"/>
              <w:right w:val="nil"/>
            </w:tcBorders>
            <w:shd w:val="clear" w:color="000000" w:fill="244061"/>
            <w:vAlign w:val="bottom"/>
            <w:hideMark/>
          </w:tcPr>
          <w:p w14:paraId="145CED58" w14:textId="7701835B" w:rsidR="003649E9" w:rsidRPr="00A51BC3" w:rsidRDefault="003649E9" w:rsidP="00890EAE">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Policy &amp; Procedure (N=</w:t>
            </w:r>
            <w:r w:rsidR="00890EAE">
              <w:rPr>
                <w:rFonts w:ascii="Franklin Gothic Medium" w:eastAsia="Times New Roman" w:hAnsi="Franklin Gothic Medium" w:cs="Times New Roman"/>
                <w:bCs/>
                <w:color w:val="FFFFFF"/>
                <w:szCs w:val="24"/>
              </w:rPr>
              <w:t>668</w:t>
            </w:r>
            <w:r w:rsidRPr="00A51BC3">
              <w:rPr>
                <w:rFonts w:ascii="Franklin Gothic Medium" w:eastAsia="Times New Roman" w:hAnsi="Franklin Gothic Medium" w:cs="Times New Roman"/>
                <w:bCs/>
                <w:color w:val="FFFFFF"/>
                <w:szCs w:val="24"/>
              </w:rPr>
              <w:t>)</w:t>
            </w:r>
          </w:p>
        </w:tc>
        <w:tc>
          <w:tcPr>
            <w:tcW w:w="1778" w:type="dxa"/>
            <w:tcBorders>
              <w:top w:val="single" w:sz="8" w:space="0" w:color="7BA0CD"/>
              <w:left w:val="nil"/>
              <w:bottom w:val="nil"/>
              <w:right w:val="nil"/>
            </w:tcBorders>
            <w:shd w:val="clear" w:color="000000" w:fill="244061"/>
            <w:vAlign w:val="bottom"/>
            <w:hideMark/>
          </w:tcPr>
          <w:p w14:paraId="4C0A1266" w14:textId="450D409A" w:rsidR="003649E9" w:rsidRPr="00A51BC3" w:rsidRDefault="003649E9" w:rsidP="00890EAE">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Qualifications &amp; Training (N=</w:t>
            </w:r>
            <w:r w:rsidR="00890EAE">
              <w:rPr>
                <w:rFonts w:ascii="Franklin Gothic Medium" w:eastAsia="Times New Roman" w:hAnsi="Franklin Gothic Medium" w:cs="Times New Roman"/>
                <w:bCs/>
                <w:color w:val="FFFFFF"/>
                <w:szCs w:val="24"/>
              </w:rPr>
              <w:t>668</w:t>
            </w:r>
            <w:r w:rsidRPr="00A51BC3">
              <w:rPr>
                <w:rFonts w:ascii="Franklin Gothic Medium" w:eastAsia="Times New Roman" w:hAnsi="Franklin Gothic Medium" w:cs="Times New Roman"/>
                <w:bCs/>
                <w:color w:val="FFFFFF"/>
                <w:szCs w:val="24"/>
              </w:rPr>
              <w:t>)</w:t>
            </w:r>
          </w:p>
        </w:tc>
        <w:tc>
          <w:tcPr>
            <w:tcW w:w="1484" w:type="dxa"/>
            <w:tcBorders>
              <w:top w:val="single" w:sz="8" w:space="0" w:color="7BA0CD"/>
              <w:left w:val="nil"/>
              <w:bottom w:val="nil"/>
              <w:right w:val="nil"/>
            </w:tcBorders>
            <w:shd w:val="clear" w:color="000000" w:fill="244061"/>
            <w:vAlign w:val="bottom"/>
            <w:hideMark/>
          </w:tcPr>
          <w:p w14:paraId="3970AD32" w14:textId="77777777" w:rsidR="003649E9" w:rsidRPr="00A51BC3" w:rsidRDefault="003649E9" w:rsidP="003649E9">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Service Record Reviews</w:t>
            </w:r>
          </w:p>
          <w:p w14:paraId="32B11E59" w14:textId="750F1EE7" w:rsidR="003649E9" w:rsidRPr="00A51BC3" w:rsidRDefault="003649E9" w:rsidP="00890EAE">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 xml:space="preserve"> (N= </w:t>
            </w:r>
            <w:r w:rsidR="00890EAE">
              <w:rPr>
                <w:rFonts w:ascii="Franklin Gothic Medium" w:eastAsia="Times New Roman" w:hAnsi="Franklin Gothic Medium" w:cs="Times New Roman"/>
                <w:bCs/>
                <w:color w:val="FFFFFF"/>
                <w:szCs w:val="24"/>
              </w:rPr>
              <w:t>2,209</w:t>
            </w:r>
            <w:r w:rsidRPr="00A51BC3">
              <w:rPr>
                <w:rFonts w:ascii="Franklin Gothic Medium" w:eastAsia="Times New Roman" w:hAnsi="Franklin Gothic Medium" w:cs="Times New Roman"/>
                <w:bCs/>
                <w:color w:val="FFFFFF"/>
                <w:szCs w:val="24"/>
              </w:rPr>
              <w:t>)</w:t>
            </w:r>
          </w:p>
        </w:tc>
        <w:tc>
          <w:tcPr>
            <w:tcW w:w="1506" w:type="dxa"/>
            <w:tcBorders>
              <w:top w:val="single" w:sz="8" w:space="0" w:color="7BA0CD"/>
              <w:left w:val="nil"/>
              <w:bottom w:val="nil"/>
              <w:right w:val="nil"/>
            </w:tcBorders>
            <w:shd w:val="clear" w:color="000000" w:fill="244061"/>
            <w:vAlign w:val="bottom"/>
            <w:hideMark/>
          </w:tcPr>
          <w:p w14:paraId="4FE6053D" w14:textId="0639FA41" w:rsidR="003649E9" w:rsidRPr="00A51BC3" w:rsidRDefault="003649E9" w:rsidP="00890EAE">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Staff Interview (N=</w:t>
            </w:r>
            <w:r w:rsidR="00890EAE">
              <w:rPr>
                <w:rFonts w:ascii="Franklin Gothic Medium" w:eastAsia="Times New Roman" w:hAnsi="Franklin Gothic Medium" w:cs="Times New Roman"/>
                <w:bCs/>
                <w:color w:val="FFFFFF"/>
                <w:szCs w:val="24"/>
              </w:rPr>
              <w:t>1,017</w:t>
            </w:r>
            <w:r w:rsidRPr="00A51BC3">
              <w:rPr>
                <w:rFonts w:ascii="Franklin Gothic Medium" w:eastAsia="Times New Roman" w:hAnsi="Franklin Gothic Medium" w:cs="Times New Roman"/>
                <w:bCs/>
                <w:color w:val="FFFFFF"/>
                <w:szCs w:val="24"/>
              </w:rPr>
              <w:t>)</w:t>
            </w:r>
          </w:p>
        </w:tc>
        <w:tc>
          <w:tcPr>
            <w:tcW w:w="1360" w:type="dxa"/>
            <w:tcBorders>
              <w:top w:val="single" w:sz="8" w:space="0" w:color="7BA0CD"/>
              <w:left w:val="nil"/>
              <w:bottom w:val="nil"/>
              <w:right w:val="nil"/>
            </w:tcBorders>
            <w:shd w:val="clear" w:color="000000" w:fill="244061"/>
            <w:vAlign w:val="bottom"/>
            <w:hideMark/>
          </w:tcPr>
          <w:p w14:paraId="4663C4E2" w14:textId="32078A5A" w:rsidR="003649E9" w:rsidRPr="00A51BC3" w:rsidRDefault="003649E9" w:rsidP="00417D22">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Provider Individual Interview (N=</w:t>
            </w:r>
            <w:r w:rsidR="00417D22">
              <w:rPr>
                <w:rFonts w:ascii="Franklin Gothic Medium" w:eastAsia="Times New Roman" w:hAnsi="Franklin Gothic Medium" w:cs="Times New Roman"/>
                <w:bCs/>
                <w:color w:val="FFFFFF"/>
                <w:szCs w:val="24"/>
              </w:rPr>
              <w:t>1,038</w:t>
            </w:r>
            <w:r w:rsidRPr="00A51BC3">
              <w:rPr>
                <w:rFonts w:ascii="Franklin Gothic Medium" w:eastAsia="Times New Roman" w:hAnsi="Franklin Gothic Medium" w:cs="Times New Roman"/>
                <w:bCs/>
                <w:color w:val="FFFFFF"/>
                <w:szCs w:val="24"/>
              </w:rPr>
              <w:t>)</w:t>
            </w:r>
          </w:p>
        </w:tc>
        <w:tc>
          <w:tcPr>
            <w:tcW w:w="1212" w:type="dxa"/>
            <w:tcBorders>
              <w:top w:val="single" w:sz="8" w:space="0" w:color="7BA0CD"/>
              <w:left w:val="nil"/>
              <w:bottom w:val="nil"/>
              <w:right w:val="single" w:sz="4" w:space="0" w:color="auto"/>
            </w:tcBorders>
            <w:shd w:val="clear" w:color="000000" w:fill="244061"/>
            <w:vAlign w:val="bottom"/>
            <w:hideMark/>
          </w:tcPr>
          <w:p w14:paraId="7C84F621" w14:textId="5F0FE11F" w:rsidR="003649E9" w:rsidRPr="00A51BC3" w:rsidRDefault="003649E9" w:rsidP="00417D22">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OBS</w:t>
            </w:r>
            <w:r w:rsidRPr="00A51BC3">
              <w:rPr>
                <w:rFonts w:ascii="Franklin Gothic Medium" w:eastAsia="Times New Roman" w:hAnsi="Franklin Gothic Medium" w:cs="Times New Roman"/>
                <w:bCs/>
                <w:color w:val="FFFFFF"/>
                <w:szCs w:val="24"/>
              </w:rPr>
              <w:br/>
              <w:t xml:space="preserve"> (N= </w:t>
            </w:r>
            <w:r w:rsidR="00417D22">
              <w:rPr>
                <w:rFonts w:ascii="Franklin Gothic Medium" w:eastAsia="Times New Roman" w:hAnsi="Franklin Gothic Medium" w:cs="Times New Roman"/>
                <w:bCs/>
                <w:color w:val="FFFFFF"/>
                <w:szCs w:val="24"/>
              </w:rPr>
              <w:t>461</w:t>
            </w:r>
            <w:r w:rsidRPr="00A51BC3">
              <w:rPr>
                <w:rFonts w:ascii="Franklin Gothic Medium" w:eastAsia="Times New Roman" w:hAnsi="Franklin Gothic Medium" w:cs="Times New Roman"/>
                <w:bCs/>
                <w:color w:val="FFFFFF"/>
                <w:szCs w:val="24"/>
              </w:rPr>
              <w:t>)</w:t>
            </w:r>
          </w:p>
        </w:tc>
      </w:tr>
      <w:tr w:rsidR="00417D22" w:rsidRPr="00A673A5" w14:paraId="34FC4202" w14:textId="77777777" w:rsidTr="00417D22">
        <w:trPr>
          <w:trHeight w:val="316"/>
          <w:jc w:val="center"/>
        </w:trPr>
        <w:tc>
          <w:tcPr>
            <w:tcW w:w="1245" w:type="dxa"/>
            <w:tcBorders>
              <w:top w:val="nil"/>
              <w:left w:val="single" w:sz="4" w:space="0" w:color="auto"/>
              <w:bottom w:val="single" w:sz="8" w:space="0" w:color="7BA0CD"/>
              <w:right w:val="nil"/>
            </w:tcBorders>
            <w:shd w:val="clear" w:color="000000" w:fill="D3DFEE"/>
            <w:noWrap/>
            <w:vAlign w:val="center"/>
            <w:hideMark/>
          </w:tcPr>
          <w:p w14:paraId="0F99FB3B" w14:textId="77777777" w:rsidR="00417D22" w:rsidRPr="00A51BC3" w:rsidRDefault="00417D22"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Northwest</w:t>
            </w:r>
          </w:p>
        </w:tc>
        <w:tc>
          <w:tcPr>
            <w:tcW w:w="1548" w:type="dxa"/>
            <w:tcBorders>
              <w:top w:val="nil"/>
              <w:left w:val="nil"/>
              <w:bottom w:val="single" w:sz="8" w:space="0" w:color="7BA0CD"/>
              <w:right w:val="nil"/>
            </w:tcBorders>
            <w:shd w:val="clear" w:color="000000" w:fill="D3DFEE"/>
            <w:noWrap/>
            <w:vAlign w:val="bottom"/>
            <w:hideMark/>
          </w:tcPr>
          <w:p w14:paraId="2147BAE3"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100.0%</w:t>
            </w:r>
          </w:p>
        </w:tc>
        <w:tc>
          <w:tcPr>
            <w:tcW w:w="1778" w:type="dxa"/>
            <w:tcBorders>
              <w:top w:val="nil"/>
              <w:left w:val="nil"/>
              <w:bottom w:val="single" w:sz="8" w:space="0" w:color="7BA0CD"/>
              <w:right w:val="nil"/>
            </w:tcBorders>
            <w:shd w:val="clear" w:color="000000" w:fill="D3DFEE"/>
            <w:noWrap/>
            <w:vAlign w:val="bottom"/>
            <w:hideMark/>
          </w:tcPr>
          <w:p w14:paraId="57D94FA2"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96.8%</w:t>
            </w:r>
          </w:p>
        </w:tc>
        <w:tc>
          <w:tcPr>
            <w:tcW w:w="1484" w:type="dxa"/>
            <w:tcBorders>
              <w:top w:val="nil"/>
              <w:left w:val="nil"/>
              <w:bottom w:val="single" w:sz="8" w:space="0" w:color="7BA0CD"/>
              <w:right w:val="nil"/>
            </w:tcBorders>
            <w:shd w:val="clear" w:color="000000" w:fill="D3DFEE"/>
            <w:noWrap/>
            <w:vAlign w:val="bottom"/>
            <w:hideMark/>
          </w:tcPr>
          <w:p w14:paraId="46D0EA65"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96.1%</w:t>
            </w:r>
          </w:p>
        </w:tc>
        <w:tc>
          <w:tcPr>
            <w:tcW w:w="1506" w:type="dxa"/>
            <w:tcBorders>
              <w:top w:val="nil"/>
              <w:left w:val="nil"/>
              <w:bottom w:val="single" w:sz="8" w:space="0" w:color="7BA0CD"/>
              <w:right w:val="nil"/>
            </w:tcBorders>
            <w:shd w:val="clear" w:color="000000" w:fill="D3DFEE"/>
            <w:noWrap/>
            <w:vAlign w:val="bottom"/>
            <w:hideMark/>
          </w:tcPr>
          <w:p w14:paraId="57BCF7C9"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99.3%</w:t>
            </w:r>
          </w:p>
        </w:tc>
        <w:tc>
          <w:tcPr>
            <w:tcW w:w="1360" w:type="dxa"/>
            <w:tcBorders>
              <w:top w:val="nil"/>
              <w:left w:val="nil"/>
              <w:bottom w:val="single" w:sz="8" w:space="0" w:color="7BA0CD"/>
              <w:right w:val="nil"/>
            </w:tcBorders>
            <w:shd w:val="clear" w:color="000000" w:fill="D3DFEE"/>
            <w:noWrap/>
            <w:vAlign w:val="bottom"/>
            <w:hideMark/>
          </w:tcPr>
          <w:p w14:paraId="077AC4B9"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97.7%</w:t>
            </w:r>
          </w:p>
        </w:tc>
        <w:tc>
          <w:tcPr>
            <w:tcW w:w="1212" w:type="dxa"/>
            <w:tcBorders>
              <w:top w:val="nil"/>
              <w:left w:val="nil"/>
              <w:bottom w:val="single" w:sz="8" w:space="0" w:color="7BA0CD"/>
              <w:right w:val="single" w:sz="4" w:space="0" w:color="auto"/>
            </w:tcBorders>
            <w:shd w:val="clear" w:color="000000" w:fill="D3DFEE"/>
            <w:noWrap/>
            <w:vAlign w:val="bottom"/>
          </w:tcPr>
          <w:p w14:paraId="0BD99380" w14:textId="63F7CE82" w:rsidR="00417D22" w:rsidRPr="00417D22" w:rsidRDefault="00417D22" w:rsidP="00417D22">
            <w:pPr>
              <w:jc w:val="center"/>
              <w:rPr>
                <w:rFonts w:asciiTheme="minorHAnsi" w:hAnsiTheme="minorHAnsi"/>
                <w:color w:val="000000"/>
                <w:sz w:val="22"/>
              </w:rPr>
            </w:pPr>
            <w:r w:rsidRPr="00417D22">
              <w:rPr>
                <w:rFonts w:asciiTheme="minorHAnsi" w:hAnsiTheme="minorHAnsi" w:cs="Arial"/>
                <w:bCs/>
                <w:color w:val="000000"/>
                <w:sz w:val="22"/>
              </w:rPr>
              <w:t>97.2%</w:t>
            </w:r>
          </w:p>
        </w:tc>
      </w:tr>
      <w:tr w:rsidR="00417D22" w:rsidRPr="00A673A5" w14:paraId="7015D5B1" w14:textId="77777777" w:rsidTr="00417D22">
        <w:trPr>
          <w:trHeight w:val="316"/>
          <w:jc w:val="center"/>
        </w:trPr>
        <w:tc>
          <w:tcPr>
            <w:tcW w:w="1245" w:type="dxa"/>
            <w:tcBorders>
              <w:top w:val="nil"/>
              <w:left w:val="single" w:sz="4" w:space="0" w:color="auto"/>
              <w:bottom w:val="single" w:sz="8" w:space="0" w:color="7BA0CD"/>
              <w:right w:val="nil"/>
            </w:tcBorders>
            <w:shd w:val="clear" w:color="auto" w:fill="auto"/>
            <w:noWrap/>
            <w:vAlign w:val="center"/>
            <w:hideMark/>
          </w:tcPr>
          <w:p w14:paraId="4C7D1C85" w14:textId="77777777" w:rsidR="00417D22" w:rsidRPr="00A51BC3" w:rsidRDefault="00417D22"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Northeast</w:t>
            </w:r>
          </w:p>
        </w:tc>
        <w:tc>
          <w:tcPr>
            <w:tcW w:w="1548" w:type="dxa"/>
            <w:tcBorders>
              <w:top w:val="nil"/>
              <w:left w:val="nil"/>
              <w:bottom w:val="single" w:sz="8" w:space="0" w:color="7BA0CD"/>
              <w:right w:val="nil"/>
            </w:tcBorders>
            <w:shd w:val="clear" w:color="auto" w:fill="auto"/>
            <w:noWrap/>
            <w:vAlign w:val="bottom"/>
            <w:hideMark/>
          </w:tcPr>
          <w:p w14:paraId="76BBF354"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93.8%</w:t>
            </w:r>
          </w:p>
        </w:tc>
        <w:tc>
          <w:tcPr>
            <w:tcW w:w="1778" w:type="dxa"/>
            <w:tcBorders>
              <w:top w:val="nil"/>
              <w:left w:val="nil"/>
              <w:bottom w:val="single" w:sz="8" w:space="0" w:color="7BA0CD"/>
              <w:right w:val="nil"/>
            </w:tcBorders>
            <w:shd w:val="clear" w:color="auto" w:fill="auto"/>
            <w:noWrap/>
            <w:vAlign w:val="bottom"/>
            <w:hideMark/>
          </w:tcPr>
          <w:p w14:paraId="2372D5A1"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96.8%</w:t>
            </w:r>
          </w:p>
        </w:tc>
        <w:tc>
          <w:tcPr>
            <w:tcW w:w="1484" w:type="dxa"/>
            <w:tcBorders>
              <w:top w:val="nil"/>
              <w:left w:val="nil"/>
              <w:bottom w:val="single" w:sz="8" w:space="0" w:color="7BA0CD"/>
              <w:right w:val="nil"/>
            </w:tcBorders>
            <w:shd w:val="clear" w:color="auto" w:fill="auto"/>
            <w:noWrap/>
            <w:vAlign w:val="bottom"/>
            <w:hideMark/>
          </w:tcPr>
          <w:p w14:paraId="077A3B90"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89.8%</w:t>
            </w:r>
          </w:p>
        </w:tc>
        <w:tc>
          <w:tcPr>
            <w:tcW w:w="1506" w:type="dxa"/>
            <w:tcBorders>
              <w:top w:val="nil"/>
              <w:left w:val="nil"/>
              <w:bottom w:val="single" w:sz="8" w:space="0" w:color="7BA0CD"/>
              <w:right w:val="nil"/>
            </w:tcBorders>
            <w:shd w:val="clear" w:color="auto" w:fill="auto"/>
            <w:noWrap/>
            <w:vAlign w:val="bottom"/>
            <w:hideMark/>
          </w:tcPr>
          <w:p w14:paraId="774BAE05"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97.4%</w:t>
            </w:r>
          </w:p>
        </w:tc>
        <w:tc>
          <w:tcPr>
            <w:tcW w:w="1360" w:type="dxa"/>
            <w:tcBorders>
              <w:top w:val="nil"/>
              <w:left w:val="nil"/>
              <w:bottom w:val="single" w:sz="8" w:space="0" w:color="7BA0CD"/>
              <w:right w:val="nil"/>
            </w:tcBorders>
            <w:shd w:val="clear" w:color="auto" w:fill="auto"/>
            <w:noWrap/>
            <w:vAlign w:val="bottom"/>
            <w:hideMark/>
          </w:tcPr>
          <w:p w14:paraId="2D5FE430"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97.2%</w:t>
            </w:r>
          </w:p>
        </w:tc>
        <w:tc>
          <w:tcPr>
            <w:tcW w:w="1212" w:type="dxa"/>
            <w:tcBorders>
              <w:top w:val="nil"/>
              <w:left w:val="nil"/>
              <w:bottom w:val="single" w:sz="8" w:space="0" w:color="7BA0CD"/>
              <w:right w:val="single" w:sz="4" w:space="0" w:color="auto"/>
            </w:tcBorders>
            <w:shd w:val="clear" w:color="auto" w:fill="auto"/>
            <w:noWrap/>
            <w:vAlign w:val="bottom"/>
          </w:tcPr>
          <w:p w14:paraId="52C1CE58" w14:textId="6A1DA2C7" w:rsidR="00417D22" w:rsidRPr="00417D22" w:rsidRDefault="00417D22" w:rsidP="00417D22">
            <w:pPr>
              <w:jc w:val="center"/>
              <w:rPr>
                <w:rFonts w:asciiTheme="minorHAnsi" w:hAnsiTheme="minorHAnsi"/>
                <w:color w:val="000000"/>
                <w:sz w:val="22"/>
              </w:rPr>
            </w:pPr>
            <w:r w:rsidRPr="00417D22">
              <w:rPr>
                <w:rFonts w:asciiTheme="minorHAnsi" w:hAnsiTheme="minorHAnsi" w:cs="Arial"/>
                <w:bCs/>
                <w:color w:val="000000"/>
                <w:sz w:val="22"/>
              </w:rPr>
              <w:t>96.6%</w:t>
            </w:r>
          </w:p>
        </w:tc>
      </w:tr>
      <w:tr w:rsidR="00417D22" w:rsidRPr="00A673A5" w14:paraId="62B1BF0E" w14:textId="77777777" w:rsidTr="00417D22">
        <w:trPr>
          <w:trHeight w:val="316"/>
          <w:jc w:val="center"/>
        </w:trPr>
        <w:tc>
          <w:tcPr>
            <w:tcW w:w="1245" w:type="dxa"/>
            <w:tcBorders>
              <w:top w:val="nil"/>
              <w:left w:val="single" w:sz="4" w:space="0" w:color="auto"/>
              <w:bottom w:val="single" w:sz="8" w:space="0" w:color="7BA0CD"/>
              <w:right w:val="nil"/>
            </w:tcBorders>
            <w:shd w:val="clear" w:color="000000" w:fill="D3DFEE"/>
            <w:noWrap/>
            <w:vAlign w:val="center"/>
            <w:hideMark/>
          </w:tcPr>
          <w:p w14:paraId="10B3CB55" w14:textId="77777777" w:rsidR="00417D22" w:rsidRPr="00A51BC3" w:rsidRDefault="00417D22"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Central</w:t>
            </w:r>
          </w:p>
        </w:tc>
        <w:tc>
          <w:tcPr>
            <w:tcW w:w="1548" w:type="dxa"/>
            <w:tcBorders>
              <w:top w:val="nil"/>
              <w:left w:val="nil"/>
              <w:bottom w:val="single" w:sz="8" w:space="0" w:color="7BA0CD"/>
              <w:right w:val="nil"/>
            </w:tcBorders>
            <w:shd w:val="clear" w:color="000000" w:fill="D3DFEE"/>
            <w:noWrap/>
            <w:vAlign w:val="bottom"/>
            <w:hideMark/>
          </w:tcPr>
          <w:p w14:paraId="5C8C423C"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91.4%</w:t>
            </w:r>
          </w:p>
        </w:tc>
        <w:tc>
          <w:tcPr>
            <w:tcW w:w="1778" w:type="dxa"/>
            <w:tcBorders>
              <w:top w:val="nil"/>
              <w:left w:val="nil"/>
              <w:bottom w:val="single" w:sz="8" w:space="0" w:color="7BA0CD"/>
              <w:right w:val="nil"/>
            </w:tcBorders>
            <w:shd w:val="clear" w:color="000000" w:fill="D3DFEE"/>
            <w:noWrap/>
            <w:vAlign w:val="bottom"/>
            <w:hideMark/>
          </w:tcPr>
          <w:p w14:paraId="0BD5E725"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96.8%</w:t>
            </w:r>
          </w:p>
        </w:tc>
        <w:tc>
          <w:tcPr>
            <w:tcW w:w="1484" w:type="dxa"/>
            <w:tcBorders>
              <w:top w:val="nil"/>
              <w:left w:val="nil"/>
              <w:bottom w:val="single" w:sz="8" w:space="0" w:color="7BA0CD"/>
              <w:right w:val="nil"/>
            </w:tcBorders>
            <w:shd w:val="clear" w:color="000000" w:fill="D3DFEE"/>
            <w:noWrap/>
            <w:vAlign w:val="bottom"/>
            <w:hideMark/>
          </w:tcPr>
          <w:p w14:paraId="281126C6"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95.2%</w:t>
            </w:r>
          </w:p>
        </w:tc>
        <w:tc>
          <w:tcPr>
            <w:tcW w:w="1506" w:type="dxa"/>
            <w:tcBorders>
              <w:top w:val="nil"/>
              <w:left w:val="nil"/>
              <w:bottom w:val="single" w:sz="8" w:space="0" w:color="7BA0CD"/>
              <w:right w:val="nil"/>
            </w:tcBorders>
            <w:shd w:val="clear" w:color="000000" w:fill="D3DFEE"/>
            <w:noWrap/>
            <w:vAlign w:val="bottom"/>
            <w:hideMark/>
          </w:tcPr>
          <w:p w14:paraId="3509337A"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96.8%</w:t>
            </w:r>
          </w:p>
        </w:tc>
        <w:tc>
          <w:tcPr>
            <w:tcW w:w="1360" w:type="dxa"/>
            <w:tcBorders>
              <w:top w:val="nil"/>
              <w:left w:val="nil"/>
              <w:bottom w:val="single" w:sz="8" w:space="0" w:color="7BA0CD"/>
              <w:right w:val="nil"/>
            </w:tcBorders>
            <w:shd w:val="clear" w:color="000000" w:fill="D3DFEE"/>
            <w:noWrap/>
            <w:vAlign w:val="bottom"/>
            <w:hideMark/>
          </w:tcPr>
          <w:p w14:paraId="3D0895FA"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97.3%</w:t>
            </w:r>
          </w:p>
        </w:tc>
        <w:tc>
          <w:tcPr>
            <w:tcW w:w="1212" w:type="dxa"/>
            <w:tcBorders>
              <w:top w:val="nil"/>
              <w:left w:val="nil"/>
              <w:bottom w:val="single" w:sz="8" w:space="0" w:color="7BA0CD"/>
              <w:right w:val="single" w:sz="4" w:space="0" w:color="auto"/>
            </w:tcBorders>
            <w:shd w:val="clear" w:color="000000" w:fill="D3DFEE"/>
            <w:noWrap/>
            <w:vAlign w:val="bottom"/>
          </w:tcPr>
          <w:p w14:paraId="0D6E7CAD" w14:textId="635105F9" w:rsidR="00417D22" w:rsidRPr="00417D22" w:rsidRDefault="00417D22" w:rsidP="00417D22">
            <w:pPr>
              <w:jc w:val="center"/>
              <w:rPr>
                <w:rFonts w:asciiTheme="minorHAnsi" w:hAnsiTheme="minorHAnsi"/>
                <w:color w:val="000000"/>
                <w:sz w:val="22"/>
              </w:rPr>
            </w:pPr>
            <w:r w:rsidRPr="00417D22">
              <w:rPr>
                <w:rFonts w:asciiTheme="minorHAnsi" w:hAnsiTheme="minorHAnsi" w:cs="Arial"/>
                <w:bCs/>
                <w:color w:val="000000"/>
                <w:sz w:val="22"/>
              </w:rPr>
              <w:t>95.7%</w:t>
            </w:r>
          </w:p>
        </w:tc>
      </w:tr>
      <w:tr w:rsidR="00417D22" w:rsidRPr="00A673A5" w14:paraId="29C19615" w14:textId="77777777" w:rsidTr="00417D22">
        <w:trPr>
          <w:trHeight w:val="316"/>
          <w:jc w:val="center"/>
        </w:trPr>
        <w:tc>
          <w:tcPr>
            <w:tcW w:w="1245" w:type="dxa"/>
            <w:tcBorders>
              <w:top w:val="nil"/>
              <w:left w:val="single" w:sz="4" w:space="0" w:color="auto"/>
              <w:bottom w:val="single" w:sz="8" w:space="0" w:color="7BA0CD"/>
              <w:right w:val="nil"/>
            </w:tcBorders>
            <w:shd w:val="clear" w:color="auto" w:fill="auto"/>
            <w:noWrap/>
            <w:vAlign w:val="center"/>
            <w:hideMark/>
          </w:tcPr>
          <w:p w14:paraId="57FB5D7E" w14:textId="77777777" w:rsidR="00417D22" w:rsidRPr="00A51BC3" w:rsidRDefault="00417D22"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Suncoast</w:t>
            </w:r>
          </w:p>
        </w:tc>
        <w:tc>
          <w:tcPr>
            <w:tcW w:w="1548" w:type="dxa"/>
            <w:tcBorders>
              <w:top w:val="nil"/>
              <w:left w:val="nil"/>
              <w:bottom w:val="single" w:sz="8" w:space="0" w:color="7BA0CD"/>
              <w:right w:val="nil"/>
            </w:tcBorders>
            <w:shd w:val="clear" w:color="auto" w:fill="auto"/>
            <w:noWrap/>
            <w:vAlign w:val="bottom"/>
            <w:hideMark/>
          </w:tcPr>
          <w:p w14:paraId="613E89B5"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94.4%</w:t>
            </w:r>
          </w:p>
        </w:tc>
        <w:tc>
          <w:tcPr>
            <w:tcW w:w="1778" w:type="dxa"/>
            <w:tcBorders>
              <w:top w:val="nil"/>
              <w:left w:val="nil"/>
              <w:bottom w:val="single" w:sz="8" w:space="0" w:color="7BA0CD"/>
              <w:right w:val="nil"/>
            </w:tcBorders>
            <w:shd w:val="clear" w:color="auto" w:fill="auto"/>
            <w:noWrap/>
            <w:vAlign w:val="bottom"/>
            <w:hideMark/>
          </w:tcPr>
          <w:p w14:paraId="3735C3EA"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97.8%</w:t>
            </w:r>
          </w:p>
        </w:tc>
        <w:tc>
          <w:tcPr>
            <w:tcW w:w="1484" w:type="dxa"/>
            <w:tcBorders>
              <w:top w:val="nil"/>
              <w:left w:val="nil"/>
              <w:bottom w:val="single" w:sz="8" w:space="0" w:color="7BA0CD"/>
              <w:right w:val="nil"/>
            </w:tcBorders>
            <w:shd w:val="clear" w:color="auto" w:fill="auto"/>
            <w:noWrap/>
            <w:vAlign w:val="bottom"/>
            <w:hideMark/>
          </w:tcPr>
          <w:p w14:paraId="24A9B5B6"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94.9%</w:t>
            </w:r>
          </w:p>
        </w:tc>
        <w:tc>
          <w:tcPr>
            <w:tcW w:w="1506" w:type="dxa"/>
            <w:tcBorders>
              <w:top w:val="nil"/>
              <w:left w:val="nil"/>
              <w:bottom w:val="single" w:sz="8" w:space="0" w:color="7BA0CD"/>
              <w:right w:val="nil"/>
            </w:tcBorders>
            <w:shd w:val="clear" w:color="auto" w:fill="auto"/>
            <w:noWrap/>
            <w:vAlign w:val="bottom"/>
            <w:hideMark/>
          </w:tcPr>
          <w:p w14:paraId="1DACC875"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98.3%</w:t>
            </w:r>
          </w:p>
        </w:tc>
        <w:tc>
          <w:tcPr>
            <w:tcW w:w="1360" w:type="dxa"/>
            <w:tcBorders>
              <w:top w:val="nil"/>
              <w:left w:val="nil"/>
              <w:bottom w:val="single" w:sz="8" w:space="0" w:color="7BA0CD"/>
              <w:right w:val="nil"/>
            </w:tcBorders>
            <w:shd w:val="clear" w:color="auto" w:fill="auto"/>
            <w:noWrap/>
            <w:vAlign w:val="bottom"/>
            <w:hideMark/>
          </w:tcPr>
          <w:p w14:paraId="0892F2F8"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97.8%</w:t>
            </w:r>
          </w:p>
        </w:tc>
        <w:tc>
          <w:tcPr>
            <w:tcW w:w="1212" w:type="dxa"/>
            <w:tcBorders>
              <w:top w:val="nil"/>
              <w:left w:val="nil"/>
              <w:bottom w:val="single" w:sz="8" w:space="0" w:color="7BA0CD"/>
              <w:right w:val="single" w:sz="4" w:space="0" w:color="auto"/>
            </w:tcBorders>
            <w:shd w:val="clear" w:color="auto" w:fill="auto"/>
            <w:noWrap/>
            <w:vAlign w:val="bottom"/>
          </w:tcPr>
          <w:p w14:paraId="087FCBFE" w14:textId="773FA8BB" w:rsidR="00417D22" w:rsidRPr="00417D22" w:rsidRDefault="00417D22" w:rsidP="00417D22">
            <w:pPr>
              <w:jc w:val="center"/>
              <w:rPr>
                <w:rFonts w:asciiTheme="minorHAnsi" w:hAnsiTheme="minorHAnsi"/>
                <w:color w:val="000000"/>
                <w:sz w:val="22"/>
              </w:rPr>
            </w:pPr>
            <w:r w:rsidRPr="00417D22">
              <w:rPr>
                <w:rFonts w:asciiTheme="minorHAnsi" w:hAnsiTheme="minorHAnsi" w:cs="Arial"/>
                <w:bCs/>
                <w:color w:val="000000"/>
                <w:sz w:val="22"/>
              </w:rPr>
              <w:t>97.4%</w:t>
            </w:r>
          </w:p>
        </w:tc>
      </w:tr>
      <w:tr w:rsidR="00417D22" w:rsidRPr="00A673A5" w14:paraId="1743C006" w14:textId="77777777" w:rsidTr="00417D22">
        <w:trPr>
          <w:trHeight w:val="316"/>
          <w:jc w:val="center"/>
        </w:trPr>
        <w:tc>
          <w:tcPr>
            <w:tcW w:w="1245" w:type="dxa"/>
            <w:tcBorders>
              <w:top w:val="nil"/>
              <w:left w:val="single" w:sz="4" w:space="0" w:color="auto"/>
              <w:bottom w:val="single" w:sz="8" w:space="0" w:color="7BA0CD"/>
              <w:right w:val="nil"/>
            </w:tcBorders>
            <w:shd w:val="clear" w:color="000000" w:fill="D3DFEE"/>
            <w:noWrap/>
            <w:vAlign w:val="center"/>
            <w:hideMark/>
          </w:tcPr>
          <w:p w14:paraId="02A7700F" w14:textId="77777777" w:rsidR="00417D22" w:rsidRPr="00A51BC3" w:rsidRDefault="00417D22"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Southeast</w:t>
            </w:r>
          </w:p>
        </w:tc>
        <w:tc>
          <w:tcPr>
            <w:tcW w:w="1548" w:type="dxa"/>
            <w:tcBorders>
              <w:top w:val="nil"/>
              <w:left w:val="nil"/>
              <w:bottom w:val="single" w:sz="8" w:space="0" w:color="7BA0CD"/>
              <w:right w:val="nil"/>
            </w:tcBorders>
            <w:shd w:val="clear" w:color="000000" w:fill="D3DFEE"/>
            <w:noWrap/>
            <w:vAlign w:val="bottom"/>
            <w:hideMark/>
          </w:tcPr>
          <w:p w14:paraId="6C82AD6A"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93.2%</w:t>
            </w:r>
          </w:p>
        </w:tc>
        <w:tc>
          <w:tcPr>
            <w:tcW w:w="1778" w:type="dxa"/>
            <w:tcBorders>
              <w:top w:val="nil"/>
              <w:left w:val="nil"/>
              <w:bottom w:val="single" w:sz="8" w:space="0" w:color="7BA0CD"/>
              <w:right w:val="nil"/>
            </w:tcBorders>
            <w:shd w:val="clear" w:color="000000" w:fill="D3DFEE"/>
            <w:noWrap/>
            <w:vAlign w:val="bottom"/>
            <w:hideMark/>
          </w:tcPr>
          <w:p w14:paraId="6C439DAA"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94.6%</w:t>
            </w:r>
          </w:p>
        </w:tc>
        <w:tc>
          <w:tcPr>
            <w:tcW w:w="1484" w:type="dxa"/>
            <w:tcBorders>
              <w:top w:val="nil"/>
              <w:left w:val="nil"/>
              <w:bottom w:val="single" w:sz="8" w:space="0" w:color="7BA0CD"/>
              <w:right w:val="nil"/>
            </w:tcBorders>
            <w:shd w:val="clear" w:color="000000" w:fill="D3DFEE"/>
            <w:noWrap/>
            <w:vAlign w:val="bottom"/>
            <w:hideMark/>
          </w:tcPr>
          <w:p w14:paraId="79047193"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89.7%</w:t>
            </w:r>
          </w:p>
        </w:tc>
        <w:tc>
          <w:tcPr>
            <w:tcW w:w="1506" w:type="dxa"/>
            <w:tcBorders>
              <w:top w:val="nil"/>
              <w:left w:val="nil"/>
              <w:bottom w:val="single" w:sz="8" w:space="0" w:color="7BA0CD"/>
              <w:right w:val="nil"/>
            </w:tcBorders>
            <w:shd w:val="clear" w:color="000000" w:fill="D3DFEE"/>
            <w:noWrap/>
            <w:vAlign w:val="bottom"/>
            <w:hideMark/>
          </w:tcPr>
          <w:p w14:paraId="3A86071E"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95.2%</w:t>
            </w:r>
          </w:p>
        </w:tc>
        <w:tc>
          <w:tcPr>
            <w:tcW w:w="1360" w:type="dxa"/>
            <w:tcBorders>
              <w:top w:val="nil"/>
              <w:left w:val="nil"/>
              <w:bottom w:val="single" w:sz="8" w:space="0" w:color="7BA0CD"/>
              <w:right w:val="nil"/>
            </w:tcBorders>
            <w:shd w:val="clear" w:color="000000" w:fill="D3DFEE"/>
            <w:noWrap/>
            <w:vAlign w:val="bottom"/>
            <w:hideMark/>
          </w:tcPr>
          <w:p w14:paraId="42CBE756"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96.5%</w:t>
            </w:r>
          </w:p>
        </w:tc>
        <w:tc>
          <w:tcPr>
            <w:tcW w:w="1212" w:type="dxa"/>
            <w:tcBorders>
              <w:top w:val="nil"/>
              <w:left w:val="nil"/>
              <w:bottom w:val="single" w:sz="8" w:space="0" w:color="7BA0CD"/>
              <w:right w:val="single" w:sz="4" w:space="0" w:color="auto"/>
            </w:tcBorders>
            <w:shd w:val="clear" w:color="000000" w:fill="D3DFEE"/>
            <w:noWrap/>
            <w:vAlign w:val="bottom"/>
          </w:tcPr>
          <w:p w14:paraId="23769520" w14:textId="087E3F47" w:rsidR="00417D22" w:rsidRPr="00417D22" w:rsidRDefault="00417D22" w:rsidP="00417D22">
            <w:pPr>
              <w:jc w:val="center"/>
              <w:rPr>
                <w:rFonts w:asciiTheme="minorHAnsi" w:hAnsiTheme="minorHAnsi"/>
                <w:color w:val="000000"/>
                <w:sz w:val="22"/>
              </w:rPr>
            </w:pPr>
            <w:r w:rsidRPr="00417D22">
              <w:rPr>
                <w:rFonts w:asciiTheme="minorHAnsi" w:hAnsiTheme="minorHAnsi" w:cs="Arial"/>
                <w:bCs/>
                <w:color w:val="000000"/>
                <w:sz w:val="22"/>
              </w:rPr>
              <w:t>96.0%</w:t>
            </w:r>
          </w:p>
        </w:tc>
      </w:tr>
      <w:tr w:rsidR="00417D22" w:rsidRPr="00A673A5" w14:paraId="784BAA85" w14:textId="77777777" w:rsidTr="00417D22">
        <w:trPr>
          <w:trHeight w:val="316"/>
          <w:jc w:val="center"/>
        </w:trPr>
        <w:tc>
          <w:tcPr>
            <w:tcW w:w="1245" w:type="dxa"/>
            <w:tcBorders>
              <w:top w:val="single" w:sz="8" w:space="0" w:color="7BA0CD"/>
              <w:left w:val="single" w:sz="4" w:space="0" w:color="auto"/>
              <w:bottom w:val="single" w:sz="4" w:space="0" w:color="auto"/>
              <w:right w:val="nil"/>
            </w:tcBorders>
            <w:shd w:val="clear" w:color="auto" w:fill="auto"/>
            <w:noWrap/>
            <w:vAlign w:val="center"/>
            <w:hideMark/>
          </w:tcPr>
          <w:p w14:paraId="1D2A6007" w14:textId="77777777" w:rsidR="00417D22" w:rsidRPr="00A51BC3" w:rsidRDefault="00417D22"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Southern</w:t>
            </w:r>
          </w:p>
        </w:tc>
        <w:tc>
          <w:tcPr>
            <w:tcW w:w="1548" w:type="dxa"/>
            <w:tcBorders>
              <w:top w:val="single" w:sz="8" w:space="0" w:color="7BA0CD"/>
              <w:left w:val="nil"/>
              <w:bottom w:val="single" w:sz="4" w:space="0" w:color="auto"/>
              <w:right w:val="nil"/>
            </w:tcBorders>
            <w:shd w:val="clear" w:color="auto" w:fill="auto"/>
            <w:noWrap/>
            <w:vAlign w:val="bottom"/>
            <w:hideMark/>
          </w:tcPr>
          <w:p w14:paraId="7DB2A8B5"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86.7%</w:t>
            </w:r>
          </w:p>
        </w:tc>
        <w:tc>
          <w:tcPr>
            <w:tcW w:w="1778" w:type="dxa"/>
            <w:tcBorders>
              <w:top w:val="single" w:sz="8" w:space="0" w:color="7BA0CD"/>
              <w:left w:val="nil"/>
              <w:bottom w:val="single" w:sz="4" w:space="0" w:color="auto"/>
              <w:right w:val="nil"/>
            </w:tcBorders>
            <w:shd w:val="clear" w:color="auto" w:fill="auto"/>
            <w:noWrap/>
            <w:vAlign w:val="bottom"/>
            <w:hideMark/>
          </w:tcPr>
          <w:p w14:paraId="49FF227C"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94.7%</w:t>
            </w:r>
          </w:p>
        </w:tc>
        <w:tc>
          <w:tcPr>
            <w:tcW w:w="1484" w:type="dxa"/>
            <w:tcBorders>
              <w:top w:val="single" w:sz="8" w:space="0" w:color="7BA0CD"/>
              <w:left w:val="nil"/>
              <w:bottom w:val="single" w:sz="4" w:space="0" w:color="auto"/>
              <w:right w:val="nil"/>
            </w:tcBorders>
            <w:shd w:val="clear" w:color="auto" w:fill="auto"/>
            <w:noWrap/>
            <w:vAlign w:val="bottom"/>
            <w:hideMark/>
          </w:tcPr>
          <w:p w14:paraId="5BDADD1D"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91.2%</w:t>
            </w:r>
          </w:p>
        </w:tc>
        <w:tc>
          <w:tcPr>
            <w:tcW w:w="1506" w:type="dxa"/>
            <w:tcBorders>
              <w:top w:val="single" w:sz="8" w:space="0" w:color="7BA0CD"/>
              <w:left w:val="nil"/>
              <w:bottom w:val="single" w:sz="4" w:space="0" w:color="auto"/>
              <w:right w:val="nil"/>
            </w:tcBorders>
            <w:shd w:val="clear" w:color="auto" w:fill="auto"/>
            <w:noWrap/>
            <w:vAlign w:val="bottom"/>
            <w:hideMark/>
          </w:tcPr>
          <w:p w14:paraId="76619B37"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96.6%</w:t>
            </w:r>
          </w:p>
        </w:tc>
        <w:tc>
          <w:tcPr>
            <w:tcW w:w="1360" w:type="dxa"/>
            <w:tcBorders>
              <w:top w:val="single" w:sz="8" w:space="0" w:color="7BA0CD"/>
              <w:left w:val="nil"/>
              <w:bottom w:val="single" w:sz="4" w:space="0" w:color="auto"/>
              <w:right w:val="nil"/>
            </w:tcBorders>
            <w:shd w:val="clear" w:color="auto" w:fill="auto"/>
            <w:noWrap/>
            <w:vAlign w:val="bottom"/>
            <w:hideMark/>
          </w:tcPr>
          <w:p w14:paraId="198C8C96" w14:textId="77777777" w:rsidR="00417D22" w:rsidRPr="00A51BC3" w:rsidRDefault="00417D22" w:rsidP="003649E9">
            <w:pPr>
              <w:jc w:val="center"/>
              <w:rPr>
                <w:rFonts w:ascii="Calibri" w:hAnsi="Calibri"/>
                <w:color w:val="000000"/>
                <w:sz w:val="22"/>
              </w:rPr>
            </w:pPr>
            <w:r w:rsidRPr="00A51BC3">
              <w:rPr>
                <w:rFonts w:ascii="Calibri" w:hAnsi="Calibri"/>
                <w:color w:val="000000"/>
                <w:sz w:val="22"/>
              </w:rPr>
              <w:t>94.5%</w:t>
            </w:r>
          </w:p>
        </w:tc>
        <w:tc>
          <w:tcPr>
            <w:tcW w:w="1212" w:type="dxa"/>
            <w:tcBorders>
              <w:top w:val="single" w:sz="8" w:space="0" w:color="7BA0CD"/>
              <w:left w:val="nil"/>
              <w:bottom w:val="single" w:sz="4" w:space="0" w:color="auto"/>
              <w:right w:val="single" w:sz="4" w:space="0" w:color="auto"/>
            </w:tcBorders>
            <w:shd w:val="clear" w:color="auto" w:fill="auto"/>
            <w:noWrap/>
            <w:vAlign w:val="bottom"/>
          </w:tcPr>
          <w:p w14:paraId="3FFA16DB" w14:textId="4A941570" w:rsidR="00417D22" w:rsidRPr="00417D22" w:rsidRDefault="00417D22" w:rsidP="00417D22">
            <w:pPr>
              <w:jc w:val="center"/>
              <w:rPr>
                <w:rFonts w:asciiTheme="minorHAnsi" w:hAnsiTheme="minorHAnsi"/>
                <w:color w:val="000000"/>
                <w:sz w:val="22"/>
              </w:rPr>
            </w:pPr>
            <w:r w:rsidRPr="00417D22">
              <w:rPr>
                <w:rFonts w:asciiTheme="minorHAnsi" w:hAnsiTheme="minorHAnsi" w:cs="Arial"/>
                <w:bCs/>
                <w:color w:val="000000"/>
                <w:sz w:val="22"/>
              </w:rPr>
              <w:t>95.9%</w:t>
            </w:r>
          </w:p>
        </w:tc>
      </w:tr>
      <w:tr w:rsidR="00417D22" w:rsidRPr="00A673A5" w14:paraId="138A94B3" w14:textId="77777777" w:rsidTr="00417D22">
        <w:trPr>
          <w:trHeight w:val="316"/>
          <w:jc w:val="center"/>
        </w:trPr>
        <w:tc>
          <w:tcPr>
            <w:tcW w:w="1245" w:type="dxa"/>
            <w:tcBorders>
              <w:top w:val="single" w:sz="4" w:space="0" w:color="auto"/>
              <w:left w:val="single" w:sz="4" w:space="0" w:color="auto"/>
              <w:bottom w:val="single" w:sz="4" w:space="0" w:color="auto"/>
              <w:right w:val="nil"/>
            </w:tcBorders>
            <w:shd w:val="clear" w:color="000000" w:fill="D3DFEE"/>
            <w:noWrap/>
            <w:vAlign w:val="bottom"/>
            <w:hideMark/>
          </w:tcPr>
          <w:p w14:paraId="09D99DCA" w14:textId="77777777" w:rsidR="00417D22" w:rsidRPr="00417D22" w:rsidRDefault="00417D22" w:rsidP="003649E9">
            <w:pPr>
              <w:spacing w:line="240" w:lineRule="auto"/>
              <w:rPr>
                <w:rFonts w:asciiTheme="minorHAnsi" w:eastAsia="Times New Roman" w:hAnsiTheme="minorHAnsi" w:cs="Times New Roman"/>
                <w:b/>
                <w:bCs/>
                <w:color w:val="000000"/>
                <w:sz w:val="22"/>
              </w:rPr>
            </w:pPr>
            <w:r w:rsidRPr="00417D22">
              <w:rPr>
                <w:rFonts w:asciiTheme="minorHAnsi" w:eastAsia="Times New Roman" w:hAnsiTheme="minorHAnsi" w:cs="Times New Roman"/>
                <w:b/>
                <w:bCs/>
                <w:color w:val="000000"/>
                <w:sz w:val="22"/>
              </w:rPr>
              <w:t>State</w:t>
            </w:r>
          </w:p>
        </w:tc>
        <w:tc>
          <w:tcPr>
            <w:tcW w:w="1548" w:type="dxa"/>
            <w:tcBorders>
              <w:top w:val="single" w:sz="4" w:space="0" w:color="auto"/>
              <w:left w:val="nil"/>
              <w:bottom w:val="single" w:sz="4" w:space="0" w:color="auto"/>
              <w:right w:val="nil"/>
            </w:tcBorders>
            <w:shd w:val="clear" w:color="000000" w:fill="D3DFEE"/>
            <w:noWrap/>
            <w:vAlign w:val="bottom"/>
            <w:hideMark/>
          </w:tcPr>
          <w:p w14:paraId="7C871064" w14:textId="77777777" w:rsidR="00417D22" w:rsidRPr="00417D22" w:rsidRDefault="00417D22" w:rsidP="003649E9">
            <w:pPr>
              <w:jc w:val="center"/>
              <w:rPr>
                <w:rFonts w:asciiTheme="minorHAnsi" w:hAnsiTheme="minorHAnsi"/>
                <w:b/>
                <w:color w:val="000000"/>
                <w:sz w:val="22"/>
              </w:rPr>
            </w:pPr>
            <w:r w:rsidRPr="00417D22">
              <w:rPr>
                <w:rFonts w:asciiTheme="minorHAnsi" w:hAnsiTheme="minorHAnsi"/>
                <w:b/>
                <w:color w:val="000000"/>
                <w:sz w:val="22"/>
              </w:rPr>
              <w:t>92.6%</w:t>
            </w:r>
          </w:p>
        </w:tc>
        <w:tc>
          <w:tcPr>
            <w:tcW w:w="1778" w:type="dxa"/>
            <w:tcBorders>
              <w:top w:val="single" w:sz="4" w:space="0" w:color="auto"/>
              <w:left w:val="nil"/>
              <w:bottom w:val="single" w:sz="4" w:space="0" w:color="auto"/>
              <w:right w:val="nil"/>
            </w:tcBorders>
            <w:shd w:val="clear" w:color="000000" w:fill="D3DFEE"/>
            <w:noWrap/>
            <w:vAlign w:val="bottom"/>
            <w:hideMark/>
          </w:tcPr>
          <w:p w14:paraId="648CCD81" w14:textId="77777777" w:rsidR="00417D22" w:rsidRPr="00417D22" w:rsidRDefault="00417D22" w:rsidP="003649E9">
            <w:pPr>
              <w:jc w:val="center"/>
              <w:rPr>
                <w:rFonts w:asciiTheme="minorHAnsi" w:hAnsiTheme="minorHAnsi"/>
                <w:b/>
                <w:color w:val="000000"/>
                <w:sz w:val="22"/>
              </w:rPr>
            </w:pPr>
            <w:r w:rsidRPr="00417D22">
              <w:rPr>
                <w:rFonts w:asciiTheme="minorHAnsi" w:hAnsiTheme="minorHAnsi"/>
                <w:b/>
                <w:color w:val="000000"/>
                <w:sz w:val="22"/>
              </w:rPr>
              <w:t>96.4%</w:t>
            </w:r>
          </w:p>
        </w:tc>
        <w:tc>
          <w:tcPr>
            <w:tcW w:w="1484" w:type="dxa"/>
            <w:tcBorders>
              <w:top w:val="single" w:sz="4" w:space="0" w:color="auto"/>
              <w:left w:val="nil"/>
              <w:bottom w:val="single" w:sz="4" w:space="0" w:color="auto"/>
              <w:right w:val="nil"/>
            </w:tcBorders>
            <w:shd w:val="clear" w:color="000000" w:fill="D3DFEE"/>
            <w:noWrap/>
            <w:vAlign w:val="bottom"/>
            <w:hideMark/>
          </w:tcPr>
          <w:p w14:paraId="08B4AD67" w14:textId="77777777" w:rsidR="00417D22" w:rsidRPr="00417D22" w:rsidRDefault="00417D22" w:rsidP="003649E9">
            <w:pPr>
              <w:jc w:val="center"/>
              <w:rPr>
                <w:rFonts w:asciiTheme="minorHAnsi" w:hAnsiTheme="minorHAnsi"/>
                <w:b/>
                <w:color w:val="000000"/>
                <w:sz w:val="22"/>
              </w:rPr>
            </w:pPr>
            <w:r w:rsidRPr="00417D22">
              <w:rPr>
                <w:rFonts w:asciiTheme="minorHAnsi" w:hAnsiTheme="minorHAnsi"/>
                <w:b/>
                <w:color w:val="000000"/>
                <w:sz w:val="22"/>
              </w:rPr>
              <w:t>92.5%</w:t>
            </w:r>
          </w:p>
        </w:tc>
        <w:tc>
          <w:tcPr>
            <w:tcW w:w="1506" w:type="dxa"/>
            <w:tcBorders>
              <w:top w:val="single" w:sz="4" w:space="0" w:color="auto"/>
              <w:left w:val="nil"/>
              <w:bottom w:val="single" w:sz="4" w:space="0" w:color="auto"/>
              <w:right w:val="nil"/>
            </w:tcBorders>
            <w:shd w:val="clear" w:color="000000" w:fill="D3DFEE"/>
            <w:noWrap/>
            <w:vAlign w:val="bottom"/>
            <w:hideMark/>
          </w:tcPr>
          <w:p w14:paraId="166CEC3D" w14:textId="77777777" w:rsidR="00417D22" w:rsidRPr="00417D22" w:rsidRDefault="00417D22" w:rsidP="003649E9">
            <w:pPr>
              <w:jc w:val="center"/>
              <w:rPr>
                <w:rFonts w:asciiTheme="minorHAnsi" w:hAnsiTheme="minorHAnsi"/>
                <w:b/>
                <w:color w:val="000000"/>
                <w:sz w:val="22"/>
              </w:rPr>
            </w:pPr>
            <w:r w:rsidRPr="00417D22">
              <w:rPr>
                <w:rFonts w:asciiTheme="minorHAnsi" w:hAnsiTheme="minorHAnsi"/>
                <w:b/>
                <w:color w:val="000000"/>
                <w:sz w:val="22"/>
              </w:rPr>
              <w:t>97.1%</w:t>
            </w:r>
          </w:p>
        </w:tc>
        <w:tc>
          <w:tcPr>
            <w:tcW w:w="1360" w:type="dxa"/>
            <w:tcBorders>
              <w:top w:val="single" w:sz="4" w:space="0" w:color="auto"/>
              <w:left w:val="nil"/>
              <w:bottom w:val="single" w:sz="4" w:space="0" w:color="auto"/>
              <w:right w:val="nil"/>
            </w:tcBorders>
            <w:shd w:val="clear" w:color="000000" w:fill="D3DFEE"/>
            <w:noWrap/>
            <w:vAlign w:val="bottom"/>
            <w:hideMark/>
          </w:tcPr>
          <w:p w14:paraId="6BAF8CE4" w14:textId="77777777" w:rsidR="00417D22" w:rsidRPr="00417D22" w:rsidRDefault="00417D22" w:rsidP="003649E9">
            <w:pPr>
              <w:jc w:val="center"/>
              <w:rPr>
                <w:rFonts w:asciiTheme="minorHAnsi" w:hAnsiTheme="minorHAnsi"/>
                <w:b/>
                <w:color w:val="000000"/>
                <w:sz w:val="22"/>
              </w:rPr>
            </w:pPr>
            <w:r w:rsidRPr="00417D22">
              <w:rPr>
                <w:rFonts w:asciiTheme="minorHAnsi" w:hAnsiTheme="minorHAnsi"/>
                <w:b/>
                <w:color w:val="000000"/>
                <w:sz w:val="22"/>
              </w:rPr>
              <w:t>97.0%</w:t>
            </w:r>
          </w:p>
        </w:tc>
        <w:tc>
          <w:tcPr>
            <w:tcW w:w="1212" w:type="dxa"/>
            <w:tcBorders>
              <w:top w:val="single" w:sz="4" w:space="0" w:color="auto"/>
              <w:left w:val="nil"/>
              <w:bottom w:val="single" w:sz="4" w:space="0" w:color="auto"/>
              <w:right w:val="single" w:sz="4" w:space="0" w:color="auto"/>
            </w:tcBorders>
            <w:shd w:val="clear" w:color="000000" w:fill="D3DFEE"/>
            <w:noWrap/>
            <w:vAlign w:val="bottom"/>
          </w:tcPr>
          <w:p w14:paraId="48BCF187" w14:textId="6554FF21" w:rsidR="00417D22" w:rsidRPr="00417D22" w:rsidRDefault="00417D22" w:rsidP="00417D22">
            <w:pPr>
              <w:spacing w:line="240" w:lineRule="auto"/>
              <w:jc w:val="center"/>
              <w:rPr>
                <w:rFonts w:asciiTheme="minorHAnsi" w:eastAsia="Times New Roman" w:hAnsiTheme="minorHAnsi" w:cs="Times New Roman"/>
                <w:b/>
                <w:color w:val="000000"/>
                <w:sz w:val="22"/>
              </w:rPr>
            </w:pPr>
            <w:r w:rsidRPr="00417D22">
              <w:rPr>
                <w:rFonts w:asciiTheme="minorHAnsi" w:hAnsiTheme="minorHAnsi" w:cs="Arial"/>
                <w:b/>
                <w:bCs/>
                <w:color w:val="000000"/>
                <w:sz w:val="22"/>
              </w:rPr>
              <w:t>96.3%</w:t>
            </w:r>
          </w:p>
        </w:tc>
      </w:tr>
    </w:tbl>
    <w:p w14:paraId="46774389" w14:textId="77777777" w:rsidR="003649E9" w:rsidRDefault="003649E9" w:rsidP="003649E9">
      <w:pPr>
        <w:spacing w:line="240" w:lineRule="auto"/>
        <w:rPr>
          <w:b/>
        </w:rPr>
      </w:pPr>
    </w:p>
    <w:p w14:paraId="6866B48F" w14:textId="77777777" w:rsidR="003649E9" w:rsidRDefault="003649E9" w:rsidP="003649E9"/>
    <w:tbl>
      <w:tblPr>
        <w:tblW w:w="8466" w:type="dxa"/>
        <w:jc w:val="center"/>
        <w:tblLook w:val="04A0" w:firstRow="1" w:lastRow="0" w:firstColumn="1" w:lastColumn="0" w:noHBand="0" w:noVBand="1"/>
      </w:tblPr>
      <w:tblGrid>
        <w:gridCol w:w="1191"/>
        <w:gridCol w:w="1980"/>
        <w:gridCol w:w="1900"/>
        <w:gridCol w:w="1580"/>
        <w:gridCol w:w="1815"/>
      </w:tblGrid>
      <w:tr w:rsidR="003649E9" w:rsidRPr="00A673A5" w14:paraId="2A505544" w14:textId="77777777" w:rsidTr="003649E9">
        <w:trPr>
          <w:trHeight w:val="330"/>
          <w:jc w:val="center"/>
        </w:trPr>
        <w:tc>
          <w:tcPr>
            <w:tcW w:w="8466" w:type="dxa"/>
            <w:gridSpan w:val="5"/>
            <w:tcBorders>
              <w:top w:val="single" w:sz="4" w:space="0" w:color="auto"/>
              <w:left w:val="single" w:sz="4" w:space="0" w:color="auto"/>
              <w:bottom w:val="nil"/>
              <w:right w:val="single" w:sz="4" w:space="0" w:color="auto"/>
            </w:tcBorders>
            <w:shd w:val="clear" w:color="000000" w:fill="244062"/>
            <w:noWrap/>
            <w:vAlign w:val="bottom"/>
            <w:hideMark/>
          </w:tcPr>
          <w:p w14:paraId="4729D154" w14:textId="77777777" w:rsidR="003649E9" w:rsidRPr="00A51BC3" w:rsidRDefault="003649E9" w:rsidP="003649E9">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Table 24:  PDR Weighted Scores for WSCs</w:t>
            </w:r>
          </w:p>
        </w:tc>
      </w:tr>
      <w:tr w:rsidR="003649E9" w:rsidRPr="00A673A5" w14:paraId="4C0A5C22" w14:textId="77777777" w:rsidTr="003649E9">
        <w:trPr>
          <w:trHeight w:val="315"/>
          <w:jc w:val="center"/>
        </w:trPr>
        <w:tc>
          <w:tcPr>
            <w:tcW w:w="8466" w:type="dxa"/>
            <w:gridSpan w:val="5"/>
            <w:tcBorders>
              <w:top w:val="nil"/>
              <w:left w:val="single" w:sz="4" w:space="0" w:color="auto"/>
              <w:bottom w:val="single" w:sz="8" w:space="0" w:color="7BA0CD"/>
              <w:right w:val="single" w:sz="4" w:space="0" w:color="auto"/>
            </w:tcBorders>
            <w:shd w:val="clear" w:color="000000" w:fill="244062"/>
            <w:noWrap/>
            <w:vAlign w:val="bottom"/>
            <w:hideMark/>
          </w:tcPr>
          <w:p w14:paraId="66E3CBB2" w14:textId="2471FB1A" w:rsidR="003649E9" w:rsidRPr="00A51BC3" w:rsidRDefault="003649E9" w:rsidP="00753255">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 xml:space="preserve">January – </w:t>
            </w:r>
            <w:r w:rsidR="00753255">
              <w:rPr>
                <w:rFonts w:ascii="Franklin Gothic Medium" w:eastAsia="Times New Roman" w:hAnsi="Franklin Gothic Medium" w:cs="Times New Roman"/>
                <w:bCs/>
                <w:color w:val="FFFFFF"/>
                <w:szCs w:val="24"/>
              </w:rPr>
              <w:t>June</w:t>
            </w:r>
            <w:r w:rsidRPr="00A51BC3">
              <w:rPr>
                <w:rFonts w:ascii="Franklin Gothic Medium" w:eastAsia="Times New Roman" w:hAnsi="Franklin Gothic Medium" w:cs="Times New Roman"/>
                <w:bCs/>
                <w:color w:val="FFFFFF"/>
                <w:szCs w:val="24"/>
              </w:rPr>
              <w:t xml:space="preserve"> 2016</w:t>
            </w:r>
          </w:p>
        </w:tc>
      </w:tr>
      <w:tr w:rsidR="003649E9" w:rsidRPr="00A673A5" w14:paraId="3539F72D" w14:textId="77777777" w:rsidTr="003649E9">
        <w:trPr>
          <w:trHeight w:val="331"/>
          <w:jc w:val="center"/>
        </w:trPr>
        <w:tc>
          <w:tcPr>
            <w:tcW w:w="1191" w:type="dxa"/>
            <w:tcBorders>
              <w:top w:val="nil"/>
              <w:left w:val="single" w:sz="4" w:space="0" w:color="auto"/>
              <w:bottom w:val="nil"/>
              <w:right w:val="nil"/>
            </w:tcBorders>
            <w:shd w:val="clear" w:color="000000" w:fill="244061"/>
            <w:noWrap/>
            <w:vAlign w:val="bottom"/>
            <w:hideMark/>
          </w:tcPr>
          <w:p w14:paraId="447D507B" w14:textId="77777777" w:rsidR="003649E9" w:rsidRPr="00A51BC3" w:rsidRDefault="003649E9" w:rsidP="003649E9">
            <w:pPr>
              <w:spacing w:line="240" w:lineRule="auto"/>
              <w:rPr>
                <w:rFonts w:eastAsia="Times New Roman" w:cs="Times New Roman"/>
                <w:color w:val="000000"/>
                <w:szCs w:val="24"/>
              </w:rPr>
            </w:pPr>
            <w:r w:rsidRPr="00A51BC3">
              <w:rPr>
                <w:rFonts w:eastAsia="Times New Roman" w:cs="Times New Roman"/>
                <w:color w:val="000000"/>
                <w:szCs w:val="24"/>
              </w:rPr>
              <w:t> </w:t>
            </w:r>
          </w:p>
        </w:tc>
        <w:tc>
          <w:tcPr>
            <w:tcW w:w="1980" w:type="dxa"/>
            <w:tcBorders>
              <w:top w:val="nil"/>
              <w:left w:val="nil"/>
              <w:bottom w:val="nil"/>
              <w:right w:val="nil"/>
            </w:tcBorders>
            <w:shd w:val="clear" w:color="000000" w:fill="244061"/>
            <w:noWrap/>
            <w:vAlign w:val="bottom"/>
            <w:hideMark/>
          </w:tcPr>
          <w:p w14:paraId="16854724" w14:textId="77777777" w:rsidR="003649E9" w:rsidRPr="00A51BC3" w:rsidRDefault="003649E9" w:rsidP="003649E9">
            <w:pPr>
              <w:spacing w:line="240" w:lineRule="auto"/>
              <w:jc w:val="center"/>
              <w:rPr>
                <w:rFonts w:eastAsia="Times New Roman" w:cs="Times New Roman"/>
                <w:color w:val="000000"/>
                <w:szCs w:val="24"/>
              </w:rPr>
            </w:pPr>
          </w:p>
        </w:tc>
        <w:tc>
          <w:tcPr>
            <w:tcW w:w="1900" w:type="dxa"/>
            <w:tcBorders>
              <w:top w:val="nil"/>
              <w:left w:val="nil"/>
              <w:bottom w:val="nil"/>
              <w:right w:val="nil"/>
            </w:tcBorders>
            <w:shd w:val="clear" w:color="000000" w:fill="244061"/>
            <w:noWrap/>
            <w:vAlign w:val="bottom"/>
            <w:hideMark/>
          </w:tcPr>
          <w:p w14:paraId="1206FC5C" w14:textId="77777777" w:rsidR="003649E9" w:rsidRPr="00A51BC3" w:rsidRDefault="003649E9" w:rsidP="003649E9">
            <w:pPr>
              <w:spacing w:line="240" w:lineRule="auto"/>
              <w:jc w:val="center"/>
              <w:rPr>
                <w:rFonts w:eastAsia="Times New Roman" w:cs="Times New Roman"/>
                <w:color w:val="000000"/>
                <w:szCs w:val="24"/>
              </w:rPr>
            </w:pPr>
          </w:p>
        </w:tc>
        <w:tc>
          <w:tcPr>
            <w:tcW w:w="3395" w:type="dxa"/>
            <w:gridSpan w:val="2"/>
            <w:tcBorders>
              <w:top w:val="single" w:sz="8" w:space="0" w:color="7BA0CD"/>
              <w:left w:val="nil"/>
              <w:bottom w:val="single" w:sz="8" w:space="0" w:color="7BA0CD"/>
              <w:right w:val="single" w:sz="4" w:space="0" w:color="auto"/>
            </w:tcBorders>
            <w:shd w:val="clear" w:color="000000" w:fill="244061"/>
            <w:vAlign w:val="bottom"/>
            <w:hideMark/>
          </w:tcPr>
          <w:p w14:paraId="310C0574" w14:textId="77777777" w:rsidR="003649E9" w:rsidRPr="00A51BC3" w:rsidRDefault="003649E9" w:rsidP="003649E9">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WSC Record Reviews</w:t>
            </w:r>
          </w:p>
        </w:tc>
      </w:tr>
      <w:tr w:rsidR="003649E9" w:rsidRPr="00A673A5" w14:paraId="0E5B44E5" w14:textId="77777777" w:rsidTr="003649E9">
        <w:trPr>
          <w:trHeight w:val="700"/>
          <w:jc w:val="center"/>
        </w:trPr>
        <w:tc>
          <w:tcPr>
            <w:tcW w:w="1191" w:type="dxa"/>
            <w:tcBorders>
              <w:top w:val="single" w:sz="8" w:space="0" w:color="7BA0CD"/>
              <w:left w:val="single" w:sz="4" w:space="0" w:color="auto"/>
              <w:bottom w:val="nil"/>
              <w:right w:val="nil"/>
            </w:tcBorders>
            <w:shd w:val="clear" w:color="000000" w:fill="244061"/>
            <w:vAlign w:val="bottom"/>
            <w:hideMark/>
          </w:tcPr>
          <w:p w14:paraId="0BCC507E" w14:textId="77777777" w:rsidR="003649E9" w:rsidRPr="00A51BC3" w:rsidRDefault="003649E9" w:rsidP="003649E9">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Region</w:t>
            </w:r>
          </w:p>
        </w:tc>
        <w:tc>
          <w:tcPr>
            <w:tcW w:w="1980" w:type="dxa"/>
            <w:tcBorders>
              <w:top w:val="single" w:sz="8" w:space="0" w:color="7BA0CD"/>
              <w:left w:val="nil"/>
              <w:bottom w:val="nil"/>
              <w:right w:val="nil"/>
            </w:tcBorders>
            <w:shd w:val="clear" w:color="000000" w:fill="244061"/>
            <w:vAlign w:val="bottom"/>
            <w:hideMark/>
          </w:tcPr>
          <w:p w14:paraId="3838AEC4" w14:textId="672CDEA3" w:rsidR="003649E9" w:rsidRPr="00A51BC3" w:rsidRDefault="003649E9" w:rsidP="00417D22">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Policy &amp; Procedure (N=</w:t>
            </w:r>
            <w:r w:rsidR="00417D22">
              <w:rPr>
                <w:rFonts w:ascii="Franklin Gothic Medium" w:eastAsia="Times New Roman" w:hAnsi="Franklin Gothic Medium" w:cs="Times New Roman"/>
                <w:bCs/>
                <w:color w:val="FFFFFF"/>
                <w:szCs w:val="24"/>
              </w:rPr>
              <w:t>265</w:t>
            </w:r>
            <w:r w:rsidRPr="00A51BC3">
              <w:rPr>
                <w:rFonts w:ascii="Franklin Gothic Medium" w:eastAsia="Times New Roman" w:hAnsi="Franklin Gothic Medium" w:cs="Times New Roman"/>
                <w:bCs/>
                <w:color w:val="FFFFFF"/>
                <w:szCs w:val="24"/>
              </w:rPr>
              <w:t>)</w:t>
            </w:r>
          </w:p>
        </w:tc>
        <w:tc>
          <w:tcPr>
            <w:tcW w:w="1900" w:type="dxa"/>
            <w:tcBorders>
              <w:top w:val="single" w:sz="8" w:space="0" w:color="7BA0CD"/>
              <w:left w:val="nil"/>
              <w:bottom w:val="nil"/>
              <w:right w:val="nil"/>
            </w:tcBorders>
            <w:shd w:val="clear" w:color="000000" w:fill="244061"/>
            <w:vAlign w:val="bottom"/>
            <w:hideMark/>
          </w:tcPr>
          <w:p w14:paraId="7195697F" w14:textId="77777777" w:rsidR="003649E9" w:rsidRPr="00A51BC3" w:rsidRDefault="003649E9" w:rsidP="003649E9">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Qualifications</w:t>
            </w:r>
          </w:p>
          <w:p w14:paraId="0BFD143E" w14:textId="1967EF05" w:rsidR="003649E9" w:rsidRPr="00A51BC3" w:rsidRDefault="003649E9" w:rsidP="00417D22">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 xml:space="preserve"> &amp; Training (N=</w:t>
            </w:r>
            <w:r w:rsidR="00417D22">
              <w:rPr>
                <w:rFonts w:ascii="Franklin Gothic Medium" w:eastAsia="Times New Roman" w:hAnsi="Franklin Gothic Medium" w:cs="Times New Roman"/>
                <w:bCs/>
                <w:color w:val="FFFFFF"/>
                <w:szCs w:val="24"/>
              </w:rPr>
              <w:t>265</w:t>
            </w:r>
            <w:r w:rsidRPr="00A51BC3">
              <w:rPr>
                <w:rFonts w:ascii="Franklin Gothic Medium" w:eastAsia="Times New Roman" w:hAnsi="Franklin Gothic Medium" w:cs="Times New Roman"/>
                <w:bCs/>
                <w:color w:val="FFFFFF"/>
                <w:szCs w:val="24"/>
              </w:rPr>
              <w:t>)</w:t>
            </w:r>
          </w:p>
        </w:tc>
        <w:tc>
          <w:tcPr>
            <w:tcW w:w="1580" w:type="dxa"/>
            <w:tcBorders>
              <w:top w:val="nil"/>
              <w:left w:val="nil"/>
              <w:bottom w:val="nil"/>
              <w:right w:val="nil"/>
            </w:tcBorders>
            <w:shd w:val="clear" w:color="000000" w:fill="244061"/>
            <w:vAlign w:val="bottom"/>
            <w:hideMark/>
          </w:tcPr>
          <w:p w14:paraId="06FE3F9B" w14:textId="77777777" w:rsidR="003649E9" w:rsidRPr="00A51BC3" w:rsidRDefault="003649E9" w:rsidP="003649E9">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 xml:space="preserve">Announced </w:t>
            </w:r>
          </w:p>
          <w:p w14:paraId="62DACFCF" w14:textId="4B600C6C" w:rsidR="003649E9" w:rsidRPr="00A51BC3" w:rsidRDefault="003649E9" w:rsidP="00417D22">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(N=</w:t>
            </w:r>
            <w:r w:rsidR="00417D22">
              <w:rPr>
                <w:rFonts w:ascii="Franklin Gothic Medium" w:eastAsia="Times New Roman" w:hAnsi="Franklin Gothic Medium" w:cs="Times New Roman"/>
                <w:bCs/>
                <w:color w:val="FFFFFF"/>
                <w:szCs w:val="24"/>
              </w:rPr>
              <w:t>598</w:t>
            </w:r>
            <w:r w:rsidRPr="00A51BC3">
              <w:rPr>
                <w:rFonts w:ascii="Franklin Gothic Medium" w:eastAsia="Times New Roman" w:hAnsi="Franklin Gothic Medium" w:cs="Times New Roman"/>
                <w:bCs/>
                <w:color w:val="FFFFFF"/>
                <w:szCs w:val="24"/>
              </w:rPr>
              <w:t>)</w:t>
            </w:r>
          </w:p>
        </w:tc>
        <w:tc>
          <w:tcPr>
            <w:tcW w:w="1815" w:type="dxa"/>
            <w:tcBorders>
              <w:top w:val="nil"/>
              <w:left w:val="nil"/>
              <w:bottom w:val="nil"/>
              <w:right w:val="single" w:sz="4" w:space="0" w:color="auto"/>
            </w:tcBorders>
            <w:shd w:val="clear" w:color="000000" w:fill="244061"/>
            <w:vAlign w:val="bottom"/>
            <w:hideMark/>
          </w:tcPr>
          <w:p w14:paraId="7F63225E" w14:textId="77777777" w:rsidR="003649E9" w:rsidRPr="00A51BC3" w:rsidRDefault="003649E9" w:rsidP="003649E9">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Unannounced</w:t>
            </w:r>
          </w:p>
          <w:p w14:paraId="192A7F1D" w14:textId="525E22ED" w:rsidR="003649E9" w:rsidRPr="00A51BC3" w:rsidRDefault="003649E9" w:rsidP="00417D22">
            <w:pPr>
              <w:spacing w:line="240" w:lineRule="auto"/>
              <w:jc w:val="center"/>
              <w:rPr>
                <w:rFonts w:ascii="Franklin Gothic Medium" w:eastAsia="Times New Roman" w:hAnsi="Franklin Gothic Medium" w:cs="Times New Roman"/>
                <w:bCs/>
                <w:color w:val="FFFFFF"/>
                <w:szCs w:val="24"/>
              </w:rPr>
            </w:pPr>
            <w:r w:rsidRPr="00A51BC3">
              <w:rPr>
                <w:rFonts w:ascii="Franklin Gothic Medium" w:eastAsia="Times New Roman" w:hAnsi="Franklin Gothic Medium" w:cs="Times New Roman"/>
                <w:bCs/>
                <w:color w:val="FFFFFF"/>
                <w:szCs w:val="24"/>
              </w:rPr>
              <w:t xml:space="preserve"> (N=</w:t>
            </w:r>
            <w:r w:rsidR="00417D22">
              <w:rPr>
                <w:rFonts w:ascii="Franklin Gothic Medium" w:eastAsia="Times New Roman" w:hAnsi="Franklin Gothic Medium" w:cs="Times New Roman"/>
                <w:bCs/>
                <w:color w:val="FFFFFF"/>
                <w:szCs w:val="24"/>
              </w:rPr>
              <w:t>395</w:t>
            </w:r>
            <w:r w:rsidRPr="00A51BC3">
              <w:rPr>
                <w:rFonts w:ascii="Franklin Gothic Medium" w:eastAsia="Times New Roman" w:hAnsi="Franklin Gothic Medium" w:cs="Times New Roman"/>
                <w:bCs/>
                <w:color w:val="FFFFFF"/>
                <w:szCs w:val="24"/>
              </w:rPr>
              <w:t>)</w:t>
            </w:r>
          </w:p>
        </w:tc>
      </w:tr>
      <w:tr w:rsidR="00753255" w:rsidRPr="00A673A5" w14:paraId="5D27481A" w14:textId="77777777" w:rsidTr="003649E9">
        <w:trPr>
          <w:trHeight w:val="315"/>
          <w:jc w:val="center"/>
        </w:trPr>
        <w:tc>
          <w:tcPr>
            <w:tcW w:w="1191" w:type="dxa"/>
            <w:tcBorders>
              <w:top w:val="nil"/>
              <w:left w:val="single" w:sz="4" w:space="0" w:color="auto"/>
              <w:bottom w:val="single" w:sz="8" w:space="0" w:color="7BA0CD"/>
              <w:right w:val="nil"/>
            </w:tcBorders>
            <w:shd w:val="clear" w:color="000000" w:fill="D3DFEE"/>
            <w:noWrap/>
            <w:vAlign w:val="center"/>
            <w:hideMark/>
          </w:tcPr>
          <w:p w14:paraId="5E6EB1FF" w14:textId="77777777" w:rsidR="00753255" w:rsidRPr="00A51BC3" w:rsidRDefault="00753255"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Northwest</w:t>
            </w:r>
          </w:p>
        </w:tc>
        <w:tc>
          <w:tcPr>
            <w:tcW w:w="1980" w:type="dxa"/>
            <w:tcBorders>
              <w:top w:val="nil"/>
              <w:left w:val="nil"/>
              <w:bottom w:val="single" w:sz="8" w:space="0" w:color="7BA0CD"/>
              <w:right w:val="nil"/>
            </w:tcBorders>
            <w:shd w:val="clear" w:color="000000" w:fill="D3DFEE"/>
            <w:noWrap/>
            <w:vAlign w:val="bottom"/>
            <w:hideMark/>
          </w:tcPr>
          <w:p w14:paraId="57AF754D"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100.0%</w:t>
            </w:r>
          </w:p>
        </w:tc>
        <w:tc>
          <w:tcPr>
            <w:tcW w:w="1900" w:type="dxa"/>
            <w:tcBorders>
              <w:top w:val="nil"/>
              <w:left w:val="nil"/>
              <w:bottom w:val="single" w:sz="8" w:space="0" w:color="7BA0CD"/>
              <w:right w:val="nil"/>
            </w:tcBorders>
            <w:shd w:val="clear" w:color="000000" w:fill="D3DFEE"/>
            <w:noWrap/>
            <w:vAlign w:val="bottom"/>
            <w:hideMark/>
          </w:tcPr>
          <w:p w14:paraId="0133F9DF"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96.8%</w:t>
            </w:r>
          </w:p>
        </w:tc>
        <w:tc>
          <w:tcPr>
            <w:tcW w:w="1580" w:type="dxa"/>
            <w:tcBorders>
              <w:top w:val="nil"/>
              <w:left w:val="nil"/>
              <w:bottom w:val="single" w:sz="8" w:space="0" w:color="7BA0CD"/>
              <w:right w:val="nil"/>
            </w:tcBorders>
            <w:shd w:val="clear" w:color="000000" w:fill="D3DFEE"/>
            <w:noWrap/>
            <w:vAlign w:val="bottom"/>
            <w:hideMark/>
          </w:tcPr>
          <w:p w14:paraId="42058CE5" w14:textId="54901096" w:rsidR="00753255" w:rsidRPr="00A51BC3" w:rsidRDefault="00753255" w:rsidP="003649E9">
            <w:pPr>
              <w:jc w:val="center"/>
              <w:rPr>
                <w:rFonts w:ascii="Calibri" w:hAnsi="Calibri"/>
                <w:color w:val="000000"/>
                <w:sz w:val="22"/>
              </w:rPr>
            </w:pPr>
            <w:r>
              <w:rPr>
                <w:rFonts w:ascii="Calibri" w:hAnsi="Calibri"/>
                <w:color w:val="000000"/>
                <w:sz w:val="22"/>
              </w:rPr>
              <w:t>96.4%</w:t>
            </w:r>
          </w:p>
        </w:tc>
        <w:tc>
          <w:tcPr>
            <w:tcW w:w="1815" w:type="dxa"/>
            <w:tcBorders>
              <w:top w:val="nil"/>
              <w:left w:val="nil"/>
              <w:bottom w:val="single" w:sz="8" w:space="0" w:color="7BA0CD"/>
              <w:right w:val="single" w:sz="4" w:space="0" w:color="auto"/>
            </w:tcBorders>
            <w:shd w:val="clear" w:color="000000" w:fill="D3DFEE"/>
            <w:noWrap/>
            <w:vAlign w:val="bottom"/>
            <w:hideMark/>
          </w:tcPr>
          <w:p w14:paraId="69FAFF76" w14:textId="7E96409D" w:rsidR="00753255" w:rsidRPr="00A51BC3" w:rsidRDefault="00753255" w:rsidP="003649E9">
            <w:pPr>
              <w:jc w:val="center"/>
              <w:rPr>
                <w:rFonts w:ascii="Calibri" w:hAnsi="Calibri"/>
                <w:color w:val="000000"/>
                <w:sz w:val="22"/>
              </w:rPr>
            </w:pPr>
            <w:r>
              <w:rPr>
                <w:rFonts w:ascii="Calibri" w:hAnsi="Calibri"/>
                <w:color w:val="000000"/>
                <w:sz w:val="22"/>
              </w:rPr>
              <w:t>95.7%</w:t>
            </w:r>
          </w:p>
        </w:tc>
      </w:tr>
      <w:tr w:rsidR="00753255" w:rsidRPr="00A673A5" w14:paraId="40EAD776" w14:textId="77777777" w:rsidTr="003649E9">
        <w:trPr>
          <w:trHeight w:val="315"/>
          <w:jc w:val="center"/>
        </w:trPr>
        <w:tc>
          <w:tcPr>
            <w:tcW w:w="1191" w:type="dxa"/>
            <w:tcBorders>
              <w:top w:val="nil"/>
              <w:left w:val="single" w:sz="4" w:space="0" w:color="auto"/>
              <w:bottom w:val="single" w:sz="8" w:space="0" w:color="7BA0CD"/>
              <w:right w:val="nil"/>
            </w:tcBorders>
            <w:shd w:val="clear" w:color="auto" w:fill="auto"/>
            <w:noWrap/>
            <w:vAlign w:val="center"/>
            <w:hideMark/>
          </w:tcPr>
          <w:p w14:paraId="4705FF69" w14:textId="77777777" w:rsidR="00753255" w:rsidRPr="00A51BC3" w:rsidRDefault="00753255"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Northeast</w:t>
            </w:r>
          </w:p>
        </w:tc>
        <w:tc>
          <w:tcPr>
            <w:tcW w:w="1980" w:type="dxa"/>
            <w:tcBorders>
              <w:top w:val="nil"/>
              <w:left w:val="nil"/>
              <w:bottom w:val="single" w:sz="8" w:space="0" w:color="7BA0CD"/>
              <w:right w:val="nil"/>
            </w:tcBorders>
            <w:shd w:val="clear" w:color="auto" w:fill="auto"/>
            <w:noWrap/>
            <w:vAlign w:val="bottom"/>
            <w:hideMark/>
          </w:tcPr>
          <w:p w14:paraId="4C24438C"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97.3%</w:t>
            </w:r>
          </w:p>
        </w:tc>
        <w:tc>
          <w:tcPr>
            <w:tcW w:w="1900" w:type="dxa"/>
            <w:tcBorders>
              <w:top w:val="nil"/>
              <w:left w:val="nil"/>
              <w:bottom w:val="single" w:sz="8" w:space="0" w:color="7BA0CD"/>
              <w:right w:val="nil"/>
            </w:tcBorders>
            <w:shd w:val="clear" w:color="auto" w:fill="auto"/>
            <w:noWrap/>
            <w:vAlign w:val="bottom"/>
            <w:hideMark/>
          </w:tcPr>
          <w:p w14:paraId="26403AFC"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97.2%</w:t>
            </w:r>
          </w:p>
        </w:tc>
        <w:tc>
          <w:tcPr>
            <w:tcW w:w="1580" w:type="dxa"/>
            <w:tcBorders>
              <w:top w:val="nil"/>
              <w:left w:val="nil"/>
              <w:bottom w:val="single" w:sz="8" w:space="0" w:color="7BA0CD"/>
              <w:right w:val="nil"/>
            </w:tcBorders>
            <w:shd w:val="clear" w:color="auto" w:fill="auto"/>
            <w:noWrap/>
            <w:vAlign w:val="bottom"/>
            <w:hideMark/>
          </w:tcPr>
          <w:p w14:paraId="0923A952" w14:textId="68C6465B" w:rsidR="00753255" w:rsidRPr="00A51BC3" w:rsidRDefault="00753255" w:rsidP="003649E9">
            <w:pPr>
              <w:jc w:val="center"/>
              <w:rPr>
                <w:rFonts w:ascii="Calibri" w:hAnsi="Calibri"/>
                <w:color w:val="000000"/>
                <w:sz w:val="22"/>
              </w:rPr>
            </w:pPr>
            <w:r>
              <w:rPr>
                <w:rFonts w:ascii="Calibri" w:hAnsi="Calibri"/>
                <w:color w:val="000000"/>
                <w:sz w:val="22"/>
              </w:rPr>
              <w:t>95.5%</w:t>
            </w:r>
          </w:p>
        </w:tc>
        <w:tc>
          <w:tcPr>
            <w:tcW w:w="1815" w:type="dxa"/>
            <w:tcBorders>
              <w:top w:val="nil"/>
              <w:left w:val="nil"/>
              <w:bottom w:val="single" w:sz="8" w:space="0" w:color="7BA0CD"/>
              <w:right w:val="single" w:sz="4" w:space="0" w:color="auto"/>
            </w:tcBorders>
            <w:shd w:val="clear" w:color="auto" w:fill="auto"/>
            <w:noWrap/>
            <w:vAlign w:val="bottom"/>
            <w:hideMark/>
          </w:tcPr>
          <w:p w14:paraId="3823651D" w14:textId="71CEA13C" w:rsidR="00753255" w:rsidRPr="00A51BC3" w:rsidRDefault="00753255" w:rsidP="003649E9">
            <w:pPr>
              <w:jc w:val="center"/>
              <w:rPr>
                <w:rFonts w:ascii="Calibri" w:hAnsi="Calibri"/>
                <w:color w:val="000000"/>
                <w:sz w:val="22"/>
              </w:rPr>
            </w:pPr>
            <w:r>
              <w:rPr>
                <w:rFonts w:ascii="Calibri" w:hAnsi="Calibri"/>
                <w:color w:val="000000"/>
                <w:sz w:val="22"/>
              </w:rPr>
              <w:t>93.3%</w:t>
            </w:r>
          </w:p>
        </w:tc>
      </w:tr>
      <w:tr w:rsidR="00753255" w:rsidRPr="00A673A5" w14:paraId="0A7DE411" w14:textId="77777777" w:rsidTr="003649E9">
        <w:trPr>
          <w:trHeight w:val="315"/>
          <w:jc w:val="center"/>
        </w:trPr>
        <w:tc>
          <w:tcPr>
            <w:tcW w:w="1191" w:type="dxa"/>
            <w:tcBorders>
              <w:top w:val="nil"/>
              <w:left w:val="single" w:sz="4" w:space="0" w:color="auto"/>
              <w:bottom w:val="single" w:sz="8" w:space="0" w:color="7BA0CD"/>
              <w:right w:val="nil"/>
            </w:tcBorders>
            <w:shd w:val="clear" w:color="000000" w:fill="D3DFEE"/>
            <w:noWrap/>
            <w:vAlign w:val="center"/>
            <w:hideMark/>
          </w:tcPr>
          <w:p w14:paraId="0C58A01D" w14:textId="77777777" w:rsidR="00753255" w:rsidRPr="00A51BC3" w:rsidRDefault="00753255"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Central</w:t>
            </w:r>
          </w:p>
        </w:tc>
        <w:tc>
          <w:tcPr>
            <w:tcW w:w="1980" w:type="dxa"/>
            <w:tcBorders>
              <w:top w:val="nil"/>
              <w:left w:val="nil"/>
              <w:bottom w:val="single" w:sz="8" w:space="0" w:color="7BA0CD"/>
              <w:right w:val="nil"/>
            </w:tcBorders>
            <w:shd w:val="clear" w:color="000000" w:fill="D3DFEE"/>
            <w:noWrap/>
            <w:vAlign w:val="bottom"/>
            <w:hideMark/>
          </w:tcPr>
          <w:p w14:paraId="3F032EA2"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98.0%</w:t>
            </w:r>
          </w:p>
        </w:tc>
        <w:tc>
          <w:tcPr>
            <w:tcW w:w="1900" w:type="dxa"/>
            <w:tcBorders>
              <w:top w:val="nil"/>
              <w:left w:val="nil"/>
              <w:bottom w:val="single" w:sz="8" w:space="0" w:color="7BA0CD"/>
              <w:right w:val="nil"/>
            </w:tcBorders>
            <w:shd w:val="clear" w:color="000000" w:fill="D3DFEE"/>
            <w:noWrap/>
            <w:vAlign w:val="bottom"/>
            <w:hideMark/>
          </w:tcPr>
          <w:p w14:paraId="7820DC3B"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95.8%</w:t>
            </w:r>
          </w:p>
        </w:tc>
        <w:tc>
          <w:tcPr>
            <w:tcW w:w="1580" w:type="dxa"/>
            <w:tcBorders>
              <w:top w:val="nil"/>
              <w:left w:val="nil"/>
              <w:bottom w:val="single" w:sz="8" w:space="0" w:color="7BA0CD"/>
              <w:right w:val="nil"/>
            </w:tcBorders>
            <w:shd w:val="clear" w:color="000000" w:fill="D3DFEE"/>
            <w:noWrap/>
            <w:vAlign w:val="bottom"/>
            <w:hideMark/>
          </w:tcPr>
          <w:p w14:paraId="1FADCC68" w14:textId="44D8A577" w:rsidR="00753255" w:rsidRPr="00A51BC3" w:rsidRDefault="00753255" w:rsidP="003649E9">
            <w:pPr>
              <w:jc w:val="center"/>
              <w:rPr>
                <w:rFonts w:ascii="Calibri" w:hAnsi="Calibri"/>
                <w:color w:val="000000"/>
                <w:sz w:val="22"/>
              </w:rPr>
            </w:pPr>
            <w:r>
              <w:rPr>
                <w:rFonts w:ascii="Calibri" w:hAnsi="Calibri"/>
                <w:color w:val="000000"/>
                <w:sz w:val="22"/>
              </w:rPr>
              <w:t>93.3%</w:t>
            </w:r>
          </w:p>
        </w:tc>
        <w:tc>
          <w:tcPr>
            <w:tcW w:w="1815" w:type="dxa"/>
            <w:tcBorders>
              <w:top w:val="nil"/>
              <w:left w:val="nil"/>
              <w:bottom w:val="single" w:sz="8" w:space="0" w:color="7BA0CD"/>
              <w:right w:val="single" w:sz="4" w:space="0" w:color="auto"/>
            </w:tcBorders>
            <w:shd w:val="clear" w:color="000000" w:fill="D3DFEE"/>
            <w:noWrap/>
            <w:vAlign w:val="bottom"/>
            <w:hideMark/>
          </w:tcPr>
          <w:p w14:paraId="698766C1" w14:textId="3CFCDEFE" w:rsidR="00753255" w:rsidRPr="00A51BC3" w:rsidRDefault="00753255" w:rsidP="003649E9">
            <w:pPr>
              <w:jc w:val="center"/>
              <w:rPr>
                <w:rFonts w:ascii="Calibri" w:hAnsi="Calibri"/>
                <w:color w:val="000000"/>
                <w:sz w:val="22"/>
              </w:rPr>
            </w:pPr>
            <w:r>
              <w:rPr>
                <w:rFonts w:ascii="Calibri" w:hAnsi="Calibri"/>
                <w:color w:val="000000"/>
                <w:sz w:val="22"/>
              </w:rPr>
              <w:t>93.3%</w:t>
            </w:r>
          </w:p>
        </w:tc>
      </w:tr>
      <w:tr w:rsidR="00753255" w:rsidRPr="00A673A5" w14:paraId="48CAC62C" w14:textId="77777777" w:rsidTr="003649E9">
        <w:trPr>
          <w:trHeight w:val="315"/>
          <w:jc w:val="center"/>
        </w:trPr>
        <w:tc>
          <w:tcPr>
            <w:tcW w:w="1191" w:type="dxa"/>
            <w:tcBorders>
              <w:top w:val="nil"/>
              <w:left w:val="single" w:sz="4" w:space="0" w:color="auto"/>
              <w:bottom w:val="single" w:sz="8" w:space="0" w:color="7BA0CD"/>
              <w:right w:val="nil"/>
            </w:tcBorders>
            <w:shd w:val="clear" w:color="auto" w:fill="auto"/>
            <w:noWrap/>
            <w:vAlign w:val="center"/>
            <w:hideMark/>
          </w:tcPr>
          <w:p w14:paraId="1AA30D83" w14:textId="77777777" w:rsidR="00753255" w:rsidRPr="00A51BC3" w:rsidRDefault="00753255"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Suncoast</w:t>
            </w:r>
          </w:p>
        </w:tc>
        <w:tc>
          <w:tcPr>
            <w:tcW w:w="1980" w:type="dxa"/>
            <w:tcBorders>
              <w:top w:val="nil"/>
              <w:left w:val="nil"/>
              <w:bottom w:val="single" w:sz="8" w:space="0" w:color="7BA0CD"/>
              <w:right w:val="nil"/>
            </w:tcBorders>
            <w:shd w:val="clear" w:color="auto" w:fill="auto"/>
            <w:noWrap/>
            <w:vAlign w:val="bottom"/>
            <w:hideMark/>
          </w:tcPr>
          <w:p w14:paraId="7C4A09F1"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94.6%</w:t>
            </w:r>
          </w:p>
        </w:tc>
        <w:tc>
          <w:tcPr>
            <w:tcW w:w="1900" w:type="dxa"/>
            <w:tcBorders>
              <w:top w:val="nil"/>
              <w:left w:val="nil"/>
              <w:bottom w:val="single" w:sz="8" w:space="0" w:color="7BA0CD"/>
              <w:right w:val="nil"/>
            </w:tcBorders>
            <w:shd w:val="clear" w:color="auto" w:fill="auto"/>
            <w:noWrap/>
            <w:vAlign w:val="bottom"/>
            <w:hideMark/>
          </w:tcPr>
          <w:p w14:paraId="3F6C5AF6"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96.6%</w:t>
            </w:r>
          </w:p>
        </w:tc>
        <w:tc>
          <w:tcPr>
            <w:tcW w:w="1580" w:type="dxa"/>
            <w:tcBorders>
              <w:top w:val="nil"/>
              <w:left w:val="nil"/>
              <w:bottom w:val="single" w:sz="8" w:space="0" w:color="7BA0CD"/>
              <w:right w:val="nil"/>
            </w:tcBorders>
            <w:shd w:val="clear" w:color="auto" w:fill="auto"/>
            <w:noWrap/>
            <w:vAlign w:val="bottom"/>
            <w:hideMark/>
          </w:tcPr>
          <w:p w14:paraId="3AEA6550" w14:textId="1BEBFD4D" w:rsidR="00753255" w:rsidRPr="00A51BC3" w:rsidRDefault="00753255" w:rsidP="003649E9">
            <w:pPr>
              <w:jc w:val="center"/>
              <w:rPr>
                <w:rFonts w:ascii="Calibri" w:hAnsi="Calibri"/>
                <w:color w:val="000000"/>
                <w:sz w:val="22"/>
              </w:rPr>
            </w:pPr>
            <w:r>
              <w:rPr>
                <w:rFonts w:ascii="Calibri" w:hAnsi="Calibri"/>
                <w:color w:val="000000"/>
                <w:sz w:val="22"/>
              </w:rPr>
              <w:t>93.3%</w:t>
            </w:r>
          </w:p>
        </w:tc>
        <w:tc>
          <w:tcPr>
            <w:tcW w:w="1815" w:type="dxa"/>
            <w:tcBorders>
              <w:top w:val="nil"/>
              <w:left w:val="nil"/>
              <w:bottom w:val="single" w:sz="8" w:space="0" w:color="7BA0CD"/>
              <w:right w:val="single" w:sz="4" w:space="0" w:color="auto"/>
            </w:tcBorders>
            <w:shd w:val="clear" w:color="auto" w:fill="auto"/>
            <w:noWrap/>
            <w:vAlign w:val="bottom"/>
            <w:hideMark/>
          </w:tcPr>
          <w:p w14:paraId="4D3D6EA6" w14:textId="3D63B53D" w:rsidR="00753255" w:rsidRPr="00A51BC3" w:rsidRDefault="00753255" w:rsidP="003649E9">
            <w:pPr>
              <w:jc w:val="center"/>
              <w:rPr>
                <w:rFonts w:ascii="Calibri" w:hAnsi="Calibri"/>
                <w:color w:val="000000"/>
                <w:sz w:val="22"/>
              </w:rPr>
            </w:pPr>
            <w:r>
              <w:rPr>
                <w:rFonts w:ascii="Calibri" w:hAnsi="Calibri"/>
                <w:color w:val="000000"/>
                <w:sz w:val="22"/>
              </w:rPr>
              <w:t>90.7%</w:t>
            </w:r>
          </w:p>
        </w:tc>
      </w:tr>
      <w:tr w:rsidR="00753255" w:rsidRPr="00A673A5" w14:paraId="4FC9F945" w14:textId="77777777" w:rsidTr="003649E9">
        <w:trPr>
          <w:trHeight w:val="315"/>
          <w:jc w:val="center"/>
        </w:trPr>
        <w:tc>
          <w:tcPr>
            <w:tcW w:w="1191" w:type="dxa"/>
            <w:tcBorders>
              <w:top w:val="nil"/>
              <w:left w:val="single" w:sz="4" w:space="0" w:color="auto"/>
              <w:bottom w:val="single" w:sz="8" w:space="0" w:color="7BA0CD"/>
              <w:right w:val="nil"/>
            </w:tcBorders>
            <w:shd w:val="clear" w:color="000000" w:fill="D3DFEE"/>
            <w:noWrap/>
            <w:vAlign w:val="center"/>
            <w:hideMark/>
          </w:tcPr>
          <w:p w14:paraId="26216718" w14:textId="77777777" w:rsidR="00753255" w:rsidRPr="00A51BC3" w:rsidRDefault="00753255"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Southeast</w:t>
            </w:r>
          </w:p>
        </w:tc>
        <w:tc>
          <w:tcPr>
            <w:tcW w:w="1980" w:type="dxa"/>
            <w:tcBorders>
              <w:top w:val="nil"/>
              <w:left w:val="nil"/>
              <w:bottom w:val="single" w:sz="8" w:space="0" w:color="7BA0CD"/>
              <w:right w:val="nil"/>
            </w:tcBorders>
            <w:shd w:val="clear" w:color="000000" w:fill="D3DFEE"/>
            <w:noWrap/>
            <w:vAlign w:val="bottom"/>
            <w:hideMark/>
          </w:tcPr>
          <w:p w14:paraId="6A7CC6C7"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100.0%</w:t>
            </w:r>
          </w:p>
        </w:tc>
        <w:tc>
          <w:tcPr>
            <w:tcW w:w="1900" w:type="dxa"/>
            <w:tcBorders>
              <w:top w:val="nil"/>
              <w:left w:val="nil"/>
              <w:bottom w:val="single" w:sz="8" w:space="0" w:color="7BA0CD"/>
              <w:right w:val="nil"/>
            </w:tcBorders>
            <w:shd w:val="clear" w:color="000000" w:fill="D3DFEE"/>
            <w:noWrap/>
            <w:vAlign w:val="bottom"/>
            <w:hideMark/>
          </w:tcPr>
          <w:p w14:paraId="4FE2AFEF"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97.6%</w:t>
            </w:r>
          </w:p>
        </w:tc>
        <w:tc>
          <w:tcPr>
            <w:tcW w:w="1580" w:type="dxa"/>
            <w:tcBorders>
              <w:top w:val="nil"/>
              <w:left w:val="nil"/>
              <w:bottom w:val="single" w:sz="8" w:space="0" w:color="7BA0CD"/>
              <w:right w:val="nil"/>
            </w:tcBorders>
            <w:shd w:val="clear" w:color="000000" w:fill="D3DFEE"/>
            <w:noWrap/>
            <w:vAlign w:val="bottom"/>
            <w:hideMark/>
          </w:tcPr>
          <w:p w14:paraId="46845664" w14:textId="79CFA49D" w:rsidR="00753255" w:rsidRPr="00A51BC3" w:rsidRDefault="00753255" w:rsidP="003649E9">
            <w:pPr>
              <w:jc w:val="center"/>
              <w:rPr>
                <w:rFonts w:ascii="Calibri" w:hAnsi="Calibri"/>
                <w:color w:val="000000"/>
                <w:sz w:val="22"/>
              </w:rPr>
            </w:pPr>
            <w:r>
              <w:rPr>
                <w:rFonts w:ascii="Calibri" w:hAnsi="Calibri"/>
                <w:color w:val="000000"/>
                <w:sz w:val="22"/>
              </w:rPr>
              <w:t>96.9%</w:t>
            </w:r>
          </w:p>
        </w:tc>
        <w:tc>
          <w:tcPr>
            <w:tcW w:w="1815" w:type="dxa"/>
            <w:tcBorders>
              <w:top w:val="nil"/>
              <w:left w:val="nil"/>
              <w:bottom w:val="single" w:sz="8" w:space="0" w:color="7BA0CD"/>
              <w:right w:val="single" w:sz="4" w:space="0" w:color="auto"/>
            </w:tcBorders>
            <w:shd w:val="clear" w:color="000000" w:fill="D3DFEE"/>
            <w:noWrap/>
            <w:vAlign w:val="bottom"/>
            <w:hideMark/>
          </w:tcPr>
          <w:p w14:paraId="5DF309C0" w14:textId="0D6F39CB" w:rsidR="00753255" w:rsidRPr="00A51BC3" w:rsidRDefault="00753255" w:rsidP="003649E9">
            <w:pPr>
              <w:jc w:val="center"/>
              <w:rPr>
                <w:rFonts w:ascii="Calibri" w:hAnsi="Calibri"/>
                <w:color w:val="000000"/>
                <w:sz w:val="22"/>
              </w:rPr>
            </w:pPr>
            <w:r>
              <w:rPr>
                <w:rFonts w:ascii="Calibri" w:hAnsi="Calibri"/>
                <w:color w:val="000000"/>
                <w:sz w:val="22"/>
              </w:rPr>
              <w:t>97.1%</w:t>
            </w:r>
          </w:p>
        </w:tc>
      </w:tr>
      <w:tr w:rsidR="00753255" w:rsidRPr="00A673A5" w14:paraId="4917359F" w14:textId="77777777" w:rsidTr="003649E9">
        <w:trPr>
          <w:trHeight w:val="315"/>
          <w:jc w:val="center"/>
        </w:trPr>
        <w:tc>
          <w:tcPr>
            <w:tcW w:w="1191" w:type="dxa"/>
            <w:tcBorders>
              <w:top w:val="single" w:sz="8" w:space="0" w:color="7BA0CD"/>
              <w:left w:val="single" w:sz="4" w:space="0" w:color="auto"/>
              <w:bottom w:val="single" w:sz="4" w:space="0" w:color="auto"/>
              <w:right w:val="nil"/>
            </w:tcBorders>
            <w:shd w:val="clear" w:color="auto" w:fill="auto"/>
            <w:noWrap/>
            <w:vAlign w:val="center"/>
            <w:hideMark/>
          </w:tcPr>
          <w:p w14:paraId="126CA2D6" w14:textId="77777777" w:rsidR="00753255" w:rsidRPr="00A51BC3" w:rsidRDefault="00753255" w:rsidP="003649E9">
            <w:pPr>
              <w:spacing w:line="240" w:lineRule="auto"/>
              <w:rPr>
                <w:rFonts w:ascii="Calibri" w:eastAsia="Times New Roman" w:hAnsi="Calibri" w:cs="Times New Roman"/>
                <w:bCs/>
                <w:color w:val="000000"/>
                <w:sz w:val="22"/>
              </w:rPr>
            </w:pPr>
            <w:r w:rsidRPr="00A51BC3">
              <w:rPr>
                <w:rFonts w:ascii="Calibri" w:eastAsia="Times New Roman" w:hAnsi="Calibri" w:cs="Times New Roman"/>
                <w:bCs/>
                <w:color w:val="000000"/>
                <w:sz w:val="22"/>
              </w:rPr>
              <w:t>Southern</w:t>
            </w:r>
          </w:p>
        </w:tc>
        <w:tc>
          <w:tcPr>
            <w:tcW w:w="1980" w:type="dxa"/>
            <w:tcBorders>
              <w:top w:val="single" w:sz="8" w:space="0" w:color="7BA0CD"/>
              <w:left w:val="nil"/>
              <w:bottom w:val="single" w:sz="4" w:space="0" w:color="auto"/>
              <w:right w:val="nil"/>
            </w:tcBorders>
            <w:shd w:val="clear" w:color="auto" w:fill="auto"/>
            <w:noWrap/>
            <w:vAlign w:val="bottom"/>
            <w:hideMark/>
          </w:tcPr>
          <w:p w14:paraId="6CAFAC41"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95.6%</w:t>
            </w:r>
          </w:p>
        </w:tc>
        <w:tc>
          <w:tcPr>
            <w:tcW w:w="1900" w:type="dxa"/>
            <w:tcBorders>
              <w:top w:val="single" w:sz="8" w:space="0" w:color="7BA0CD"/>
              <w:left w:val="nil"/>
              <w:bottom w:val="single" w:sz="4" w:space="0" w:color="auto"/>
              <w:right w:val="nil"/>
            </w:tcBorders>
            <w:shd w:val="clear" w:color="auto" w:fill="auto"/>
            <w:noWrap/>
            <w:vAlign w:val="bottom"/>
            <w:hideMark/>
          </w:tcPr>
          <w:p w14:paraId="2A702284" w14:textId="77777777" w:rsidR="00753255" w:rsidRPr="00A51BC3" w:rsidRDefault="00753255" w:rsidP="003649E9">
            <w:pPr>
              <w:jc w:val="center"/>
              <w:rPr>
                <w:rFonts w:ascii="Calibri" w:hAnsi="Calibri"/>
                <w:color w:val="000000"/>
                <w:sz w:val="22"/>
              </w:rPr>
            </w:pPr>
            <w:r w:rsidRPr="00A51BC3">
              <w:rPr>
                <w:rFonts w:ascii="Calibri" w:hAnsi="Calibri"/>
                <w:color w:val="000000"/>
                <w:sz w:val="22"/>
              </w:rPr>
              <w:t>96.8%</w:t>
            </w:r>
          </w:p>
        </w:tc>
        <w:tc>
          <w:tcPr>
            <w:tcW w:w="1580" w:type="dxa"/>
            <w:tcBorders>
              <w:top w:val="single" w:sz="8" w:space="0" w:color="7BA0CD"/>
              <w:left w:val="nil"/>
              <w:bottom w:val="single" w:sz="4" w:space="0" w:color="auto"/>
              <w:right w:val="nil"/>
            </w:tcBorders>
            <w:shd w:val="clear" w:color="auto" w:fill="auto"/>
            <w:noWrap/>
            <w:vAlign w:val="bottom"/>
            <w:hideMark/>
          </w:tcPr>
          <w:p w14:paraId="2AE8E0D2" w14:textId="2C4AA9E5" w:rsidR="00753255" w:rsidRPr="00A51BC3" w:rsidRDefault="00753255" w:rsidP="003649E9">
            <w:pPr>
              <w:jc w:val="center"/>
              <w:rPr>
                <w:rFonts w:ascii="Calibri" w:hAnsi="Calibri"/>
                <w:color w:val="000000"/>
                <w:sz w:val="22"/>
              </w:rPr>
            </w:pPr>
            <w:r>
              <w:rPr>
                <w:rFonts w:ascii="Calibri" w:hAnsi="Calibri"/>
                <w:color w:val="000000"/>
                <w:sz w:val="22"/>
              </w:rPr>
              <w:t>94.1%</w:t>
            </w:r>
          </w:p>
        </w:tc>
        <w:tc>
          <w:tcPr>
            <w:tcW w:w="1815" w:type="dxa"/>
            <w:tcBorders>
              <w:top w:val="single" w:sz="8" w:space="0" w:color="7BA0CD"/>
              <w:left w:val="nil"/>
              <w:bottom w:val="single" w:sz="4" w:space="0" w:color="auto"/>
              <w:right w:val="single" w:sz="4" w:space="0" w:color="auto"/>
            </w:tcBorders>
            <w:shd w:val="clear" w:color="auto" w:fill="auto"/>
            <w:noWrap/>
            <w:vAlign w:val="bottom"/>
            <w:hideMark/>
          </w:tcPr>
          <w:p w14:paraId="43059AFA" w14:textId="0FB70C69" w:rsidR="00753255" w:rsidRPr="00A51BC3" w:rsidRDefault="00753255" w:rsidP="003649E9">
            <w:pPr>
              <w:jc w:val="center"/>
              <w:rPr>
                <w:rFonts w:ascii="Calibri" w:hAnsi="Calibri"/>
                <w:color w:val="000000"/>
                <w:sz w:val="22"/>
              </w:rPr>
            </w:pPr>
            <w:r>
              <w:rPr>
                <w:rFonts w:ascii="Calibri" w:hAnsi="Calibri"/>
                <w:color w:val="000000"/>
                <w:sz w:val="22"/>
              </w:rPr>
              <w:t>93.1%</w:t>
            </w:r>
          </w:p>
        </w:tc>
      </w:tr>
      <w:tr w:rsidR="00753255" w:rsidRPr="00A673A5" w14:paraId="5AF43FDF" w14:textId="77777777" w:rsidTr="003649E9">
        <w:trPr>
          <w:trHeight w:val="315"/>
          <w:jc w:val="center"/>
        </w:trPr>
        <w:tc>
          <w:tcPr>
            <w:tcW w:w="1191" w:type="dxa"/>
            <w:tcBorders>
              <w:top w:val="single" w:sz="4" w:space="0" w:color="auto"/>
              <w:left w:val="single" w:sz="4" w:space="0" w:color="auto"/>
              <w:bottom w:val="single" w:sz="4" w:space="0" w:color="auto"/>
              <w:right w:val="nil"/>
            </w:tcBorders>
            <w:shd w:val="clear" w:color="000000" w:fill="D3DFEE"/>
            <w:noWrap/>
            <w:vAlign w:val="bottom"/>
            <w:hideMark/>
          </w:tcPr>
          <w:p w14:paraId="1A70F592" w14:textId="77777777" w:rsidR="00753255" w:rsidRPr="00753255" w:rsidRDefault="00753255" w:rsidP="003649E9">
            <w:pPr>
              <w:spacing w:line="240" w:lineRule="auto"/>
              <w:rPr>
                <w:rFonts w:ascii="Franklin Gothic Medium" w:eastAsia="Times New Roman" w:hAnsi="Franklin Gothic Medium" w:cs="Times New Roman"/>
                <w:bCs/>
                <w:color w:val="000000"/>
                <w:sz w:val="22"/>
              </w:rPr>
            </w:pPr>
            <w:r w:rsidRPr="00753255">
              <w:rPr>
                <w:rFonts w:ascii="Franklin Gothic Medium" w:eastAsia="Times New Roman" w:hAnsi="Franklin Gothic Medium" w:cs="Times New Roman"/>
                <w:bCs/>
                <w:color w:val="000000"/>
                <w:sz w:val="22"/>
              </w:rPr>
              <w:t>State</w:t>
            </w:r>
          </w:p>
        </w:tc>
        <w:tc>
          <w:tcPr>
            <w:tcW w:w="1980" w:type="dxa"/>
            <w:tcBorders>
              <w:top w:val="single" w:sz="4" w:space="0" w:color="auto"/>
              <w:left w:val="nil"/>
              <w:bottom w:val="single" w:sz="4" w:space="0" w:color="auto"/>
              <w:right w:val="nil"/>
            </w:tcBorders>
            <w:shd w:val="clear" w:color="000000" w:fill="D3DFEE"/>
            <w:noWrap/>
            <w:vAlign w:val="bottom"/>
            <w:hideMark/>
          </w:tcPr>
          <w:p w14:paraId="7A89AF96" w14:textId="77777777" w:rsidR="00753255" w:rsidRPr="00753255" w:rsidRDefault="00753255" w:rsidP="003649E9">
            <w:pPr>
              <w:jc w:val="center"/>
              <w:rPr>
                <w:rFonts w:ascii="Calibri" w:hAnsi="Calibri"/>
                <w:b/>
                <w:color w:val="000000"/>
                <w:sz w:val="22"/>
              </w:rPr>
            </w:pPr>
            <w:r w:rsidRPr="00753255">
              <w:rPr>
                <w:rFonts w:ascii="Calibri" w:hAnsi="Calibri"/>
                <w:b/>
                <w:color w:val="000000"/>
                <w:sz w:val="22"/>
              </w:rPr>
              <w:t>97.4%</w:t>
            </w:r>
          </w:p>
        </w:tc>
        <w:tc>
          <w:tcPr>
            <w:tcW w:w="1900" w:type="dxa"/>
            <w:tcBorders>
              <w:top w:val="single" w:sz="4" w:space="0" w:color="auto"/>
              <w:left w:val="nil"/>
              <w:bottom w:val="single" w:sz="4" w:space="0" w:color="auto"/>
              <w:right w:val="nil"/>
            </w:tcBorders>
            <w:shd w:val="clear" w:color="000000" w:fill="D3DFEE"/>
            <w:noWrap/>
            <w:vAlign w:val="bottom"/>
            <w:hideMark/>
          </w:tcPr>
          <w:p w14:paraId="0F220D9F" w14:textId="77777777" w:rsidR="00753255" w:rsidRPr="00753255" w:rsidRDefault="00753255" w:rsidP="003649E9">
            <w:pPr>
              <w:jc w:val="center"/>
              <w:rPr>
                <w:rFonts w:ascii="Calibri" w:hAnsi="Calibri"/>
                <w:b/>
                <w:color w:val="000000"/>
                <w:sz w:val="22"/>
              </w:rPr>
            </w:pPr>
            <w:r w:rsidRPr="00753255">
              <w:rPr>
                <w:rFonts w:ascii="Calibri" w:hAnsi="Calibri"/>
                <w:b/>
                <w:color w:val="000000"/>
                <w:sz w:val="22"/>
              </w:rPr>
              <w:t>96.8%</w:t>
            </w:r>
          </w:p>
        </w:tc>
        <w:tc>
          <w:tcPr>
            <w:tcW w:w="1580" w:type="dxa"/>
            <w:tcBorders>
              <w:top w:val="single" w:sz="4" w:space="0" w:color="auto"/>
              <w:left w:val="nil"/>
              <w:bottom w:val="single" w:sz="4" w:space="0" w:color="auto"/>
              <w:right w:val="nil"/>
            </w:tcBorders>
            <w:shd w:val="clear" w:color="000000" w:fill="D3DFEE"/>
            <w:noWrap/>
            <w:vAlign w:val="bottom"/>
            <w:hideMark/>
          </w:tcPr>
          <w:p w14:paraId="28715778" w14:textId="77583BB0" w:rsidR="00753255" w:rsidRPr="00A51BC3" w:rsidRDefault="00753255" w:rsidP="003649E9">
            <w:pPr>
              <w:jc w:val="center"/>
              <w:rPr>
                <w:rFonts w:ascii="Franklin Gothic Medium" w:hAnsi="Franklin Gothic Medium"/>
                <w:color w:val="000000"/>
                <w:szCs w:val="24"/>
              </w:rPr>
            </w:pPr>
            <w:r>
              <w:rPr>
                <w:rFonts w:ascii="Calibri" w:hAnsi="Calibri"/>
                <w:b/>
                <w:bCs/>
                <w:color w:val="000000"/>
                <w:sz w:val="22"/>
              </w:rPr>
              <w:t>94.8%</w:t>
            </w:r>
          </w:p>
        </w:tc>
        <w:tc>
          <w:tcPr>
            <w:tcW w:w="1815" w:type="dxa"/>
            <w:tcBorders>
              <w:top w:val="single" w:sz="4" w:space="0" w:color="auto"/>
              <w:left w:val="nil"/>
              <w:bottom w:val="single" w:sz="4" w:space="0" w:color="auto"/>
              <w:right w:val="single" w:sz="4" w:space="0" w:color="auto"/>
            </w:tcBorders>
            <w:shd w:val="clear" w:color="000000" w:fill="D3DFEE"/>
            <w:noWrap/>
            <w:vAlign w:val="bottom"/>
            <w:hideMark/>
          </w:tcPr>
          <w:p w14:paraId="1F354DBE" w14:textId="1B6AA5BB" w:rsidR="00753255" w:rsidRPr="00A51BC3" w:rsidRDefault="00753255" w:rsidP="003649E9">
            <w:pPr>
              <w:jc w:val="center"/>
              <w:rPr>
                <w:rFonts w:ascii="Franklin Gothic Medium" w:hAnsi="Franklin Gothic Medium"/>
                <w:color w:val="000000"/>
                <w:szCs w:val="24"/>
              </w:rPr>
            </w:pPr>
            <w:r>
              <w:rPr>
                <w:rFonts w:ascii="Calibri" w:hAnsi="Calibri"/>
                <w:b/>
                <w:bCs/>
                <w:color w:val="000000"/>
                <w:sz w:val="22"/>
              </w:rPr>
              <w:t>93.6%</w:t>
            </w:r>
          </w:p>
        </w:tc>
      </w:tr>
    </w:tbl>
    <w:p w14:paraId="674343A6" w14:textId="77777777" w:rsidR="003649E9" w:rsidRDefault="003649E9" w:rsidP="003649E9"/>
    <w:p w14:paraId="1A8717E4" w14:textId="77777777" w:rsidR="003649E9" w:rsidRDefault="003649E9" w:rsidP="001B6245">
      <w:pPr>
        <w:pStyle w:val="Heading3"/>
      </w:pPr>
      <w:bookmarkStart w:id="63" w:name="_Toc369864684"/>
      <w:bookmarkStart w:id="64" w:name="_Toc459080651"/>
      <w:r>
        <w:t>Alerts</w:t>
      </w:r>
      <w:bookmarkEnd w:id="63"/>
      <w:bookmarkEnd w:id="64"/>
      <w:r>
        <w:t xml:space="preserve">   </w:t>
      </w:r>
    </w:p>
    <w:p w14:paraId="4BAC3E79" w14:textId="33141A90" w:rsidR="003649E9" w:rsidRDefault="003649E9" w:rsidP="003649E9">
      <w:r w:rsidRPr="00645AFC">
        <w:t>At any time during a review if a situation is noted that could cause harm to an individual, the reviewer immediately informs</w:t>
      </w:r>
      <w:r w:rsidRPr="00924373">
        <w:t xml:space="preserve"> the</w:t>
      </w:r>
      <w:r>
        <w:t xml:space="preserve"> local APD office.  </w:t>
      </w:r>
      <w:r w:rsidR="00B04824">
        <w:t xml:space="preserve">The </w:t>
      </w:r>
      <w:r>
        <w:t>Delmarva</w:t>
      </w:r>
      <w:r w:rsidR="00B04824">
        <w:t xml:space="preserve"> reviewer</w:t>
      </w:r>
      <w:r>
        <w:t xml:space="preserve"> calls the abuse hotline, if appropriate, records an </w:t>
      </w:r>
      <w:r w:rsidR="001F21BA">
        <w:t>a</w:t>
      </w:r>
      <w:r>
        <w:t>lert,</w:t>
      </w:r>
      <w:r w:rsidRPr="00092ED9">
        <w:t xml:space="preserve"> </w:t>
      </w:r>
      <w:r>
        <w:t>and notifies the local APD Regional and State offices</w:t>
      </w:r>
      <w:r w:rsidR="00B04824">
        <w:t>, and AHCA</w:t>
      </w:r>
      <w:r>
        <w:t xml:space="preserve">.  Alerts can be related to health, safety or rights.  In addition, when any provider or employee who has direct contact with individuals does not have all the appropriate background screening documentation on file, an </w:t>
      </w:r>
      <w:r w:rsidR="001F21BA">
        <w:lastRenderedPageBreak/>
        <w:t>a</w:t>
      </w:r>
      <w:r>
        <w:t xml:space="preserve">lert is recorded, unless the only reason cited is noncompliance with the Affidavit of Good Moral Conduct.   </w:t>
      </w:r>
    </w:p>
    <w:p w14:paraId="29E58E16" w14:textId="77777777" w:rsidR="003649E9" w:rsidRDefault="003649E9" w:rsidP="003649E9"/>
    <w:p w14:paraId="6688AB92" w14:textId="254BD5E3" w:rsidR="003649E9" w:rsidRPr="000B04AB" w:rsidRDefault="000B04AB" w:rsidP="003649E9">
      <w:r w:rsidRPr="000B04AB">
        <w:t xml:space="preserve">During the first </w:t>
      </w:r>
      <w:r w:rsidR="00753255">
        <w:t xml:space="preserve">two </w:t>
      </w:r>
      <w:r w:rsidRPr="000B04AB">
        <w:t>quarter</w:t>
      </w:r>
      <w:r w:rsidR="00753255">
        <w:t>s of the year (January – June 2016)</w:t>
      </w:r>
      <w:r w:rsidRPr="000B04AB">
        <w:t xml:space="preserve">, </w:t>
      </w:r>
      <w:r w:rsidR="00753255">
        <w:t>134</w:t>
      </w:r>
      <w:r w:rsidR="003649E9" w:rsidRPr="000B04AB">
        <w:t xml:space="preserve"> alerts were recorded.  </w:t>
      </w:r>
      <w:r w:rsidR="003E01AF">
        <w:t>H</w:t>
      </w:r>
      <w:r w:rsidR="00D12C2A" w:rsidRPr="000B04AB">
        <w:t>alf the</w:t>
      </w:r>
      <w:r w:rsidR="003649E9" w:rsidRPr="000B04AB">
        <w:t xml:space="preserve"> </w:t>
      </w:r>
      <w:r w:rsidR="001F21BA">
        <w:t>a</w:t>
      </w:r>
      <w:r w:rsidR="003649E9" w:rsidRPr="000B04AB">
        <w:t>lerts w</w:t>
      </w:r>
      <w:r w:rsidR="003E01AF">
        <w:t>ere</w:t>
      </w:r>
      <w:r w:rsidR="003649E9" w:rsidRPr="000B04AB">
        <w:t xml:space="preserve"> due to a lack of required documentation needed to provide evidence background screening had been completed.  An additional </w:t>
      </w:r>
      <w:r w:rsidR="003E01AF">
        <w:t>67</w:t>
      </w:r>
      <w:r w:rsidR="003649E9" w:rsidRPr="000B04AB">
        <w:t xml:space="preserve"> alerts were reported a</w:t>
      </w:r>
      <w:r w:rsidR="003E01AF">
        <w:t>s shown in the following table, with 52 related to health, safety, or medication administration or training.</w:t>
      </w:r>
    </w:p>
    <w:p w14:paraId="242AE81E" w14:textId="77777777" w:rsidR="003649E9" w:rsidRPr="000B04AB" w:rsidRDefault="003649E9" w:rsidP="003649E9">
      <w:pPr>
        <w:spacing w:line="240" w:lineRule="auto"/>
      </w:pPr>
    </w:p>
    <w:p w14:paraId="1D1785D7" w14:textId="77777777" w:rsidR="003649E9" w:rsidRPr="000B04AB" w:rsidRDefault="003649E9" w:rsidP="003649E9">
      <w:pPr>
        <w:spacing w:line="240" w:lineRule="auto"/>
      </w:pPr>
    </w:p>
    <w:tbl>
      <w:tblPr>
        <w:tblStyle w:val="MediumShading1-Accent3"/>
        <w:tblW w:w="5150" w:type="dxa"/>
        <w:jc w:val="center"/>
        <w:tblLook w:val="04A0" w:firstRow="1" w:lastRow="0" w:firstColumn="1" w:lastColumn="0" w:noHBand="0" w:noVBand="1"/>
      </w:tblPr>
      <w:tblGrid>
        <w:gridCol w:w="4236"/>
        <w:gridCol w:w="914"/>
      </w:tblGrid>
      <w:tr w:rsidR="003649E9" w:rsidRPr="000B04AB" w14:paraId="1851CB86" w14:textId="77777777" w:rsidTr="003649E9">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5150" w:type="dxa"/>
            <w:gridSpan w:val="2"/>
            <w:shd w:val="clear" w:color="auto" w:fill="4A442A" w:themeFill="background2" w:themeFillShade="40"/>
            <w:noWrap/>
            <w:vAlign w:val="bottom"/>
            <w:hideMark/>
          </w:tcPr>
          <w:p w14:paraId="2A7652C3" w14:textId="77777777" w:rsidR="003649E9" w:rsidRPr="000B04AB" w:rsidRDefault="003649E9" w:rsidP="003649E9">
            <w:pPr>
              <w:spacing w:line="240" w:lineRule="auto"/>
              <w:jc w:val="center"/>
              <w:rPr>
                <w:rFonts w:ascii="Franklin Gothic Medium" w:eastAsia="Times New Roman" w:hAnsi="Franklin Gothic Medium" w:cs="Times New Roman"/>
                <w:b w:val="0"/>
                <w:szCs w:val="24"/>
              </w:rPr>
            </w:pPr>
            <w:r w:rsidRPr="000B04AB">
              <w:rPr>
                <w:rFonts w:ascii="Franklin Gothic Medium" w:eastAsia="Times New Roman" w:hAnsi="Franklin Gothic Medium" w:cs="Times New Roman"/>
                <w:b w:val="0"/>
                <w:szCs w:val="24"/>
              </w:rPr>
              <w:t>Table 25: Alerts by Type</w:t>
            </w:r>
          </w:p>
        </w:tc>
      </w:tr>
      <w:tr w:rsidR="003649E9" w:rsidRPr="000B04AB" w14:paraId="44DC8E87" w14:textId="77777777" w:rsidTr="003E01AF">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5150" w:type="dxa"/>
            <w:gridSpan w:val="2"/>
            <w:shd w:val="clear" w:color="auto" w:fill="4A442A" w:themeFill="background2" w:themeFillShade="40"/>
            <w:noWrap/>
            <w:vAlign w:val="bottom"/>
          </w:tcPr>
          <w:p w14:paraId="14F98E80" w14:textId="0EC7BB97" w:rsidR="003649E9" w:rsidRPr="000B04AB" w:rsidRDefault="003649E9" w:rsidP="00753255">
            <w:pPr>
              <w:spacing w:line="240" w:lineRule="auto"/>
              <w:jc w:val="center"/>
              <w:rPr>
                <w:rFonts w:ascii="Franklin Gothic Medium" w:eastAsia="Times New Roman" w:hAnsi="Franklin Gothic Medium" w:cs="Times New Roman"/>
                <w:b w:val="0"/>
                <w:szCs w:val="24"/>
              </w:rPr>
            </w:pPr>
            <w:r w:rsidRPr="000B04AB">
              <w:rPr>
                <w:rFonts w:ascii="Franklin Gothic Medium" w:eastAsia="Times New Roman" w:hAnsi="Franklin Gothic Medium" w:cs="Times New Roman"/>
                <w:b w:val="0"/>
                <w:szCs w:val="24"/>
              </w:rPr>
              <w:t xml:space="preserve">January – </w:t>
            </w:r>
            <w:r w:rsidR="00753255">
              <w:rPr>
                <w:rFonts w:ascii="Franklin Gothic Medium" w:eastAsia="Times New Roman" w:hAnsi="Franklin Gothic Medium" w:cs="Times New Roman"/>
                <w:b w:val="0"/>
                <w:szCs w:val="24"/>
              </w:rPr>
              <w:t>June</w:t>
            </w:r>
            <w:r w:rsidRPr="000B04AB">
              <w:rPr>
                <w:rFonts w:ascii="Franklin Gothic Medium" w:eastAsia="Times New Roman" w:hAnsi="Franklin Gothic Medium" w:cs="Times New Roman"/>
                <w:b w:val="0"/>
                <w:szCs w:val="24"/>
              </w:rPr>
              <w:t xml:space="preserve"> 2016</w:t>
            </w:r>
          </w:p>
        </w:tc>
      </w:tr>
      <w:tr w:rsidR="003649E9" w:rsidRPr="000B04AB" w14:paraId="67FF3083" w14:textId="77777777" w:rsidTr="003E01AF">
        <w:trPr>
          <w:cnfStyle w:val="100000000000" w:firstRow="1" w:lastRow="0" w:firstColumn="0" w:lastColumn="0" w:oddVBand="0" w:evenVBand="0" w:oddHBand="0" w:evenHBand="0" w:firstRowFirstColumn="0" w:firstRowLastColumn="0" w:lastRowFirstColumn="0" w:lastRowLastColumn="0"/>
          <w:trHeight w:val="396"/>
          <w:tblHeader/>
          <w:jc w:val="center"/>
        </w:trPr>
        <w:tc>
          <w:tcPr>
            <w:cnfStyle w:val="001000000000" w:firstRow="0" w:lastRow="0" w:firstColumn="1" w:lastColumn="0" w:oddVBand="0" w:evenVBand="0" w:oddHBand="0" w:evenHBand="0" w:firstRowFirstColumn="0" w:firstRowLastColumn="0" w:lastRowFirstColumn="0" w:lastRowLastColumn="0"/>
            <w:tcW w:w="4236" w:type="dxa"/>
            <w:shd w:val="clear" w:color="auto" w:fill="4A442A" w:themeFill="background2" w:themeFillShade="40"/>
            <w:noWrap/>
            <w:vAlign w:val="bottom"/>
            <w:hideMark/>
          </w:tcPr>
          <w:p w14:paraId="5C54BC90" w14:textId="77777777" w:rsidR="003649E9" w:rsidRPr="000B04AB" w:rsidRDefault="003649E9" w:rsidP="003649E9">
            <w:pPr>
              <w:spacing w:line="240" w:lineRule="auto"/>
              <w:rPr>
                <w:rFonts w:ascii="Franklin Gothic Medium" w:eastAsia="Times New Roman" w:hAnsi="Franklin Gothic Medium" w:cs="Times New Roman"/>
                <w:b w:val="0"/>
                <w:szCs w:val="24"/>
              </w:rPr>
            </w:pPr>
            <w:r w:rsidRPr="000B04AB">
              <w:rPr>
                <w:rFonts w:ascii="Franklin Gothic Medium" w:eastAsia="Times New Roman" w:hAnsi="Franklin Gothic Medium" w:cs="Times New Roman"/>
                <w:b w:val="0"/>
                <w:szCs w:val="24"/>
              </w:rPr>
              <w:t>Alert Type</w:t>
            </w:r>
          </w:p>
        </w:tc>
        <w:tc>
          <w:tcPr>
            <w:tcW w:w="914" w:type="dxa"/>
            <w:shd w:val="clear" w:color="auto" w:fill="4A442A" w:themeFill="background2" w:themeFillShade="40"/>
            <w:vAlign w:val="bottom"/>
            <w:hideMark/>
          </w:tcPr>
          <w:p w14:paraId="39D2D341" w14:textId="77777777" w:rsidR="003649E9" w:rsidRPr="000B04AB" w:rsidRDefault="003649E9" w:rsidP="003649E9">
            <w:pPr>
              <w:spacing w:line="240" w:lineRule="auto"/>
              <w:jc w:val="center"/>
              <w:cnfStyle w:val="100000000000" w:firstRow="1" w:lastRow="0" w:firstColumn="0" w:lastColumn="0" w:oddVBand="0" w:evenVBand="0" w:oddHBand="0" w:evenHBand="0" w:firstRowFirstColumn="0" w:firstRowLastColumn="0" w:lastRowFirstColumn="0" w:lastRowLastColumn="0"/>
              <w:rPr>
                <w:rFonts w:ascii="Franklin Gothic Medium" w:eastAsia="Times New Roman" w:hAnsi="Franklin Gothic Medium" w:cs="Times New Roman"/>
                <w:b w:val="0"/>
                <w:szCs w:val="24"/>
              </w:rPr>
            </w:pPr>
            <w:r w:rsidRPr="000B04AB">
              <w:rPr>
                <w:rFonts w:ascii="Franklin Gothic Medium" w:eastAsia="Times New Roman" w:hAnsi="Franklin Gothic Medium" w:cs="Times New Roman"/>
                <w:b w:val="0"/>
                <w:szCs w:val="24"/>
              </w:rPr>
              <w:t>Times Cited</w:t>
            </w:r>
          </w:p>
        </w:tc>
      </w:tr>
      <w:tr w:rsidR="00753255" w:rsidRPr="000B04AB" w14:paraId="4B1DCE27" w14:textId="77777777" w:rsidTr="003649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36" w:type="dxa"/>
            <w:noWrap/>
            <w:vAlign w:val="bottom"/>
            <w:hideMark/>
          </w:tcPr>
          <w:p w14:paraId="43F511DE" w14:textId="77777777" w:rsidR="00753255" w:rsidRPr="0074048F" w:rsidRDefault="00753255" w:rsidP="003649E9">
            <w:pPr>
              <w:spacing w:line="240" w:lineRule="auto"/>
              <w:rPr>
                <w:rFonts w:ascii="Calibri" w:eastAsia="Times New Roman" w:hAnsi="Calibri" w:cs="Times New Roman"/>
                <w:b w:val="0"/>
                <w:color w:val="000000"/>
                <w:sz w:val="22"/>
              </w:rPr>
            </w:pPr>
            <w:r w:rsidRPr="0074048F">
              <w:rPr>
                <w:rFonts w:ascii="Calibri" w:eastAsia="Times New Roman" w:hAnsi="Calibri" w:cs="Times New Roman"/>
                <w:b w:val="0"/>
                <w:color w:val="000000"/>
                <w:sz w:val="22"/>
              </w:rPr>
              <w:t>Rights</w:t>
            </w:r>
          </w:p>
        </w:tc>
        <w:tc>
          <w:tcPr>
            <w:tcW w:w="914" w:type="dxa"/>
            <w:noWrap/>
            <w:vAlign w:val="bottom"/>
            <w:hideMark/>
          </w:tcPr>
          <w:p w14:paraId="2BBB4A4A" w14:textId="4C083C87" w:rsidR="00753255" w:rsidRPr="00753255" w:rsidRDefault="00753255"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753255">
              <w:rPr>
                <w:rFonts w:ascii="Calibri" w:hAnsi="Calibri"/>
                <w:color w:val="000000"/>
                <w:sz w:val="22"/>
              </w:rPr>
              <w:t>7</w:t>
            </w:r>
          </w:p>
        </w:tc>
      </w:tr>
      <w:tr w:rsidR="00753255" w:rsidRPr="000B04AB" w14:paraId="2BAEC4D9" w14:textId="77777777" w:rsidTr="003649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36" w:type="dxa"/>
            <w:noWrap/>
            <w:vAlign w:val="bottom"/>
            <w:hideMark/>
          </w:tcPr>
          <w:p w14:paraId="517A7CC4" w14:textId="77777777" w:rsidR="00753255" w:rsidRPr="0074048F" w:rsidRDefault="00753255" w:rsidP="003649E9">
            <w:pPr>
              <w:spacing w:line="240" w:lineRule="auto"/>
              <w:rPr>
                <w:rFonts w:ascii="Calibri" w:eastAsia="Times New Roman" w:hAnsi="Calibri" w:cs="Times New Roman"/>
                <w:b w:val="0"/>
                <w:color w:val="000000"/>
                <w:sz w:val="22"/>
              </w:rPr>
            </w:pPr>
            <w:r w:rsidRPr="0074048F">
              <w:rPr>
                <w:rFonts w:ascii="Calibri" w:eastAsia="Times New Roman" w:hAnsi="Calibri" w:cs="Times New Roman"/>
                <w:b w:val="0"/>
                <w:color w:val="000000"/>
                <w:sz w:val="22"/>
              </w:rPr>
              <w:t>Health &amp; Safety</w:t>
            </w:r>
          </w:p>
        </w:tc>
        <w:tc>
          <w:tcPr>
            <w:tcW w:w="914" w:type="dxa"/>
            <w:noWrap/>
            <w:vAlign w:val="bottom"/>
            <w:hideMark/>
          </w:tcPr>
          <w:p w14:paraId="631159CC" w14:textId="6A375C83" w:rsidR="00753255" w:rsidRPr="00753255" w:rsidRDefault="00753255" w:rsidP="003649E9">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753255">
              <w:rPr>
                <w:rFonts w:ascii="Calibri" w:hAnsi="Calibri"/>
                <w:color w:val="000000"/>
                <w:sz w:val="22"/>
              </w:rPr>
              <w:t>20</w:t>
            </w:r>
          </w:p>
        </w:tc>
      </w:tr>
      <w:tr w:rsidR="00753255" w:rsidRPr="000B04AB" w14:paraId="4F1E22E4" w14:textId="77777777" w:rsidTr="003649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36" w:type="dxa"/>
            <w:noWrap/>
            <w:vAlign w:val="bottom"/>
            <w:hideMark/>
          </w:tcPr>
          <w:p w14:paraId="6AC27539" w14:textId="77777777" w:rsidR="00753255" w:rsidRPr="0074048F" w:rsidRDefault="00753255" w:rsidP="003649E9">
            <w:pPr>
              <w:spacing w:line="240" w:lineRule="auto"/>
              <w:rPr>
                <w:rFonts w:ascii="Calibri" w:eastAsia="Times New Roman" w:hAnsi="Calibri" w:cs="Times New Roman"/>
                <w:b w:val="0"/>
                <w:color w:val="000000"/>
                <w:sz w:val="22"/>
              </w:rPr>
            </w:pPr>
            <w:r w:rsidRPr="0074048F">
              <w:rPr>
                <w:rFonts w:ascii="Calibri" w:eastAsia="Times New Roman" w:hAnsi="Calibri" w:cs="Times New Roman"/>
                <w:b w:val="0"/>
                <w:color w:val="000000"/>
                <w:sz w:val="22"/>
              </w:rPr>
              <w:t>Abuse/Neglect/Exploitation</w:t>
            </w:r>
          </w:p>
        </w:tc>
        <w:tc>
          <w:tcPr>
            <w:tcW w:w="914" w:type="dxa"/>
            <w:noWrap/>
            <w:vAlign w:val="bottom"/>
            <w:hideMark/>
          </w:tcPr>
          <w:p w14:paraId="4117F4FB" w14:textId="32836222" w:rsidR="00753255" w:rsidRPr="00753255" w:rsidRDefault="00753255"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753255">
              <w:rPr>
                <w:rFonts w:ascii="Calibri" w:hAnsi="Calibri"/>
                <w:color w:val="000000"/>
                <w:sz w:val="22"/>
              </w:rPr>
              <w:t>1</w:t>
            </w:r>
          </w:p>
        </w:tc>
      </w:tr>
      <w:tr w:rsidR="00753255" w:rsidRPr="000B04AB" w14:paraId="4F1F5802" w14:textId="77777777" w:rsidTr="003649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36" w:type="dxa"/>
            <w:noWrap/>
            <w:vAlign w:val="bottom"/>
            <w:hideMark/>
          </w:tcPr>
          <w:p w14:paraId="522D5946" w14:textId="77777777" w:rsidR="00753255" w:rsidRPr="0074048F" w:rsidRDefault="00753255" w:rsidP="003649E9">
            <w:pPr>
              <w:spacing w:line="240" w:lineRule="auto"/>
              <w:rPr>
                <w:rFonts w:ascii="Calibri" w:eastAsia="Times New Roman" w:hAnsi="Calibri" w:cs="Times New Roman"/>
                <w:b w:val="0"/>
                <w:color w:val="000000"/>
                <w:sz w:val="22"/>
              </w:rPr>
            </w:pPr>
            <w:r w:rsidRPr="0074048F">
              <w:rPr>
                <w:rFonts w:ascii="Calibri" w:eastAsia="Times New Roman" w:hAnsi="Calibri" w:cs="Times New Roman"/>
                <w:b w:val="0"/>
                <w:color w:val="000000"/>
                <w:sz w:val="22"/>
              </w:rPr>
              <w:t>Background Screening</w:t>
            </w:r>
          </w:p>
        </w:tc>
        <w:tc>
          <w:tcPr>
            <w:tcW w:w="914" w:type="dxa"/>
            <w:noWrap/>
            <w:vAlign w:val="bottom"/>
            <w:hideMark/>
          </w:tcPr>
          <w:p w14:paraId="30C6A11B" w14:textId="5CFC3407" w:rsidR="00753255" w:rsidRPr="00753255" w:rsidRDefault="00753255" w:rsidP="003649E9">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753255">
              <w:rPr>
                <w:rFonts w:ascii="Calibri" w:hAnsi="Calibri"/>
                <w:color w:val="000000"/>
                <w:sz w:val="22"/>
              </w:rPr>
              <w:t>67</w:t>
            </w:r>
          </w:p>
        </w:tc>
      </w:tr>
      <w:tr w:rsidR="00753255" w:rsidRPr="000B04AB" w14:paraId="29595C0D" w14:textId="77777777" w:rsidTr="003649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36" w:type="dxa"/>
            <w:noWrap/>
            <w:vAlign w:val="bottom"/>
            <w:hideMark/>
          </w:tcPr>
          <w:p w14:paraId="00801E58" w14:textId="77777777" w:rsidR="00753255" w:rsidRPr="0074048F" w:rsidRDefault="00753255" w:rsidP="003649E9">
            <w:pPr>
              <w:spacing w:line="240" w:lineRule="auto"/>
              <w:rPr>
                <w:rFonts w:ascii="Calibri" w:eastAsia="Times New Roman" w:hAnsi="Calibri" w:cs="Times New Roman"/>
                <w:b w:val="0"/>
                <w:color w:val="000000"/>
                <w:sz w:val="22"/>
              </w:rPr>
            </w:pPr>
            <w:r w:rsidRPr="0074048F">
              <w:rPr>
                <w:rFonts w:ascii="Calibri" w:eastAsia="Times New Roman" w:hAnsi="Calibri" w:cs="Times New Roman"/>
                <w:b w:val="0"/>
                <w:color w:val="000000"/>
                <w:sz w:val="22"/>
              </w:rPr>
              <w:t>Medication Administration/Training</w:t>
            </w:r>
          </w:p>
        </w:tc>
        <w:tc>
          <w:tcPr>
            <w:tcW w:w="914" w:type="dxa"/>
            <w:noWrap/>
            <w:vAlign w:val="bottom"/>
            <w:hideMark/>
          </w:tcPr>
          <w:p w14:paraId="4E18D2BC" w14:textId="03807791" w:rsidR="00753255" w:rsidRPr="00753255" w:rsidRDefault="00753255"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753255">
              <w:rPr>
                <w:rFonts w:ascii="Calibri" w:hAnsi="Calibri"/>
                <w:color w:val="000000"/>
                <w:sz w:val="22"/>
              </w:rPr>
              <w:t>32</w:t>
            </w:r>
          </w:p>
        </w:tc>
      </w:tr>
      <w:tr w:rsidR="00753255" w:rsidRPr="000B04AB" w14:paraId="10DB3DCC" w14:textId="77777777" w:rsidTr="003649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36" w:type="dxa"/>
            <w:noWrap/>
            <w:vAlign w:val="bottom"/>
            <w:hideMark/>
          </w:tcPr>
          <w:p w14:paraId="642D3749" w14:textId="77777777" w:rsidR="00753255" w:rsidRPr="0074048F" w:rsidRDefault="00753255" w:rsidP="003649E9">
            <w:pPr>
              <w:spacing w:line="240" w:lineRule="auto"/>
              <w:rPr>
                <w:rFonts w:ascii="Calibri" w:eastAsia="Times New Roman" w:hAnsi="Calibri" w:cs="Times New Roman"/>
                <w:b w:val="0"/>
                <w:color w:val="000000"/>
                <w:sz w:val="22"/>
              </w:rPr>
            </w:pPr>
            <w:r w:rsidRPr="0074048F">
              <w:rPr>
                <w:rFonts w:ascii="Calibri" w:eastAsia="Times New Roman" w:hAnsi="Calibri" w:cs="Times New Roman"/>
                <w:b w:val="0"/>
                <w:color w:val="000000"/>
                <w:sz w:val="22"/>
              </w:rPr>
              <w:t>Driver’s License/Insurance (Employee)</w:t>
            </w:r>
          </w:p>
        </w:tc>
        <w:tc>
          <w:tcPr>
            <w:tcW w:w="914" w:type="dxa"/>
            <w:noWrap/>
            <w:vAlign w:val="bottom"/>
            <w:hideMark/>
          </w:tcPr>
          <w:p w14:paraId="35AEE02F" w14:textId="71C9A40C" w:rsidR="00753255" w:rsidRPr="00753255" w:rsidRDefault="00753255" w:rsidP="003649E9">
            <w:pPr>
              <w:spacing w:line="240" w:lineRule="auto"/>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2"/>
              </w:rPr>
            </w:pPr>
            <w:r w:rsidRPr="00753255">
              <w:rPr>
                <w:rFonts w:ascii="Calibri" w:hAnsi="Calibri"/>
                <w:color w:val="000000"/>
                <w:sz w:val="22"/>
              </w:rPr>
              <w:t>4</w:t>
            </w:r>
          </w:p>
        </w:tc>
      </w:tr>
      <w:tr w:rsidR="00753255" w:rsidRPr="000B04AB" w14:paraId="03D8A0E9" w14:textId="77777777" w:rsidTr="003649E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36" w:type="dxa"/>
            <w:noWrap/>
            <w:vAlign w:val="bottom"/>
            <w:hideMark/>
          </w:tcPr>
          <w:p w14:paraId="45DE82F7" w14:textId="558494CD" w:rsidR="00753255" w:rsidRPr="0074048F" w:rsidRDefault="00753255" w:rsidP="003E01AF">
            <w:pPr>
              <w:spacing w:line="240" w:lineRule="auto"/>
              <w:rPr>
                <w:rFonts w:ascii="Calibri" w:eastAsia="Times New Roman" w:hAnsi="Calibri" w:cs="Times New Roman"/>
                <w:b w:val="0"/>
                <w:color w:val="000000"/>
                <w:sz w:val="22"/>
              </w:rPr>
            </w:pPr>
            <w:r w:rsidRPr="0074048F">
              <w:rPr>
                <w:rFonts w:ascii="Calibri" w:eastAsia="Times New Roman" w:hAnsi="Calibri" w:cs="Times New Roman"/>
                <w:b w:val="0"/>
                <w:color w:val="000000"/>
                <w:sz w:val="22"/>
              </w:rPr>
              <w:t>Vehicle Insurance (</w:t>
            </w:r>
            <w:r w:rsidR="003E01AF">
              <w:rPr>
                <w:rFonts w:ascii="Calibri" w:eastAsia="Times New Roman" w:hAnsi="Calibri" w:cs="Times New Roman"/>
                <w:b w:val="0"/>
                <w:color w:val="000000"/>
                <w:sz w:val="22"/>
              </w:rPr>
              <w:t>A</w:t>
            </w:r>
            <w:r w:rsidRPr="0074048F">
              <w:rPr>
                <w:rFonts w:ascii="Calibri" w:eastAsia="Times New Roman" w:hAnsi="Calibri" w:cs="Times New Roman"/>
                <w:b w:val="0"/>
                <w:color w:val="000000"/>
                <w:sz w:val="22"/>
              </w:rPr>
              <w:t>dministrative)</w:t>
            </w:r>
          </w:p>
        </w:tc>
        <w:tc>
          <w:tcPr>
            <w:tcW w:w="914" w:type="dxa"/>
            <w:noWrap/>
            <w:vAlign w:val="bottom"/>
            <w:hideMark/>
          </w:tcPr>
          <w:p w14:paraId="04531EFE" w14:textId="30EBA02F" w:rsidR="00753255" w:rsidRPr="00753255" w:rsidRDefault="00753255"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2"/>
              </w:rPr>
            </w:pPr>
            <w:r w:rsidRPr="00753255">
              <w:rPr>
                <w:rFonts w:ascii="Calibri" w:hAnsi="Calibri"/>
                <w:color w:val="000000"/>
                <w:sz w:val="22"/>
              </w:rPr>
              <w:t>3</w:t>
            </w:r>
          </w:p>
        </w:tc>
      </w:tr>
      <w:tr w:rsidR="00753255" w:rsidRPr="008C79A3" w14:paraId="1219946D" w14:textId="77777777" w:rsidTr="003649E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36" w:type="dxa"/>
            <w:noWrap/>
            <w:vAlign w:val="bottom"/>
            <w:hideMark/>
          </w:tcPr>
          <w:p w14:paraId="28A1CBAF" w14:textId="77777777" w:rsidR="00753255" w:rsidRPr="0074048F" w:rsidRDefault="00753255" w:rsidP="003649E9">
            <w:pPr>
              <w:spacing w:line="240" w:lineRule="auto"/>
              <w:rPr>
                <w:rFonts w:asciiTheme="minorHAnsi" w:eastAsia="Times New Roman" w:hAnsiTheme="minorHAnsi" w:cs="Times New Roman"/>
                <w:color w:val="000000"/>
                <w:sz w:val="22"/>
              </w:rPr>
            </w:pPr>
            <w:r w:rsidRPr="0074048F">
              <w:rPr>
                <w:rFonts w:asciiTheme="minorHAnsi" w:eastAsia="Times New Roman" w:hAnsiTheme="minorHAnsi" w:cs="Times New Roman"/>
                <w:color w:val="000000"/>
                <w:sz w:val="22"/>
              </w:rPr>
              <w:t>Total Alerts</w:t>
            </w:r>
          </w:p>
        </w:tc>
        <w:tc>
          <w:tcPr>
            <w:tcW w:w="914" w:type="dxa"/>
            <w:noWrap/>
            <w:vAlign w:val="bottom"/>
            <w:hideMark/>
          </w:tcPr>
          <w:p w14:paraId="620FC586" w14:textId="22A1BF59" w:rsidR="00753255" w:rsidRPr="003E01AF" w:rsidRDefault="00753255" w:rsidP="003649E9">
            <w:pPr>
              <w:spacing w:line="240" w:lineRule="auto"/>
              <w:jc w:val="center"/>
              <w:cnfStyle w:val="000000010000" w:firstRow="0" w:lastRow="0" w:firstColumn="0" w:lastColumn="0" w:oddVBand="0" w:evenVBand="0" w:oddHBand="0" w:evenHBand="1" w:firstRowFirstColumn="0" w:firstRowLastColumn="0" w:lastRowFirstColumn="0" w:lastRowLastColumn="0"/>
              <w:rPr>
                <w:rFonts w:asciiTheme="minorHAnsi" w:eastAsia="Times New Roman" w:hAnsiTheme="minorHAnsi" w:cs="Times New Roman"/>
                <w:b/>
                <w:color w:val="000000"/>
                <w:sz w:val="22"/>
              </w:rPr>
            </w:pPr>
            <w:r w:rsidRPr="003E01AF">
              <w:rPr>
                <w:rFonts w:ascii="Calibri" w:hAnsi="Calibri"/>
                <w:b/>
                <w:color w:val="000000"/>
                <w:sz w:val="22"/>
              </w:rPr>
              <w:t>134</w:t>
            </w:r>
          </w:p>
        </w:tc>
      </w:tr>
    </w:tbl>
    <w:p w14:paraId="7A5FDEE7" w14:textId="77777777" w:rsidR="003649E9" w:rsidRDefault="003649E9" w:rsidP="003649E9">
      <w:pPr>
        <w:spacing w:line="240" w:lineRule="auto"/>
      </w:pPr>
    </w:p>
    <w:p w14:paraId="6B19856B" w14:textId="77777777" w:rsidR="00321F91" w:rsidRDefault="00321F91" w:rsidP="003649E9">
      <w:pPr>
        <w:spacing w:line="240" w:lineRule="auto"/>
      </w:pPr>
    </w:p>
    <w:p w14:paraId="4AF744CB" w14:textId="77777777" w:rsidR="003649E9" w:rsidRDefault="003649E9" w:rsidP="001B6245">
      <w:pPr>
        <w:pStyle w:val="Heading3"/>
      </w:pPr>
      <w:bookmarkStart w:id="65" w:name="_Toc459080652"/>
      <w:bookmarkStart w:id="66" w:name="_Toc369864691"/>
      <w:r>
        <w:t>Background Screening</w:t>
      </w:r>
      <w:bookmarkEnd w:id="65"/>
    </w:p>
    <w:p w14:paraId="504A56DA" w14:textId="77777777" w:rsidR="00321F91" w:rsidRDefault="003649E9" w:rsidP="00321F91">
      <w:r>
        <w:t xml:space="preserve">When examining background screening results, it is important to remember that a provider may have several employee records reviewed for which the person did not have the standard met.  Each provider receives only one alert, if one or more employee records are out of compliance.  In addition, each employee may have multiple reasons as to why the standard is not met.   </w:t>
      </w:r>
    </w:p>
    <w:p w14:paraId="554D3E1E" w14:textId="77777777" w:rsidR="00321F91" w:rsidRDefault="00321F91" w:rsidP="00321F91"/>
    <w:p w14:paraId="7941A6AF" w14:textId="078B37FB" w:rsidR="00321F91" w:rsidRDefault="003649E9" w:rsidP="00321F91">
      <w:r>
        <w:t xml:space="preserve">The following table shows the percent of providers with background screening compliance met (i.e., no employee records were out of compliance) for service providers, WSCs, and CDC+ Representatives. </w:t>
      </w:r>
      <w:r w:rsidR="00321F91">
        <w:t xml:space="preserve">Results to date are preliminary, </w:t>
      </w:r>
      <w:r w:rsidR="007528B2">
        <w:t>and comparisons</w:t>
      </w:r>
      <w:r w:rsidR="00321F91">
        <w:t xml:space="preserve"> across regions </w:t>
      </w:r>
      <w:r w:rsidR="00E37FE2">
        <w:t xml:space="preserve">and provider type </w:t>
      </w:r>
      <w:r w:rsidR="00321F91">
        <w:t>should be made with caution.</w:t>
      </w:r>
    </w:p>
    <w:p w14:paraId="5127A0AA" w14:textId="77777777" w:rsidR="003649E9" w:rsidRDefault="003649E9" w:rsidP="003649E9">
      <w:pPr>
        <w:pStyle w:val="ListParagraph"/>
      </w:pPr>
    </w:p>
    <w:p w14:paraId="0538CFC8" w14:textId="77777777" w:rsidR="007528B2" w:rsidRDefault="007528B2" w:rsidP="003649E9">
      <w:pPr>
        <w:pStyle w:val="ListParagraph"/>
      </w:pPr>
    </w:p>
    <w:tbl>
      <w:tblPr>
        <w:tblStyle w:val="MediumShading1-Accent4"/>
        <w:tblW w:w="9576" w:type="dxa"/>
        <w:jc w:val="center"/>
        <w:tblLook w:val="04A0" w:firstRow="1" w:lastRow="0" w:firstColumn="1" w:lastColumn="0" w:noHBand="0" w:noVBand="1"/>
      </w:tblPr>
      <w:tblGrid>
        <w:gridCol w:w="1613"/>
        <w:gridCol w:w="1375"/>
        <w:gridCol w:w="1448"/>
        <w:gridCol w:w="1285"/>
        <w:gridCol w:w="1285"/>
        <w:gridCol w:w="1516"/>
        <w:gridCol w:w="1054"/>
      </w:tblGrid>
      <w:tr w:rsidR="003649E9" w:rsidRPr="00AD7ED2" w14:paraId="0011D81B" w14:textId="77777777" w:rsidTr="003649E9">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76" w:type="dxa"/>
            <w:gridSpan w:val="7"/>
            <w:tcBorders>
              <w:top w:val="single" w:sz="4" w:space="0" w:color="auto"/>
              <w:left w:val="single" w:sz="4" w:space="0" w:color="auto"/>
              <w:right w:val="single" w:sz="4" w:space="0" w:color="auto"/>
            </w:tcBorders>
            <w:vAlign w:val="bottom"/>
          </w:tcPr>
          <w:p w14:paraId="784B6941" w14:textId="77777777" w:rsidR="003649E9" w:rsidRPr="00A51BC3" w:rsidRDefault="003649E9" w:rsidP="003649E9">
            <w:pPr>
              <w:spacing w:line="240" w:lineRule="auto"/>
              <w:jc w:val="center"/>
              <w:rPr>
                <w:rFonts w:ascii="Franklin Gothic Medium" w:eastAsia="Times New Roman" w:hAnsi="Franklin Gothic Medium" w:cs="Times New Roman"/>
                <w:b w:val="0"/>
                <w:szCs w:val="24"/>
              </w:rPr>
            </w:pPr>
            <w:r w:rsidRPr="00A51BC3">
              <w:rPr>
                <w:rFonts w:ascii="Franklin Gothic Medium" w:eastAsia="Times New Roman" w:hAnsi="Franklin Gothic Medium" w:cs="Times New Roman"/>
                <w:b w:val="0"/>
                <w:szCs w:val="24"/>
              </w:rPr>
              <w:t>Table 26:  Percent of Providers with Background Screening Met</w:t>
            </w:r>
          </w:p>
        </w:tc>
      </w:tr>
      <w:tr w:rsidR="003649E9" w:rsidRPr="00AD7ED2" w14:paraId="4DEDC99C" w14:textId="77777777" w:rsidTr="003649E9">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9576" w:type="dxa"/>
            <w:gridSpan w:val="7"/>
            <w:tcBorders>
              <w:left w:val="single" w:sz="4" w:space="0" w:color="auto"/>
              <w:right w:val="single" w:sz="4" w:space="0" w:color="auto"/>
            </w:tcBorders>
            <w:shd w:val="clear" w:color="auto" w:fill="8064A2" w:themeFill="accent4"/>
            <w:vAlign w:val="bottom"/>
          </w:tcPr>
          <w:p w14:paraId="479C3017" w14:textId="75AFD64C" w:rsidR="003649E9" w:rsidRPr="00A51BC3" w:rsidRDefault="003649E9" w:rsidP="007528B2">
            <w:pPr>
              <w:spacing w:line="240" w:lineRule="auto"/>
              <w:jc w:val="center"/>
              <w:rPr>
                <w:rFonts w:ascii="Franklin Gothic Medium" w:eastAsia="Times New Roman" w:hAnsi="Franklin Gothic Medium" w:cs="Times New Roman"/>
                <w:b w:val="0"/>
                <w:color w:val="FFFFFF" w:themeColor="background1"/>
                <w:szCs w:val="24"/>
              </w:rPr>
            </w:pPr>
            <w:r w:rsidRPr="00A51BC3">
              <w:rPr>
                <w:rFonts w:ascii="Franklin Gothic Medium" w:eastAsia="Times New Roman" w:hAnsi="Franklin Gothic Medium" w:cs="Times New Roman"/>
                <w:b w:val="0"/>
                <w:color w:val="FFFFFF" w:themeColor="background1"/>
                <w:szCs w:val="24"/>
              </w:rPr>
              <w:t xml:space="preserve">January – </w:t>
            </w:r>
            <w:r w:rsidR="007528B2">
              <w:rPr>
                <w:rFonts w:ascii="Franklin Gothic Medium" w:eastAsia="Times New Roman" w:hAnsi="Franklin Gothic Medium" w:cs="Times New Roman"/>
                <w:b w:val="0"/>
                <w:color w:val="FFFFFF" w:themeColor="background1"/>
                <w:szCs w:val="24"/>
              </w:rPr>
              <w:t>June</w:t>
            </w:r>
            <w:r w:rsidRPr="00A51BC3">
              <w:rPr>
                <w:rFonts w:ascii="Franklin Gothic Medium" w:eastAsia="Times New Roman" w:hAnsi="Franklin Gothic Medium" w:cs="Times New Roman"/>
                <w:b w:val="0"/>
                <w:color w:val="FFFFFF" w:themeColor="background1"/>
                <w:szCs w:val="24"/>
              </w:rPr>
              <w:t xml:space="preserve"> 2016</w:t>
            </w:r>
          </w:p>
        </w:tc>
      </w:tr>
      <w:tr w:rsidR="003649E9" w:rsidRPr="00AD7ED2" w14:paraId="0A7DCCB5" w14:textId="77777777" w:rsidTr="003649E9">
        <w:trPr>
          <w:cnfStyle w:val="000000010000" w:firstRow="0" w:lastRow="0" w:firstColumn="0" w:lastColumn="0" w:oddVBand="0" w:evenVBand="0" w:oddHBand="0" w:evenHBand="1"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1613" w:type="dxa"/>
            <w:tcBorders>
              <w:left w:val="single" w:sz="4" w:space="0" w:color="auto"/>
              <w:bottom w:val="single" w:sz="8" w:space="0" w:color="9F8AB9" w:themeColor="accent4" w:themeTint="BF"/>
              <w:right w:val="single" w:sz="4" w:space="0" w:color="auto"/>
            </w:tcBorders>
            <w:shd w:val="clear" w:color="auto" w:fill="8064A2" w:themeFill="accent4"/>
            <w:vAlign w:val="bottom"/>
            <w:hideMark/>
          </w:tcPr>
          <w:p w14:paraId="365C3253" w14:textId="77777777" w:rsidR="003649E9" w:rsidRPr="00A51BC3" w:rsidRDefault="003649E9" w:rsidP="003649E9">
            <w:pPr>
              <w:spacing w:line="240" w:lineRule="auto"/>
              <w:jc w:val="center"/>
              <w:rPr>
                <w:rFonts w:ascii="Franklin Gothic Medium" w:eastAsia="Times New Roman" w:hAnsi="Franklin Gothic Medium" w:cs="Times New Roman"/>
                <w:b w:val="0"/>
                <w:color w:val="FFFFFF" w:themeColor="background1"/>
                <w:szCs w:val="24"/>
              </w:rPr>
            </w:pPr>
          </w:p>
        </w:tc>
        <w:tc>
          <w:tcPr>
            <w:tcW w:w="2823" w:type="dxa"/>
            <w:gridSpan w:val="2"/>
            <w:tcBorders>
              <w:left w:val="single" w:sz="4" w:space="0" w:color="auto"/>
              <w:bottom w:val="single" w:sz="8" w:space="0" w:color="9F8AB9" w:themeColor="accent4" w:themeTint="BF"/>
              <w:right w:val="single" w:sz="4" w:space="0" w:color="auto"/>
            </w:tcBorders>
            <w:shd w:val="clear" w:color="auto" w:fill="8064A2" w:themeFill="accent4"/>
            <w:noWrap/>
            <w:vAlign w:val="bottom"/>
            <w:hideMark/>
          </w:tcPr>
          <w:p w14:paraId="0A036D07" w14:textId="77777777" w:rsidR="003649E9" w:rsidRPr="00A51BC3" w:rsidRDefault="003649E9" w:rsidP="003649E9">
            <w:pPr>
              <w:spacing w:line="240" w:lineRule="auto"/>
              <w:jc w:val="center"/>
              <w:cnfStyle w:val="000000010000" w:firstRow="0" w:lastRow="0" w:firstColumn="0" w:lastColumn="0" w:oddVBand="0" w:evenVBand="0" w:oddHBand="0" w:evenHBand="1" w:firstRowFirstColumn="0" w:firstRowLastColumn="0" w:lastRowFirstColumn="0" w:lastRowLastColumn="0"/>
              <w:rPr>
                <w:rFonts w:ascii="Franklin Gothic Medium" w:eastAsia="Times New Roman" w:hAnsi="Franklin Gothic Medium" w:cs="Times New Roman"/>
                <w:color w:val="FFFFFF" w:themeColor="background1"/>
                <w:szCs w:val="24"/>
              </w:rPr>
            </w:pPr>
            <w:r w:rsidRPr="00A51BC3">
              <w:rPr>
                <w:rFonts w:ascii="Franklin Gothic Medium" w:eastAsia="Times New Roman" w:hAnsi="Franklin Gothic Medium" w:cs="Times New Roman"/>
                <w:color w:val="FFFFFF" w:themeColor="background1"/>
                <w:szCs w:val="24"/>
              </w:rPr>
              <w:t>Service Providers</w:t>
            </w:r>
          </w:p>
        </w:tc>
        <w:tc>
          <w:tcPr>
            <w:tcW w:w="2570" w:type="dxa"/>
            <w:gridSpan w:val="2"/>
            <w:tcBorders>
              <w:left w:val="single" w:sz="4" w:space="0" w:color="auto"/>
              <w:bottom w:val="nil"/>
              <w:right w:val="single" w:sz="4" w:space="0" w:color="auto"/>
            </w:tcBorders>
            <w:shd w:val="clear" w:color="auto" w:fill="8064A2" w:themeFill="accent4"/>
            <w:vAlign w:val="bottom"/>
          </w:tcPr>
          <w:p w14:paraId="407A54F9" w14:textId="77777777" w:rsidR="003649E9" w:rsidRPr="00A51BC3" w:rsidRDefault="003649E9" w:rsidP="003649E9">
            <w:pPr>
              <w:spacing w:line="240" w:lineRule="auto"/>
              <w:jc w:val="center"/>
              <w:cnfStyle w:val="000000010000" w:firstRow="0" w:lastRow="0" w:firstColumn="0" w:lastColumn="0" w:oddVBand="0" w:evenVBand="0" w:oddHBand="0" w:evenHBand="1" w:firstRowFirstColumn="0" w:firstRowLastColumn="0" w:lastRowFirstColumn="0" w:lastRowLastColumn="0"/>
              <w:rPr>
                <w:rFonts w:ascii="Franklin Gothic Medium" w:eastAsia="Times New Roman" w:hAnsi="Franklin Gothic Medium" w:cs="Times New Roman"/>
                <w:color w:val="FFFFFF" w:themeColor="background1"/>
                <w:szCs w:val="24"/>
              </w:rPr>
            </w:pPr>
            <w:r w:rsidRPr="00A51BC3">
              <w:rPr>
                <w:rFonts w:ascii="Franklin Gothic Medium" w:eastAsia="Times New Roman" w:hAnsi="Franklin Gothic Medium" w:cs="Times New Roman"/>
                <w:color w:val="FFFFFF" w:themeColor="background1"/>
                <w:szCs w:val="24"/>
              </w:rPr>
              <w:t>WSC</w:t>
            </w:r>
          </w:p>
        </w:tc>
        <w:tc>
          <w:tcPr>
            <w:tcW w:w="2570" w:type="dxa"/>
            <w:gridSpan w:val="2"/>
            <w:tcBorders>
              <w:left w:val="single" w:sz="4" w:space="0" w:color="auto"/>
              <w:bottom w:val="single" w:sz="8" w:space="0" w:color="9F8AB9" w:themeColor="accent4" w:themeTint="BF"/>
              <w:right w:val="single" w:sz="4" w:space="0" w:color="auto"/>
            </w:tcBorders>
            <w:shd w:val="clear" w:color="auto" w:fill="8064A2" w:themeFill="accent4"/>
            <w:noWrap/>
            <w:vAlign w:val="bottom"/>
            <w:hideMark/>
          </w:tcPr>
          <w:p w14:paraId="301AAD79" w14:textId="77777777" w:rsidR="003649E9" w:rsidRPr="00A51BC3" w:rsidRDefault="003649E9" w:rsidP="003649E9">
            <w:pPr>
              <w:spacing w:line="240" w:lineRule="auto"/>
              <w:jc w:val="center"/>
              <w:cnfStyle w:val="000000010000" w:firstRow="0" w:lastRow="0" w:firstColumn="0" w:lastColumn="0" w:oddVBand="0" w:evenVBand="0" w:oddHBand="0" w:evenHBand="1" w:firstRowFirstColumn="0" w:firstRowLastColumn="0" w:lastRowFirstColumn="0" w:lastRowLastColumn="0"/>
              <w:rPr>
                <w:rFonts w:ascii="Franklin Gothic Medium" w:eastAsia="Times New Roman" w:hAnsi="Franklin Gothic Medium" w:cs="Times New Roman"/>
                <w:color w:val="FFFFFF" w:themeColor="background1"/>
                <w:szCs w:val="24"/>
              </w:rPr>
            </w:pPr>
            <w:r w:rsidRPr="00A51BC3">
              <w:rPr>
                <w:rFonts w:ascii="Franklin Gothic Medium" w:eastAsia="Times New Roman" w:hAnsi="Franklin Gothic Medium" w:cs="Times New Roman"/>
                <w:color w:val="FFFFFF" w:themeColor="background1"/>
                <w:szCs w:val="24"/>
              </w:rPr>
              <w:t>CDC+ Representatives</w:t>
            </w:r>
          </w:p>
        </w:tc>
      </w:tr>
      <w:tr w:rsidR="003649E9" w:rsidRPr="00AD7ED2" w14:paraId="1A74C68F" w14:textId="77777777" w:rsidTr="00F019BE">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13" w:type="dxa"/>
            <w:tcBorders>
              <w:left w:val="single" w:sz="4" w:space="0" w:color="auto"/>
              <w:bottom w:val="single" w:sz="4" w:space="0" w:color="auto"/>
              <w:right w:val="single" w:sz="4" w:space="0" w:color="auto"/>
            </w:tcBorders>
            <w:vAlign w:val="bottom"/>
            <w:hideMark/>
          </w:tcPr>
          <w:p w14:paraId="1722F5C0" w14:textId="77777777" w:rsidR="003649E9" w:rsidRPr="00A51BC3" w:rsidRDefault="003649E9" w:rsidP="003649E9">
            <w:pPr>
              <w:spacing w:line="240" w:lineRule="auto"/>
              <w:rPr>
                <w:rFonts w:ascii="Franklin Gothic Medium" w:eastAsia="Times New Roman" w:hAnsi="Franklin Gothic Medium" w:cs="Times New Roman"/>
                <w:b w:val="0"/>
                <w:color w:val="000000"/>
                <w:szCs w:val="24"/>
              </w:rPr>
            </w:pPr>
            <w:r w:rsidRPr="00A51BC3">
              <w:rPr>
                <w:rFonts w:ascii="Franklin Gothic Medium" w:eastAsia="Times New Roman" w:hAnsi="Franklin Gothic Medium" w:cs="Times New Roman"/>
                <w:b w:val="0"/>
                <w:color w:val="000000"/>
                <w:szCs w:val="24"/>
              </w:rPr>
              <w:lastRenderedPageBreak/>
              <w:t>Region</w:t>
            </w:r>
          </w:p>
        </w:tc>
        <w:tc>
          <w:tcPr>
            <w:tcW w:w="1375" w:type="dxa"/>
            <w:tcBorders>
              <w:left w:val="single" w:sz="4" w:space="0" w:color="auto"/>
              <w:bottom w:val="single" w:sz="4" w:space="0" w:color="auto"/>
            </w:tcBorders>
            <w:noWrap/>
            <w:vAlign w:val="bottom"/>
            <w:hideMark/>
          </w:tcPr>
          <w:p w14:paraId="333A90DB" w14:textId="77777777" w:rsidR="003649E9" w:rsidRPr="00A51BC3" w:rsidRDefault="003649E9" w:rsidP="00E3001C">
            <w:pPr>
              <w:spacing w:line="240" w:lineRule="auto"/>
              <w:jc w:val="center"/>
              <w:cnfStyle w:val="000000100000" w:firstRow="0" w:lastRow="0" w:firstColumn="0" w:lastColumn="0" w:oddVBand="0" w:evenVBand="0" w:oddHBand="1" w:evenHBand="0" w:firstRowFirstColumn="0" w:firstRowLastColumn="0" w:lastRowFirstColumn="0" w:lastRowLastColumn="0"/>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 Reviews</w:t>
            </w:r>
          </w:p>
        </w:tc>
        <w:tc>
          <w:tcPr>
            <w:tcW w:w="1448" w:type="dxa"/>
            <w:tcBorders>
              <w:bottom w:val="single" w:sz="4" w:space="0" w:color="auto"/>
              <w:right w:val="single" w:sz="4" w:space="0" w:color="auto"/>
            </w:tcBorders>
            <w:noWrap/>
            <w:vAlign w:val="bottom"/>
            <w:hideMark/>
          </w:tcPr>
          <w:p w14:paraId="68D3EDAF" w14:textId="77777777" w:rsidR="003649E9" w:rsidRPr="00A51BC3" w:rsidRDefault="003649E9" w:rsidP="00E3001C">
            <w:pPr>
              <w:spacing w:line="240" w:lineRule="auto"/>
              <w:jc w:val="center"/>
              <w:cnfStyle w:val="000000100000" w:firstRow="0" w:lastRow="0" w:firstColumn="0" w:lastColumn="0" w:oddVBand="0" w:evenVBand="0" w:oddHBand="1" w:evenHBand="0" w:firstRowFirstColumn="0" w:firstRowLastColumn="0" w:lastRowFirstColumn="0" w:lastRowLastColumn="0"/>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 Met</w:t>
            </w:r>
          </w:p>
        </w:tc>
        <w:tc>
          <w:tcPr>
            <w:tcW w:w="1285" w:type="dxa"/>
            <w:tcBorders>
              <w:top w:val="nil"/>
              <w:left w:val="single" w:sz="4" w:space="0" w:color="auto"/>
              <w:bottom w:val="single" w:sz="4" w:space="0" w:color="auto"/>
            </w:tcBorders>
            <w:vAlign w:val="bottom"/>
          </w:tcPr>
          <w:p w14:paraId="25524165" w14:textId="77777777" w:rsidR="003649E9" w:rsidRPr="00A51BC3" w:rsidRDefault="003649E9"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 Reviews</w:t>
            </w:r>
          </w:p>
        </w:tc>
        <w:tc>
          <w:tcPr>
            <w:tcW w:w="1285" w:type="dxa"/>
            <w:tcBorders>
              <w:top w:val="nil"/>
              <w:bottom w:val="single" w:sz="4" w:space="0" w:color="auto"/>
              <w:right w:val="single" w:sz="4" w:space="0" w:color="auto"/>
            </w:tcBorders>
            <w:vAlign w:val="bottom"/>
          </w:tcPr>
          <w:p w14:paraId="5FA38BF8" w14:textId="77777777" w:rsidR="003649E9" w:rsidRPr="00A51BC3" w:rsidRDefault="003649E9"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 Met</w:t>
            </w:r>
          </w:p>
        </w:tc>
        <w:tc>
          <w:tcPr>
            <w:tcW w:w="1516" w:type="dxa"/>
            <w:tcBorders>
              <w:left w:val="single" w:sz="4" w:space="0" w:color="auto"/>
              <w:bottom w:val="single" w:sz="4" w:space="0" w:color="auto"/>
            </w:tcBorders>
            <w:noWrap/>
            <w:vAlign w:val="bottom"/>
            <w:hideMark/>
          </w:tcPr>
          <w:p w14:paraId="203D7F7D" w14:textId="77777777" w:rsidR="003649E9" w:rsidRPr="00A51BC3" w:rsidRDefault="003649E9"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 Reviews</w:t>
            </w:r>
          </w:p>
        </w:tc>
        <w:tc>
          <w:tcPr>
            <w:tcW w:w="1054" w:type="dxa"/>
            <w:tcBorders>
              <w:bottom w:val="single" w:sz="4" w:space="0" w:color="auto"/>
              <w:right w:val="single" w:sz="4" w:space="0" w:color="auto"/>
            </w:tcBorders>
            <w:noWrap/>
            <w:vAlign w:val="bottom"/>
            <w:hideMark/>
          </w:tcPr>
          <w:p w14:paraId="7250A271" w14:textId="77777777" w:rsidR="003649E9" w:rsidRPr="00A51BC3" w:rsidRDefault="003649E9" w:rsidP="003649E9">
            <w:pPr>
              <w:spacing w:line="240" w:lineRule="auto"/>
              <w:jc w:val="center"/>
              <w:cnfStyle w:val="000000100000" w:firstRow="0" w:lastRow="0" w:firstColumn="0" w:lastColumn="0" w:oddVBand="0" w:evenVBand="0" w:oddHBand="1" w:evenHBand="0" w:firstRowFirstColumn="0" w:firstRowLastColumn="0" w:lastRowFirstColumn="0" w:lastRowLastColumn="0"/>
              <w:rPr>
                <w:rFonts w:ascii="Franklin Gothic Medium" w:eastAsia="Times New Roman" w:hAnsi="Franklin Gothic Medium" w:cs="Times New Roman"/>
                <w:color w:val="000000"/>
                <w:szCs w:val="24"/>
              </w:rPr>
            </w:pPr>
            <w:r w:rsidRPr="00A51BC3">
              <w:rPr>
                <w:rFonts w:ascii="Franklin Gothic Medium" w:eastAsia="Times New Roman" w:hAnsi="Franklin Gothic Medium" w:cs="Times New Roman"/>
                <w:color w:val="000000"/>
                <w:szCs w:val="24"/>
              </w:rPr>
              <w:t>% Met</w:t>
            </w:r>
          </w:p>
        </w:tc>
      </w:tr>
      <w:tr w:rsidR="00E37FE2" w:rsidRPr="00AD7ED2" w14:paraId="4FE48A94" w14:textId="77777777" w:rsidTr="00E37FE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3" w:type="dxa"/>
            <w:tcBorders>
              <w:top w:val="single" w:sz="4" w:space="0" w:color="auto"/>
              <w:left w:val="single" w:sz="4" w:space="0" w:color="auto"/>
              <w:right w:val="single" w:sz="4" w:space="0" w:color="auto"/>
            </w:tcBorders>
            <w:vAlign w:val="bottom"/>
            <w:hideMark/>
          </w:tcPr>
          <w:p w14:paraId="0CF21905" w14:textId="77777777" w:rsidR="00E37FE2" w:rsidRPr="00C82F55" w:rsidRDefault="00E37FE2" w:rsidP="003649E9">
            <w:pPr>
              <w:spacing w:line="240" w:lineRule="auto"/>
              <w:rPr>
                <w:rFonts w:asciiTheme="minorHAnsi" w:eastAsia="Times New Roman" w:hAnsiTheme="minorHAnsi" w:cs="Times New Roman"/>
                <w:color w:val="000000"/>
                <w:sz w:val="22"/>
              </w:rPr>
            </w:pPr>
            <w:r w:rsidRPr="00C82F55">
              <w:rPr>
                <w:rFonts w:asciiTheme="minorHAnsi" w:eastAsia="Times New Roman" w:hAnsiTheme="minorHAnsi" w:cs="Times New Roman"/>
                <w:color w:val="000000"/>
                <w:sz w:val="22"/>
              </w:rPr>
              <w:t>Northwest</w:t>
            </w:r>
          </w:p>
        </w:tc>
        <w:tc>
          <w:tcPr>
            <w:tcW w:w="1375" w:type="dxa"/>
            <w:tcBorders>
              <w:top w:val="single" w:sz="4" w:space="0" w:color="auto"/>
              <w:left w:val="single" w:sz="4" w:space="0" w:color="auto"/>
            </w:tcBorders>
          </w:tcPr>
          <w:p w14:paraId="3EB689B7" w14:textId="6AC619FC" w:rsidR="00E37FE2" w:rsidRPr="00C82F55" w:rsidRDefault="00E37FE2" w:rsidP="00E3001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23</w:t>
            </w:r>
          </w:p>
        </w:tc>
        <w:tc>
          <w:tcPr>
            <w:tcW w:w="1448" w:type="dxa"/>
            <w:tcBorders>
              <w:top w:val="single" w:sz="4" w:space="0" w:color="auto"/>
              <w:right w:val="single" w:sz="4" w:space="0" w:color="auto"/>
            </w:tcBorders>
            <w:noWrap/>
            <w:vAlign w:val="bottom"/>
          </w:tcPr>
          <w:p w14:paraId="7BCE1475" w14:textId="65F7E0B9" w:rsidR="00E37FE2" w:rsidRPr="00C82F55" w:rsidRDefault="00E37FE2" w:rsidP="00E3001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94.4%</w:t>
            </w:r>
          </w:p>
        </w:tc>
        <w:tc>
          <w:tcPr>
            <w:tcW w:w="1285" w:type="dxa"/>
            <w:tcBorders>
              <w:top w:val="single" w:sz="4" w:space="0" w:color="auto"/>
              <w:left w:val="single" w:sz="4" w:space="0" w:color="auto"/>
              <w:bottom w:val="single" w:sz="4" w:space="0" w:color="B2A1C7" w:themeColor="accent4" w:themeTint="99"/>
            </w:tcBorders>
          </w:tcPr>
          <w:p w14:paraId="2BF3CAAF" w14:textId="47291315"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20</w:t>
            </w:r>
          </w:p>
        </w:tc>
        <w:tc>
          <w:tcPr>
            <w:tcW w:w="1285" w:type="dxa"/>
            <w:tcBorders>
              <w:top w:val="single" w:sz="4" w:space="0" w:color="auto"/>
              <w:bottom w:val="single" w:sz="4" w:space="0" w:color="B2A1C7" w:themeColor="accent4" w:themeTint="99"/>
              <w:right w:val="single" w:sz="4" w:space="0" w:color="auto"/>
            </w:tcBorders>
            <w:vAlign w:val="bottom"/>
          </w:tcPr>
          <w:p w14:paraId="42B370EB" w14:textId="6D9B0C18"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96.2%</w:t>
            </w:r>
          </w:p>
        </w:tc>
        <w:tc>
          <w:tcPr>
            <w:tcW w:w="1516" w:type="dxa"/>
            <w:tcBorders>
              <w:top w:val="single" w:sz="4" w:space="0" w:color="auto"/>
              <w:left w:val="single" w:sz="4" w:space="0" w:color="auto"/>
            </w:tcBorders>
            <w:noWrap/>
            <w:hideMark/>
          </w:tcPr>
          <w:p w14:paraId="78FFBCF0" w14:textId="3AAE36AB"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29</w:t>
            </w:r>
          </w:p>
        </w:tc>
        <w:tc>
          <w:tcPr>
            <w:tcW w:w="1054" w:type="dxa"/>
            <w:tcBorders>
              <w:top w:val="single" w:sz="4" w:space="0" w:color="auto"/>
              <w:right w:val="single" w:sz="4" w:space="0" w:color="auto"/>
            </w:tcBorders>
            <w:noWrap/>
            <w:hideMark/>
          </w:tcPr>
          <w:p w14:paraId="06002DAA" w14:textId="62FC0AC0"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72.4%</w:t>
            </w:r>
          </w:p>
        </w:tc>
      </w:tr>
      <w:tr w:rsidR="00E37FE2" w:rsidRPr="00AD7ED2" w14:paraId="71EDE06E" w14:textId="77777777" w:rsidTr="00E37F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3" w:type="dxa"/>
            <w:tcBorders>
              <w:left w:val="single" w:sz="4" w:space="0" w:color="auto"/>
              <w:right w:val="single" w:sz="4" w:space="0" w:color="auto"/>
            </w:tcBorders>
            <w:vAlign w:val="bottom"/>
            <w:hideMark/>
          </w:tcPr>
          <w:p w14:paraId="0DA535F9" w14:textId="77777777" w:rsidR="00E37FE2" w:rsidRPr="00C82F55" w:rsidRDefault="00E37FE2" w:rsidP="003649E9">
            <w:pPr>
              <w:spacing w:line="240" w:lineRule="auto"/>
              <w:rPr>
                <w:rFonts w:asciiTheme="minorHAnsi" w:eastAsia="Times New Roman" w:hAnsiTheme="minorHAnsi" w:cs="Times New Roman"/>
                <w:color w:val="000000"/>
                <w:sz w:val="22"/>
              </w:rPr>
            </w:pPr>
            <w:r w:rsidRPr="00C82F55">
              <w:rPr>
                <w:rFonts w:asciiTheme="minorHAnsi" w:eastAsia="Times New Roman" w:hAnsiTheme="minorHAnsi" w:cs="Times New Roman"/>
                <w:color w:val="000000"/>
                <w:sz w:val="22"/>
              </w:rPr>
              <w:t>Northeast</w:t>
            </w:r>
          </w:p>
        </w:tc>
        <w:tc>
          <w:tcPr>
            <w:tcW w:w="1375" w:type="dxa"/>
            <w:tcBorders>
              <w:left w:val="single" w:sz="4" w:space="0" w:color="auto"/>
            </w:tcBorders>
          </w:tcPr>
          <w:p w14:paraId="16143BA5" w14:textId="4CDFDA66" w:rsidR="00E37FE2" w:rsidRPr="00C82F55" w:rsidRDefault="00E37FE2" w:rsidP="00E300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146</w:t>
            </w:r>
          </w:p>
        </w:tc>
        <w:tc>
          <w:tcPr>
            <w:tcW w:w="1448" w:type="dxa"/>
            <w:tcBorders>
              <w:right w:val="single" w:sz="4" w:space="0" w:color="auto"/>
            </w:tcBorders>
            <w:noWrap/>
            <w:vAlign w:val="bottom"/>
          </w:tcPr>
          <w:p w14:paraId="2140E689" w14:textId="71751702" w:rsidR="00E37FE2" w:rsidRPr="00C82F55" w:rsidRDefault="00E37FE2" w:rsidP="00E300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96.1%</w:t>
            </w:r>
          </w:p>
        </w:tc>
        <w:tc>
          <w:tcPr>
            <w:tcW w:w="1285" w:type="dxa"/>
            <w:tcBorders>
              <w:top w:val="single" w:sz="4" w:space="0" w:color="B2A1C7" w:themeColor="accent4" w:themeTint="99"/>
              <w:left w:val="single" w:sz="4" w:space="0" w:color="auto"/>
              <w:bottom w:val="single" w:sz="4" w:space="0" w:color="B2A1C7" w:themeColor="accent4" w:themeTint="99"/>
            </w:tcBorders>
          </w:tcPr>
          <w:p w14:paraId="51D8D515" w14:textId="0DCDF7B4"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47</w:t>
            </w:r>
          </w:p>
        </w:tc>
        <w:tc>
          <w:tcPr>
            <w:tcW w:w="1285" w:type="dxa"/>
            <w:tcBorders>
              <w:top w:val="single" w:sz="4" w:space="0" w:color="B2A1C7" w:themeColor="accent4" w:themeTint="99"/>
              <w:bottom w:val="single" w:sz="4" w:space="0" w:color="B2A1C7" w:themeColor="accent4" w:themeTint="99"/>
              <w:right w:val="single" w:sz="4" w:space="0" w:color="auto"/>
            </w:tcBorders>
            <w:vAlign w:val="bottom"/>
          </w:tcPr>
          <w:p w14:paraId="06737321" w14:textId="702BF0B9"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93.2%</w:t>
            </w:r>
          </w:p>
        </w:tc>
        <w:tc>
          <w:tcPr>
            <w:tcW w:w="1516" w:type="dxa"/>
            <w:tcBorders>
              <w:left w:val="single" w:sz="4" w:space="0" w:color="auto"/>
            </w:tcBorders>
            <w:noWrap/>
            <w:hideMark/>
          </w:tcPr>
          <w:p w14:paraId="16146D11" w14:textId="298001C4"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45</w:t>
            </w:r>
          </w:p>
        </w:tc>
        <w:tc>
          <w:tcPr>
            <w:tcW w:w="1054" w:type="dxa"/>
            <w:tcBorders>
              <w:right w:val="single" w:sz="4" w:space="0" w:color="auto"/>
            </w:tcBorders>
            <w:noWrap/>
            <w:hideMark/>
          </w:tcPr>
          <w:p w14:paraId="28A8E1DF" w14:textId="69C89C84"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81.8%</w:t>
            </w:r>
          </w:p>
        </w:tc>
      </w:tr>
      <w:tr w:rsidR="00E37FE2" w:rsidRPr="00AD7ED2" w14:paraId="559737DB" w14:textId="77777777" w:rsidTr="00E37FE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3" w:type="dxa"/>
            <w:tcBorders>
              <w:left w:val="single" w:sz="4" w:space="0" w:color="auto"/>
              <w:right w:val="single" w:sz="4" w:space="0" w:color="auto"/>
            </w:tcBorders>
            <w:vAlign w:val="bottom"/>
            <w:hideMark/>
          </w:tcPr>
          <w:p w14:paraId="4DC7D38C" w14:textId="77777777" w:rsidR="00E37FE2" w:rsidRPr="00C82F55" w:rsidRDefault="00E37FE2" w:rsidP="003649E9">
            <w:pPr>
              <w:spacing w:line="240" w:lineRule="auto"/>
              <w:rPr>
                <w:rFonts w:asciiTheme="minorHAnsi" w:eastAsia="Times New Roman" w:hAnsiTheme="minorHAnsi" w:cs="Times New Roman"/>
                <w:color w:val="000000"/>
                <w:sz w:val="22"/>
              </w:rPr>
            </w:pPr>
            <w:r w:rsidRPr="00C82F55">
              <w:rPr>
                <w:rFonts w:asciiTheme="minorHAnsi" w:eastAsia="Times New Roman" w:hAnsiTheme="minorHAnsi" w:cs="Times New Roman"/>
                <w:color w:val="000000"/>
                <w:sz w:val="22"/>
              </w:rPr>
              <w:t>Central</w:t>
            </w:r>
          </w:p>
        </w:tc>
        <w:tc>
          <w:tcPr>
            <w:tcW w:w="1375" w:type="dxa"/>
            <w:tcBorders>
              <w:left w:val="single" w:sz="4" w:space="0" w:color="auto"/>
            </w:tcBorders>
          </w:tcPr>
          <w:p w14:paraId="060B77CE" w14:textId="42CA4CA7" w:rsidR="00E37FE2" w:rsidRPr="00C82F55" w:rsidRDefault="00E37FE2" w:rsidP="00E3001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117</w:t>
            </w:r>
          </w:p>
        </w:tc>
        <w:tc>
          <w:tcPr>
            <w:tcW w:w="1448" w:type="dxa"/>
            <w:tcBorders>
              <w:right w:val="single" w:sz="4" w:space="0" w:color="auto"/>
            </w:tcBorders>
            <w:noWrap/>
            <w:vAlign w:val="bottom"/>
          </w:tcPr>
          <w:p w14:paraId="00FFDA6E" w14:textId="3400A6F5" w:rsidR="00E37FE2" w:rsidRPr="00C82F55" w:rsidRDefault="00E37FE2" w:rsidP="00E3001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95.1%</w:t>
            </w:r>
          </w:p>
        </w:tc>
        <w:tc>
          <w:tcPr>
            <w:tcW w:w="1285" w:type="dxa"/>
            <w:tcBorders>
              <w:top w:val="single" w:sz="4" w:space="0" w:color="B2A1C7" w:themeColor="accent4" w:themeTint="99"/>
              <w:left w:val="single" w:sz="4" w:space="0" w:color="auto"/>
              <w:bottom w:val="single" w:sz="4" w:space="0" w:color="B2A1C7" w:themeColor="accent4" w:themeTint="99"/>
            </w:tcBorders>
          </w:tcPr>
          <w:p w14:paraId="726B5119" w14:textId="31A47D86"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57</w:t>
            </w:r>
          </w:p>
        </w:tc>
        <w:tc>
          <w:tcPr>
            <w:tcW w:w="1285" w:type="dxa"/>
            <w:tcBorders>
              <w:top w:val="single" w:sz="4" w:space="0" w:color="B2A1C7" w:themeColor="accent4" w:themeTint="99"/>
              <w:bottom w:val="single" w:sz="4" w:space="0" w:color="B2A1C7" w:themeColor="accent4" w:themeTint="99"/>
              <w:right w:val="single" w:sz="4" w:space="0" w:color="auto"/>
            </w:tcBorders>
            <w:vAlign w:val="bottom"/>
          </w:tcPr>
          <w:p w14:paraId="1A13338E" w14:textId="60BEDAB9"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94.1%</w:t>
            </w:r>
          </w:p>
        </w:tc>
        <w:tc>
          <w:tcPr>
            <w:tcW w:w="1516" w:type="dxa"/>
            <w:tcBorders>
              <w:left w:val="single" w:sz="4" w:space="0" w:color="auto"/>
            </w:tcBorders>
            <w:noWrap/>
            <w:hideMark/>
          </w:tcPr>
          <w:p w14:paraId="6DAD9D2F" w14:textId="0DFFF063"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67</w:t>
            </w:r>
          </w:p>
        </w:tc>
        <w:tc>
          <w:tcPr>
            <w:tcW w:w="1054" w:type="dxa"/>
            <w:tcBorders>
              <w:right w:val="single" w:sz="4" w:space="0" w:color="auto"/>
            </w:tcBorders>
            <w:noWrap/>
            <w:hideMark/>
          </w:tcPr>
          <w:p w14:paraId="387402AB" w14:textId="5CBF693A"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84.8%</w:t>
            </w:r>
          </w:p>
        </w:tc>
      </w:tr>
      <w:tr w:rsidR="00E37FE2" w:rsidRPr="00AD7ED2" w14:paraId="235EAFA0" w14:textId="77777777" w:rsidTr="00E37F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3" w:type="dxa"/>
            <w:tcBorders>
              <w:left w:val="single" w:sz="4" w:space="0" w:color="auto"/>
              <w:right w:val="single" w:sz="4" w:space="0" w:color="auto"/>
            </w:tcBorders>
            <w:vAlign w:val="bottom"/>
            <w:hideMark/>
          </w:tcPr>
          <w:p w14:paraId="2546AF51" w14:textId="77777777" w:rsidR="00E37FE2" w:rsidRPr="00C82F55" w:rsidRDefault="00E37FE2" w:rsidP="003649E9">
            <w:pPr>
              <w:spacing w:line="240" w:lineRule="auto"/>
              <w:rPr>
                <w:rFonts w:asciiTheme="minorHAnsi" w:eastAsia="Times New Roman" w:hAnsiTheme="minorHAnsi" w:cs="Times New Roman"/>
                <w:color w:val="000000"/>
                <w:sz w:val="22"/>
              </w:rPr>
            </w:pPr>
            <w:r w:rsidRPr="00C82F55">
              <w:rPr>
                <w:rFonts w:asciiTheme="minorHAnsi" w:eastAsia="Times New Roman" w:hAnsiTheme="minorHAnsi" w:cs="Times New Roman"/>
                <w:color w:val="000000"/>
                <w:sz w:val="22"/>
              </w:rPr>
              <w:t>Suncoast</w:t>
            </w:r>
          </w:p>
        </w:tc>
        <w:tc>
          <w:tcPr>
            <w:tcW w:w="1375" w:type="dxa"/>
            <w:tcBorders>
              <w:left w:val="single" w:sz="4" w:space="0" w:color="auto"/>
            </w:tcBorders>
            <w:hideMark/>
          </w:tcPr>
          <w:p w14:paraId="23C07957" w14:textId="14F7C5B4" w:rsidR="00E37FE2" w:rsidRPr="00C82F55" w:rsidRDefault="00E37FE2" w:rsidP="00E300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126</w:t>
            </w:r>
          </w:p>
        </w:tc>
        <w:tc>
          <w:tcPr>
            <w:tcW w:w="1448" w:type="dxa"/>
            <w:tcBorders>
              <w:right w:val="single" w:sz="4" w:space="0" w:color="auto"/>
            </w:tcBorders>
            <w:noWrap/>
            <w:vAlign w:val="bottom"/>
            <w:hideMark/>
          </w:tcPr>
          <w:p w14:paraId="29FBB9F3" w14:textId="7D51BC29" w:rsidR="00E37FE2" w:rsidRPr="00C82F55" w:rsidRDefault="00E37FE2" w:rsidP="00E300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94.3%</w:t>
            </w:r>
          </w:p>
        </w:tc>
        <w:tc>
          <w:tcPr>
            <w:tcW w:w="1285" w:type="dxa"/>
            <w:tcBorders>
              <w:top w:val="single" w:sz="4" w:space="0" w:color="B2A1C7" w:themeColor="accent4" w:themeTint="99"/>
              <w:left w:val="single" w:sz="4" w:space="0" w:color="auto"/>
              <w:bottom w:val="single" w:sz="4" w:space="0" w:color="B2A1C7" w:themeColor="accent4" w:themeTint="99"/>
            </w:tcBorders>
          </w:tcPr>
          <w:p w14:paraId="391973B9" w14:textId="02B88A96"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49</w:t>
            </w:r>
          </w:p>
        </w:tc>
        <w:tc>
          <w:tcPr>
            <w:tcW w:w="1285" w:type="dxa"/>
            <w:tcBorders>
              <w:top w:val="single" w:sz="4" w:space="0" w:color="B2A1C7" w:themeColor="accent4" w:themeTint="99"/>
              <w:bottom w:val="single" w:sz="4" w:space="0" w:color="B2A1C7" w:themeColor="accent4" w:themeTint="99"/>
              <w:right w:val="single" w:sz="4" w:space="0" w:color="auto"/>
            </w:tcBorders>
            <w:vAlign w:val="bottom"/>
          </w:tcPr>
          <w:p w14:paraId="20794EE2" w14:textId="027D229F"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94.3%</w:t>
            </w:r>
          </w:p>
        </w:tc>
        <w:tc>
          <w:tcPr>
            <w:tcW w:w="1516" w:type="dxa"/>
            <w:tcBorders>
              <w:left w:val="single" w:sz="4" w:space="0" w:color="auto"/>
            </w:tcBorders>
            <w:noWrap/>
            <w:hideMark/>
          </w:tcPr>
          <w:p w14:paraId="68D4034C" w14:textId="0B3385C3"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55</w:t>
            </w:r>
          </w:p>
        </w:tc>
        <w:tc>
          <w:tcPr>
            <w:tcW w:w="1054" w:type="dxa"/>
            <w:tcBorders>
              <w:right w:val="single" w:sz="4" w:space="0" w:color="auto"/>
            </w:tcBorders>
            <w:noWrap/>
            <w:hideMark/>
          </w:tcPr>
          <w:p w14:paraId="288F7A97" w14:textId="1E7B4D40"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75.9%</w:t>
            </w:r>
          </w:p>
        </w:tc>
      </w:tr>
      <w:tr w:rsidR="00E37FE2" w:rsidRPr="00AD7ED2" w14:paraId="6757AD17" w14:textId="77777777" w:rsidTr="00E37FE2">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3" w:type="dxa"/>
            <w:tcBorders>
              <w:left w:val="single" w:sz="4" w:space="0" w:color="auto"/>
              <w:bottom w:val="single" w:sz="8" w:space="0" w:color="9F8AB9" w:themeColor="accent4" w:themeTint="BF"/>
              <w:right w:val="single" w:sz="4" w:space="0" w:color="auto"/>
            </w:tcBorders>
            <w:vAlign w:val="bottom"/>
            <w:hideMark/>
          </w:tcPr>
          <w:p w14:paraId="02844C85" w14:textId="77777777" w:rsidR="00E37FE2" w:rsidRPr="00C82F55" w:rsidRDefault="00E37FE2" w:rsidP="003649E9">
            <w:pPr>
              <w:spacing w:line="240" w:lineRule="auto"/>
              <w:rPr>
                <w:rFonts w:asciiTheme="minorHAnsi" w:eastAsia="Times New Roman" w:hAnsiTheme="minorHAnsi" w:cs="Times New Roman"/>
                <w:color w:val="000000"/>
                <w:sz w:val="22"/>
              </w:rPr>
            </w:pPr>
            <w:r w:rsidRPr="00C82F55">
              <w:rPr>
                <w:rFonts w:asciiTheme="minorHAnsi" w:eastAsia="Times New Roman" w:hAnsiTheme="minorHAnsi" w:cs="Times New Roman"/>
                <w:color w:val="000000"/>
                <w:sz w:val="22"/>
              </w:rPr>
              <w:t>Southeast</w:t>
            </w:r>
          </w:p>
        </w:tc>
        <w:tc>
          <w:tcPr>
            <w:tcW w:w="1375" w:type="dxa"/>
            <w:tcBorders>
              <w:left w:val="single" w:sz="4" w:space="0" w:color="auto"/>
              <w:bottom w:val="single" w:sz="8" w:space="0" w:color="9F8AB9" w:themeColor="accent4" w:themeTint="BF"/>
            </w:tcBorders>
            <w:hideMark/>
          </w:tcPr>
          <w:p w14:paraId="2878310E" w14:textId="3DAF3611" w:rsidR="00E37FE2" w:rsidRPr="00C82F55" w:rsidRDefault="00E37FE2" w:rsidP="00E3001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143</w:t>
            </w:r>
          </w:p>
        </w:tc>
        <w:tc>
          <w:tcPr>
            <w:tcW w:w="1448" w:type="dxa"/>
            <w:tcBorders>
              <w:bottom w:val="single" w:sz="8" w:space="0" w:color="9F8AB9" w:themeColor="accent4" w:themeTint="BF"/>
              <w:right w:val="single" w:sz="4" w:space="0" w:color="auto"/>
            </w:tcBorders>
            <w:noWrap/>
            <w:vAlign w:val="bottom"/>
            <w:hideMark/>
          </w:tcPr>
          <w:p w14:paraId="25FEBC68" w14:textId="47033A48" w:rsidR="00E37FE2" w:rsidRPr="00C82F55" w:rsidRDefault="00E37FE2" w:rsidP="00E3001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94.8%</w:t>
            </w:r>
          </w:p>
        </w:tc>
        <w:tc>
          <w:tcPr>
            <w:tcW w:w="1285" w:type="dxa"/>
            <w:tcBorders>
              <w:top w:val="single" w:sz="4" w:space="0" w:color="B2A1C7" w:themeColor="accent4" w:themeTint="99"/>
              <w:left w:val="single" w:sz="4" w:space="0" w:color="auto"/>
              <w:bottom w:val="single" w:sz="4" w:space="0" w:color="B2A1C7" w:themeColor="accent4" w:themeTint="99"/>
            </w:tcBorders>
          </w:tcPr>
          <w:p w14:paraId="388EB5DA" w14:textId="03AA8E96"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54</w:t>
            </w:r>
          </w:p>
        </w:tc>
        <w:tc>
          <w:tcPr>
            <w:tcW w:w="1285" w:type="dxa"/>
            <w:tcBorders>
              <w:top w:val="single" w:sz="4" w:space="0" w:color="B2A1C7" w:themeColor="accent4" w:themeTint="99"/>
              <w:bottom w:val="single" w:sz="4" w:space="0" w:color="B2A1C7" w:themeColor="accent4" w:themeTint="99"/>
              <w:right w:val="single" w:sz="4" w:space="0" w:color="auto"/>
            </w:tcBorders>
            <w:vAlign w:val="bottom"/>
          </w:tcPr>
          <w:p w14:paraId="55E33E64" w14:textId="15E1884E"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98.5%</w:t>
            </w:r>
          </w:p>
        </w:tc>
        <w:tc>
          <w:tcPr>
            <w:tcW w:w="1516" w:type="dxa"/>
            <w:tcBorders>
              <w:left w:val="single" w:sz="4" w:space="0" w:color="auto"/>
              <w:bottom w:val="single" w:sz="8" w:space="0" w:color="9F8AB9" w:themeColor="accent4" w:themeTint="BF"/>
            </w:tcBorders>
            <w:noWrap/>
            <w:hideMark/>
          </w:tcPr>
          <w:p w14:paraId="09DD6623" w14:textId="43C649AA"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39</w:t>
            </w:r>
          </w:p>
        </w:tc>
        <w:tc>
          <w:tcPr>
            <w:tcW w:w="1054" w:type="dxa"/>
            <w:tcBorders>
              <w:bottom w:val="single" w:sz="8" w:space="0" w:color="9F8AB9" w:themeColor="accent4" w:themeTint="BF"/>
              <w:right w:val="single" w:sz="4" w:space="0" w:color="auto"/>
            </w:tcBorders>
            <w:noWrap/>
            <w:hideMark/>
          </w:tcPr>
          <w:p w14:paraId="0DA3FE19" w14:textId="2C72B666" w:rsidR="00E37FE2" w:rsidRPr="00C82F55" w:rsidRDefault="00E37FE2" w:rsidP="003649E9">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89.5%</w:t>
            </w:r>
          </w:p>
        </w:tc>
      </w:tr>
      <w:tr w:rsidR="00E37FE2" w:rsidRPr="00AD7ED2" w14:paraId="5B20274A" w14:textId="77777777" w:rsidTr="00E37FE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613" w:type="dxa"/>
            <w:tcBorders>
              <w:left w:val="single" w:sz="4" w:space="0" w:color="auto"/>
              <w:bottom w:val="single" w:sz="4" w:space="0" w:color="auto"/>
              <w:right w:val="single" w:sz="4" w:space="0" w:color="auto"/>
            </w:tcBorders>
            <w:vAlign w:val="bottom"/>
            <w:hideMark/>
          </w:tcPr>
          <w:p w14:paraId="29984B69" w14:textId="77777777" w:rsidR="00E37FE2" w:rsidRPr="00C82F55" w:rsidRDefault="00E37FE2" w:rsidP="003649E9">
            <w:pPr>
              <w:spacing w:line="240" w:lineRule="auto"/>
              <w:rPr>
                <w:rFonts w:asciiTheme="minorHAnsi" w:eastAsia="Times New Roman" w:hAnsiTheme="minorHAnsi" w:cs="Times New Roman"/>
                <w:color w:val="000000"/>
                <w:sz w:val="22"/>
              </w:rPr>
            </w:pPr>
            <w:r w:rsidRPr="00C82F55">
              <w:rPr>
                <w:rFonts w:asciiTheme="minorHAnsi" w:eastAsia="Times New Roman" w:hAnsiTheme="minorHAnsi" w:cs="Times New Roman"/>
                <w:color w:val="000000"/>
                <w:sz w:val="22"/>
              </w:rPr>
              <w:t>Southern</w:t>
            </w:r>
          </w:p>
        </w:tc>
        <w:tc>
          <w:tcPr>
            <w:tcW w:w="1375" w:type="dxa"/>
            <w:tcBorders>
              <w:left w:val="single" w:sz="4" w:space="0" w:color="auto"/>
              <w:bottom w:val="single" w:sz="4" w:space="0" w:color="auto"/>
            </w:tcBorders>
            <w:hideMark/>
          </w:tcPr>
          <w:p w14:paraId="5291BEE1" w14:textId="4A9DE001" w:rsidR="00E37FE2" w:rsidRPr="00C82F55" w:rsidRDefault="00E37FE2" w:rsidP="00E300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113</w:t>
            </w:r>
          </w:p>
        </w:tc>
        <w:tc>
          <w:tcPr>
            <w:tcW w:w="1448" w:type="dxa"/>
            <w:tcBorders>
              <w:bottom w:val="single" w:sz="4" w:space="0" w:color="auto"/>
              <w:right w:val="single" w:sz="4" w:space="0" w:color="auto"/>
            </w:tcBorders>
            <w:noWrap/>
            <w:vAlign w:val="bottom"/>
            <w:hideMark/>
          </w:tcPr>
          <w:p w14:paraId="3C549F5F" w14:textId="5D33765E" w:rsidR="00E37FE2" w:rsidRPr="00C82F55" w:rsidRDefault="00E37FE2" w:rsidP="00E3001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93.4%</w:t>
            </w:r>
          </w:p>
        </w:tc>
        <w:tc>
          <w:tcPr>
            <w:tcW w:w="1285" w:type="dxa"/>
            <w:tcBorders>
              <w:top w:val="single" w:sz="4" w:space="0" w:color="B2A1C7" w:themeColor="accent4" w:themeTint="99"/>
              <w:left w:val="single" w:sz="4" w:space="0" w:color="auto"/>
              <w:bottom w:val="single" w:sz="4" w:space="0" w:color="auto"/>
            </w:tcBorders>
          </w:tcPr>
          <w:p w14:paraId="1572CCFE" w14:textId="6D7811FD"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38</w:t>
            </w:r>
          </w:p>
        </w:tc>
        <w:tc>
          <w:tcPr>
            <w:tcW w:w="1285" w:type="dxa"/>
            <w:tcBorders>
              <w:top w:val="single" w:sz="4" w:space="0" w:color="B2A1C7" w:themeColor="accent4" w:themeTint="99"/>
              <w:bottom w:val="single" w:sz="4" w:space="0" w:color="auto"/>
              <w:right w:val="single" w:sz="4" w:space="0" w:color="auto"/>
            </w:tcBorders>
            <w:vAlign w:val="bottom"/>
          </w:tcPr>
          <w:p w14:paraId="702ED8B4" w14:textId="3B9FC06E"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98.2%</w:t>
            </w:r>
          </w:p>
        </w:tc>
        <w:tc>
          <w:tcPr>
            <w:tcW w:w="1516" w:type="dxa"/>
            <w:tcBorders>
              <w:left w:val="single" w:sz="4" w:space="0" w:color="auto"/>
              <w:bottom w:val="single" w:sz="4" w:space="0" w:color="auto"/>
            </w:tcBorders>
            <w:noWrap/>
            <w:hideMark/>
          </w:tcPr>
          <w:p w14:paraId="503C6694" w14:textId="3A0D3638"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000000"/>
                <w:sz w:val="22"/>
              </w:rPr>
            </w:pPr>
            <w:r w:rsidRPr="00C82F55">
              <w:rPr>
                <w:rFonts w:asciiTheme="minorHAnsi" w:hAnsiTheme="minorHAnsi"/>
                <w:color w:val="000000"/>
                <w:sz w:val="22"/>
              </w:rPr>
              <w:t>36</w:t>
            </w:r>
          </w:p>
        </w:tc>
        <w:tc>
          <w:tcPr>
            <w:tcW w:w="1054" w:type="dxa"/>
            <w:tcBorders>
              <w:bottom w:val="single" w:sz="4" w:space="0" w:color="auto"/>
              <w:right w:val="single" w:sz="4" w:space="0" w:color="auto"/>
            </w:tcBorders>
            <w:noWrap/>
            <w:hideMark/>
          </w:tcPr>
          <w:p w14:paraId="383818E7" w14:textId="7D141A36" w:rsidR="00E37FE2" w:rsidRPr="00C82F55" w:rsidRDefault="00E37FE2" w:rsidP="003649E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color w:val="000000"/>
                <w:sz w:val="22"/>
              </w:rPr>
            </w:pPr>
            <w:r w:rsidRPr="00C82F55">
              <w:rPr>
                <w:rFonts w:asciiTheme="minorHAnsi" w:hAnsiTheme="minorHAnsi" w:cs="Arial"/>
                <w:color w:val="000000"/>
                <w:sz w:val="22"/>
              </w:rPr>
              <w:t>83.3%</w:t>
            </w:r>
          </w:p>
        </w:tc>
      </w:tr>
      <w:tr w:rsidR="00E37FE2" w:rsidRPr="00AD7ED2" w14:paraId="3D050E47" w14:textId="77777777" w:rsidTr="00E37FE2">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613" w:type="dxa"/>
            <w:tcBorders>
              <w:top w:val="single" w:sz="4" w:space="0" w:color="auto"/>
              <w:left w:val="single" w:sz="4" w:space="0" w:color="auto"/>
              <w:bottom w:val="single" w:sz="4" w:space="0" w:color="auto"/>
              <w:right w:val="single" w:sz="4" w:space="0" w:color="auto"/>
            </w:tcBorders>
            <w:vAlign w:val="center"/>
            <w:hideMark/>
          </w:tcPr>
          <w:p w14:paraId="7B9025C2" w14:textId="77777777" w:rsidR="00E37FE2" w:rsidRPr="00E3001C" w:rsidRDefault="00E37FE2" w:rsidP="00F019BE">
            <w:pPr>
              <w:spacing w:line="240" w:lineRule="auto"/>
              <w:rPr>
                <w:rFonts w:asciiTheme="minorHAnsi" w:eastAsia="Times New Roman" w:hAnsiTheme="minorHAnsi" w:cs="Times New Roman"/>
                <w:color w:val="000000"/>
                <w:sz w:val="22"/>
              </w:rPr>
            </w:pPr>
            <w:r w:rsidRPr="00E3001C">
              <w:rPr>
                <w:rFonts w:asciiTheme="minorHAnsi" w:eastAsia="Times New Roman" w:hAnsiTheme="minorHAnsi" w:cs="Times New Roman"/>
                <w:color w:val="000000"/>
                <w:sz w:val="22"/>
              </w:rPr>
              <w:t>State</w:t>
            </w:r>
          </w:p>
        </w:tc>
        <w:tc>
          <w:tcPr>
            <w:tcW w:w="1375" w:type="dxa"/>
            <w:tcBorders>
              <w:top w:val="single" w:sz="4" w:space="0" w:color="auto"/>
              <w:left w:val="single" w:sz="4" w:space="0" w:color="auto"/>
              <w:bottom w:val="single" w:sz="4" w:space="0" w:color="auto"/>
            </w:tcBorders>
            <w:noWrap/>
            <w:hideMark/>
          </w:tcPr>
          <w:p w14:paraId="6405888C" w14:textId="226D0DB1" w:rsidR="00E37FE2" w:rsidRPr="007528B2" w:rsidRDefault="00E37FE2" w:rsidP="00E3001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sz w:val="20"/>
                <w:szCs w:val="20"/>
              </w:rPr>
            </w:pPr>
            <w:r w:rsidRPr="007528B2">
              <w:rPr>
                <w:rFonts w:asciiTheme="minorHAnsi" w:hAnsiTheme="minorHAnsi"/>
                <w:b/>
                <w:color w:val="000000"/>
                <w:sz w:val="20"/>
                <w:szCs w:val="20"/>
              </w:rPr>
              <w:t>668</w:t>
            </w:r>
          </w:p>
        </w:tc>
        <w:tc>
          <w:tcPr>
            <w:tcW w:w="1448" w:type="dxa"/>
            <w:tcBorders>
              <w:top w:val="single" w:sz="4" w:space="0" w:color="auto"/>
              <w:bottom w:val="single" w:sz="4" w:space="0" w:color="auto"/>
              <w:right w:val="single" w:sz="4" w:space="0" w:color="auto"/>
            </w:tcBorders>
            <w:noWrap/>
            <w:vAlign w:val="bottom"/>
            <w:hideMark/>
          </w:tcPr>
          <w:p w14:paraId="4354537A" w14:textId="2DCC5D1A" w:rsidR="00E37FE2" w:rsidRPr="00E37FE2" w:rsidRDefault="00E37FE2" w:rsidP="00E37FE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000000"/>
                <w:sz w:val="20"/>
                <w:szCs w:val="20"/>
              </w:rPr>
            </w:pPr>
            <w:r w:rsidRPr="00E37FE2">
              <w:rPr>
                <w:rFonts w:asciiTheme="minorHAnsi" w:hAnsiTheme="minorHAnsi" w:cs="Arial"/>
                <w:b/>
                <w:color w:val="000000"/>
                <w:sz w:val="20"/>
                <w:szCs w:val="20"/>
              </w:rPr>
              <w:t>94.8%</w:t>
            </w:r>
          </w:p>
        </w:tc>
        <w:tc>
          <w:tcPr>
            <w:tcW w:w="1285" w:type="dxa"/>
            <w:tcBorders>
              <w:top w:val="single" w:sz="4" w:space="0" w:color="auto"/>
              <w:left w:val="single" w:sz="4" w:space="0" w:color="auto"/>
              <w:bottom w:val="single" w:sz="4" w:space="0" w:color="auto"/>
            </w:tcBorders>
          </w:tcPr>
          <w:p w14:paraId="15134963" w14:textId="4E58B0BC" w:rsidR="00E37FE2" w:rsidRPr="007528B2" w:rsidRDefault="00E37FE2" w:rsidP="00E3001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sz w:val="20"/>
                <w:szCs w:val="20"/>
              </w:rPr>
            </w:pPr>
            <w:r w:rsidRPr="007528B2">
              <w:rPr>
                <w:rFonts w:asciiTheme="minorHAnsi" w:hAnsiTheme="minorHAnsi"/>
                <w:b/>
                <w:color w:val="000000"/>
                <w:sz w:val="20"/>
                <w:szCs w:val="20"/>
              </w:rPr>
              <w:t>265</w:t>
            </w:r>
          </w:p>
        </w:tc>
        <w:tc>
          <w:tcPr>
            <w:tcW w:w="1285" w:type="dxa"/>
            <w:tcBorders>
              <w:top w:val="single" w:sz="4" w:space="0" w:color="auto"/>
              <w:bottom w:val="single" w:sz="4" w:space="0" w:color="auto"/>
              <w:right w:val="single" w:sz="4" w:space="0" w:color="auto"/>
            </w:tcBorders>
            <w:vAlign w:val="bottom"/>
          </w:tcPr>
          <w:p w14:paraId="1FF31B2E" w14:textId="50011242" w:rsidR="00E37FE2" w:rsidRPr="00E37FE2" w:rsidRDefault="00E37FE2" w:rsidP="00E3001C">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000000"/>
                <w:sz w:val="20"/>
                <w:szCs w:val="20"/>
              </w:rPr>
            </w:pPr>
            <w:r w:rsidRPr="00E37FE2">
              <w:rPr>
                <w:rFonts w:asciiTheme="minorHAnsi" w:hAnsiTheme="minorHAnsi" w:cs="Arial"/>
                <w:b/>
                <w:color w:val="000000"/>
                <w:sz w:val="20"/>
                <w:szCs w:val="20"/>
              </w:rPr>
              <w:t>95.7%</w:t>
            </w:r>
          </w:p>
        </w:tc>
        <w:tc>
          <w:tcPr>
            <w:tcW w:w="1516" w:type="dxa"/>
            <w:tcBorders>
              <w:top w:val="single" w:sz="4" w:space="0" w:color="auto"/>
              <w:left w:val="single" w:sz="4" w:space="0" w:color="auto"/>
              <w:bottom w:val="single" w:sz="4" w:space="0" w:color="auto"/>
            </w:tcBorders>
            <w:noWrap/>
            <w:hideMark/>
          </w:tcPr>
          <w:p w14:paraId="4C6680BD" w14:textId="38FA8036" w:rsidR="00E37FE2" w:rsidRPr="007528B2" w:rsidRDefault="00E37FE2" w:rsidP="007528B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b/>
                <w:color w:val="000000"/>
                <w:sz w:val="20"/>
                <w:szCs w:val="20"/>
              </w:rPr>
            </w:pPr>
            <w:r w:rsidRPr="007528B2">
              <w:rPr>
                <w:rFonts w:asciiTheme="minorHAnsi" w:hAnsiTheme="minorHAnsi"/>
                <w:b/>
                <w:color w:val="000000"/>
                <w:sz w:val="20"/>
                <w:szCs w:val="20"/>
              </w:rPr>
              <w:t>271</w:t>
            </w:r>
          </w:p>
        </w:tc>
        <w:tc>
          <w:tcPr>
            <w:tcW w:w="1054" w:type="dxa"/>
            <w:tcBorders>
              <w:top w:val="single" w:sz="4" w:space="0" w:color="auto"/>
              <w:bottom w:val="single" w:sz="4" w:space="0" w:color="auto"/>
              <w:right w:val="single" w:sz="4" w:space="0" w:color="auto"/>
            </w:tcBorders>
            <w:noWrap/>
            <w:hideMark/>
          </w:tcPr>
          <w:p w14:paraId="1365A203" w14:textId="0506515E" w:rsidR="00E37FE2" w:rsidRPr="007528B2" w:rsidRDefault="00E37FE2" w:rsidP="007528B2">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b/>
                <w:color w:val="000000"/>
                <w:sz w:val="20"/>
                <w:szCs w:val="20"/>
              </w:rPr>
            </w:pPr>
            <w:r w:rsidRPr="007528B2">
              <w:rPr>
                <w:rFonts w:asciiTheme="minorHAnsi" w:hAnsiTheme="minorHAnsi" w:cs="Arial"/>
                <w:b/>
                <w:color w:val="000000"/>
                <w:sz w:val="20"/>
                <w:szCs w:val="20"/>
              </w:rPr>
              <w:t>81.6%</w:t>
            </w:r>
          </w:p>
        </w:tc>
      </w:tr>
    </w:tbl>
    <w:p w14:paraId="060194AF" w14:textId="77777777" w:rsidR="003649E9" w:rsidRDefault="003649E9" w:rsidP="003649E9">
      <w:pPr>
        <w:spacing w:line="240" w:lineRule="auto"/>
      </w:pPr>
    </w:p>
    <w:p w14:paraId="05B1BDB7" w14:textId="77777777" w:rsidR="003649E9" w:rsidRDefault="003649E9" w:rsidP="003649E9"/>
    <w:p w14:paraId="337DE9D0" w14:textId="007FB160" w:rsidR="00E37FE2" w:rsidRDefault="00E37FE2">
      <w:pPr>
        <w:spacing w:line="240" w:lineRule="auto"/>
        <w:rPr>
          <w:rFonts w:asciiTheme="majorHAnsi" w:eastAsiaTheme="majorEastAsia" w:hAnsiTheme="majorHAnsi" w:cstheme="majorBidi"/>
          <w:b/>
          <w:bCs/>
          <w:color w:val="365F91" w:themeColor="accent1" w:themeShade="BF"/>
          <w:sz w:val="28"/>
          <w:szCs w:val="28"/>
        </w:rPr>
      </w:pPr>
      <w:r>
        <w:br w:type="page"/>
      </w:r>
    </w:p>
    <w:p w14:paraId="6F3CD207" w14:textId="77777777" w:rsidR="003649E9" w:rsidRDefault="003649E9" w:rsidP="003649E9">
      <w:pPr>
        <w:pStyle w:val="Heading1"/>
      </w:pPr>
      <w:bookmarkStart w:id="67" w:name="_Toc459080653"/>
      <w:r>
        <w:lastRenderedPageBreak/>
        <w:t>Section III:  Discovery</w:t>
      </w:r>
      <w:bookmarkEnd w:id="66"/>
      <w:bookmarkEnd w:id="67"/>
    </w:p>
    <w:p w14:paraId="452F7AEC" w14:textId="77777777" w:rsidR="00C82F55" w:rsidRDefault="00C82F55" w:rsidP="003649E9"/>
    <w:p w14:paraId="6F8C1DEE" w14:textId="0DAE186E" w:rsidR="003649E9" w:rsidRDefault="003649E9" w:rsidP="003649E9">
      <w:r w:rsidRPr="00320B36">
        <w:t xml:space="preserve">Findings in this report reflect data from PCR and PDR reviews and other contract activity completed between January and </w:t>
      </w:r>
      <w:r w:rsidR="00F767D6">
        <w:t>June</w:t>
      </w:r>
      <w:r w:rsidRPr="00320B36">
        <w:t xml:space="preserve"> 2016.  A total of </w:t>
      </w:r>
      <w:r w:rsidR="0034799C">
        <w:t>783</w:t>
      </w:r>
      <w:r w:rsidRPr="00320B36">
        <w:t xml:space="preserve"> PCRs</w:t>
      </w:r>
      <w:r w:rsidRPr="00A14D4E">
        <w:t xml:space="preserve">, </w:t>
      </w:r>
      <w:r w:rsidR="0034799C">
        <w:t>933</w:t>
      </w:r>
      <w:r w:rsidRPr="00A14D4E">
        <w:t xml:space="preserve"> PDRs</w:t>
      </w:r>
      <w:r w:rsidRPr="00320B36">
        <w:t xml:space="preserve"> and </w:t>
      </w:r>
      <w:r w:rsidR="0034799C">
        <w:t>271</w:t>
      </w:r>
      <w:r w:rsidRPr="00320B36">
        <w:t xml:space="preserve"> CDC+ Representative reviews</w:t>
      </w:r>
      <w:r>
        <w:t xml:space="preserve"> were completed, approved and available for analysis. Feedback from providers about the reviewer and review processes has been extremely positive.  </w:t>
      </w:r>
      <w:r w:rsidR="00F428BF">
        <w:t>I</w:t>
      </w:r>
      <w:r>
        <w:t>n May 2015</w:t>
      </w:r>
      <w:r w:rsidR="00F428BF">
        <w:t>,</w:t>
      </w:r>
      <w:r>
        <w:t xml:space="preserve"> revisions on the tools and reports were requested from AHCA and completed by Delmarva, excluding all references to the amount of potential billing discrepancies identified during reviews.  New revisions were completed to once again include the billing discrepancies and were implemented in January 2016.</w:t>
      </w:r>
    </w:p>
    <w:p w14:paraId="6D651A69" w14:textId="77777777" w:rsidR="003649E9" w:rsidRDefault="003649E9" w:rsidP="003649E9"/>
    <w:p w14:paraId="219DE07A" w14:textId="0EE8ECC0" w:rsidR="0034799C" w:rsidRDefault="003649E9" w:rsidP="003649E9">
      <w:r w:rsidRPr="0066104D">
        <w:t xml:space="preserve">During </w:t>
      </w:r>
      <w:r>
        <w:t xml:space="preserve">the </w:t>
      </w:r>
      <w:r w:rsidR="0034799C">
        <w:t xml:space="preserve">second </w:t>
      </w:r>
      <w:r>
        <w:t xml:space="preserve">quarter of the current contract year, </w:t>
      </w:r>
      <w:r w:rsidRPr="005B44B1">
        <w:t>Regional managers review</w:t>
      </w:r>
      <w:r w:rsidR="003933F2">
        <w:t>ed</w:t>
      </w:r>
      <w:r w:rsidRPr="005B44B1">
        <w:t xml:space="preserve"> all reports before final approva</w:t>
      </w:r>
      <w:r w:rsidR="0074048F">
        <w:t xml:space="preserve">l, </w:t>
      </w:r>
      <w:r>
        <w:t>conduct</w:t>
      </w:r>
      <w:r w:rsidR="003933F2">
        <w:t>ed</w:t>
      </w:r>
      <w:r>
        <w:t xml:space="preserve"> bi-weekly meetings for all reviewers</w:t>
      </w:r>
      <w:r w:rsidR="0074048F">
        <w:t xml:space="preserve">, </w:t>
      </w:r>
      <w:r w:rsidR="0074048F" w:rsidRPr="0074048F">
        <w:rPr>
          <w:color w:val="000000" w:themeColor="text1"/>
        </w:rPr>
        <w:t>and</w:t>
      </w:r>
      <w:r w:rsidRPr="0074048F">
        <w:rPr>
          <w:color w:val="000000" w:themeColor="text1"/>
        </w:rPr>
        <w:t xml:space="preserve"> facilitated a quarterly meeting in each region to review data, explore trends, and discuss other relevant regional issues or best practices.  </w:t>
      </w:r>
      <w:r>
        <w:t xml:space="preserve">Managers and reviewers continue to participate in rigorous field and file review reliability testing, and </w:t>
      </w:r>
      <w:r w:rsidR="0034799C">
        <w:t xml:space="preserve">the </w:t>
      </w:r>
      <w:r>
        <w:t>bi-weekly conference calls enhance training and reliability efforts through discussion of real si</w:t>
      </w:r>
      <w:r w:rsidR="003933F2">
        <w:t xml:space="preserve">tuations and review questions. </w:t>
      </w:r>
      <w:r w:rsidR="0034799C">
        <w:t>Delmarva presented a training session at the FARF annual meeting (Revisions to Discovery Tools), staffed an exhibit at Family Café, and presented a training session for the Suncoast 8 Chapter of the Family Care Council</w:t>
      </w:r>
      <w:r w:rsidR="00377602">
        <w:t xml:space="preserve"> (Overview of PCR and PDR processes).</w:t>
      </w:r>
    </w:p>
    <w:p w14:paraId="71A1ACE5" w14:textId="77777777" w:rsidR="00F428BF" w:rsidRDefault="00F428BF" w:rsidP="003649E9"/>
    <w:p w14:paraId="58EADAE0" w14:textId="77777777" w:rsidR="00377602" w:rsidRDefault="00F428BF" w:rsidP="003649E9">
      <w:r>
        <w:t xml:space="preserve">Results in this report are based on </w:t>
      </w:r>
      <w:r w:rsidR="00377602">
        <w:t>approximately half</w:t>
      </w:r>
      <w:r>
        <w:t xml:space="preserve"> of the total number of PCRs and PDRs that will be completed by the end of the contract year. </w:t>
      </w:r>
      <w:r w:rsidR="00591EB1">
        <w:t>While findings appear to be consistent with results in previous years, results to date are not representative of the population and should be interpreted with caution.  Additional analysis and recommendation will be provided as more data become available.</w:t>
      </w:r>
      <w:r>
        <w:t xml:space="preserve"> </w:t>
      </w:r>
    </w:p>
    <w:p w14:paraId="24933A46" w14:textId="44DB9DE3" w:rsidR="003649E9" w:rsidRDefault="003649E9" w:rsidP="003649E9">
      <w:r>
        <w:t xml:space="preserve">        </w:t>
      </w:r>
    </w:p>
    <w:p w14:paraId="3F2F5976" w14:textId="77777777" w:rsidR="003649E9" w:rsidRDefault="003649E9" w:rsidP="003649E9">
      <w:pPr>
        <w:pStyle w:val="Heading2"/>
      </w:pPr>
      <w:bookmarkStart w:id="68" w:name="_Toc369864692"/>
      <w:bookmarkStart w:id="69" w:name="_Toc459080654"/>
      <w:r>
        <w:lastRenderedPageBreak/>
        <w:t>Person Centered Review Results</w:t>
      </w:r>
      <w:bookmarkEnd w:id="68"/>
      <w:bookmarkEnd w:id="69"/>
    </w:p>
    <w:p w14:paraId="1687C907" w14:textId="77777777" w:rsidR="003649E9" w:rsidRPr="000E2337" w:rsidRDefault="003649E9" w:rsidP="003649E9">
      <w:r>
        <w:t xml:space="preserve">The PCR is composed of an interview with the person and the person’s support coordinator, and a review of the record maintained by the support coordinator for that person. </w:t>
      </w:r>
      <w:r w:rsidRPr="000E2337">
        <w:t>Results for all the PCR components were high:</w:t>
      </w:r>
    </w:p>
    <w:p w14:paraId="7237DE1E" w14:textId="77777777" w:rsidR="003649E9" w:rsidRDefault="003649E9" w:rsidP="003649E9"/>
    <w:p w14:paraId="6451172A" w14:textId="77777777" w:rsidR="003649E9" w:rsidRDefault="003649E9" w:rsidP="003649E9">
      <w:pPr>
        <w:spacing w:line="240" w:lineRule="auto"/>
      </w:pPr>
      <w:r>
        <w:rPr>
          <w:noProof/>
        </w:rPr>
        <w:drawing>
          <wp:inline distT="0" distB="0" distL="0" distR="0" wp14:anchorId="76D9CC26" wp14:editId="0825078A">
            <wp:extent cx="5820355" cy="1558455"/>
            <wp:effectExtent l="0" t="38100" r="0" b="6096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15F28040" w14:textId="77777777" w:rsidR="003649E9" w:rsidRDefault="003649E9" w:rsidP="003649E9"/>
    <w:p w14:paraId="19AA01D0" w14:textId="2A30748B" w:rsidR="00C613F1" w:rsidRDefault="00A14D4E" w:rsidP="00C613F1">
      <w:r>
        <w:t xml:space="preserve">Some </w:t>
      </w:r>
      <w:r w:rsidR="001B793B">
        <w:t>results,</w:t>
      </w:r>
      <w:r w:rsidR="003649E9">
        <w:t xml:space="preserve"> </w:t>
      </w:r>
      <w:r w:rsidR="001B793B">
        <w:t xml:space="preserve">similar to findings in 2015, </w:t>
      </w:r>
      <w:r w:rsidR="006A14F3">
        <w:t xml:space="preserve">areas surrounding community participation and the development of social roles in the community appear to be somewhat problematic and </w:t>
      </w:r>
      <w:r w:rsidR="003649E9">
        <w:t xml:space="preserve">should be tracked as more data are collected </w:t>
      </w:r>
      <w:r w:rsidR="00591EB1">
        <w:t>during the year</w:t>
      </w:r>
      <w:r w:rsidR="00C613F1">
        <w:t>. This is important to track because t</w:t>
      </w:r>
      <w:r w:rsidR="00C613F1" w:rsidRPr="00A14D4E">
        <w:t xml:space="preserve">he person’s ability to be involved in the community the same as other individuals </w:t>
      </w:r>
      <w:r w:rsidR="00C613F1">
        <w:t xml:space="preserve">who do not have </w:t>
      </w:r>
      <w:r w:rsidR="00C613F1" w:rsidRPr="00A14D4E">
        <w:t>disabilities is a key com</w:t>
      </w:r>
      <w:r w:rsidR="00C613F1">
        <w:t>ponent of the new CMS settings rule.  Results to date indicate the following:</w:t>
      </w:r>
    </w:p>
    <w:p w14:paraId="0601694A" w14:textId="77777777" w:rsidR="003649E9" w:rsidRDefault="003649E9" w:rsidP="003649E9"/>
    <w:p w14:paraId="7F30E47E" w14:textId="77340DA9" w:rsidR="003649E9" w:rsidRDefault="003649E9" w:rsidP="003649E9">
      <w:pPr>
        <w:pStyle w:val="ListParagraph"/>
        <w:numPr>
          <w:ilvl w:val="0"/>
          <w:numId w:val="6"/>
        </w:numPr>
      </w:pPr>
      <w:r>
        <w:t xml:space="preserve">Individual </w:t>
      </w:r>
      <w:r w:rsidR="00591EB1">
        <w:t xml:space="preserve">and </w:t>
      </w:r>
      <w:r w:rsidR="006A14F3">
        <w:t>Support Coordinator</w:t>
      </w:r>
      <w:r w:rsidR="00591EB1">
        <w:t xml:space="preserve"> </w:t>
      </w:r>
      <w:r>
        <w:t>interviews showed the lowest scores on</w:t>
      </w:r>
      <w:r w:rsidR="00591EB1">
        <w:t xml:space="preserve"> Community Participation, </w:t>
      </w:r>
      <w:r w:rsidR="006A14F3">
        <w:t>89.5</w:t>
      </w:r>
      <w:r w:rsidR="00591EB1">
        <w:t xml:space="preserve"> percent and </w:t>
      </w:r>
      <w:r w:rsidR="006A14F3">
        <w:t>93.1</w:t>
      </w:r>
      <w:r w:rsidR="00591EB1">
        <w:t xml:space="preserve"> percent respectively</w:t>
      </w:r>
      <w:r>
        <w:t xml:space="preserve">. </w:t>
      </w:r>
      <w:r w:rsidRPr="0023432E">
        <w:t xml:space="preserve">  </w:t>
      </w:r>
    </w:p>
    <w:p w14:paraId="11BAA0D9" w14:textId="37150E2D" w:rsidR="003649E9" w:rsidRDefault="003649E9" w:rsidP="003649E9">
      <w:pPr>
        <w:pStyle w:val="ListParagraph"/>
        <w:numPr>
          <w:ilvl w:val="0"/>
          <w:numId w:val="6"/>
        </w:numPr>
      </w:pPr>
      <w:r>
        <w:t xml:space="preserve">Indicators from the individual interview also point to </w:t>
      </w:r>
      <w:r w:rsidR="00591EB1">
        <w:t xml:space="preserve">possible </w:t>
      </w:r>
      <w:r>
        <w:t xml:space="preserve">issues with community integration. The lowest scoring </w:t>
      </w:r>
      <w:r w:rsidR="006A14F3">
        <w:t>area</w:t>
      </w:r>
      <w:r>
        <w:t xml:space="preserve">s indicate individuals are often </w:t>
      </w:r>
      <w:r w:rsidR="006A14F3">
        <w:t>not provided education or information about social roles in the community (79.3%), feel their preferences concerning social roles in the community are often not addressed (86.3%), and have only limited opportunities to develop new friendships or relationships.</w:t>
      </w:r>
    </w:p>
    <w:p w14:paraId="3DCDB575" w14:textId="37466EAE" w:rsidR="006A14F3" w:rsidRDefault="006A14F3" w:rsidP="003649E9">
      <w:pPr>
        <w:pStyle w:val="ListParagraph"/>
        <w:numPr>
          <w:ilvl w:val="0"/>
          <w:numId w:val="6"/>
        </w:numPr>
      </w:pPr>
      <w:r>
        <w:t>Information obtained from WSCs during the interview supports that information about community-based social roles is often not provided to individuals (84.4%).</w:t>
      </w:r>
    </w:p>
    <w:p w14:paraId="3F3984C1" w14:textId="77777777" w:rsidR="003649E9" w:rsidRDefault="003649E9" w:rsidP="003649E9">
      <w:pPr>
        <w:rPr>
          <w:color w:val="FF0000"/>
        </w:rPr>
      </w:pPr>
    </w:p>
    <w:p w14:paraId="1082ACB2" w14:textId="35A26E8B" w:rsidR="00C613F1" w:rsidRPr="00774EE0" w:rsidRDefault="00C613F1" w:rsidP="00C613F1">
      <w:pPr>
        <w:rPr>
          <w:color w:val="000000" w:themeColor="text1"/>
        </w:rPr>
      </w:pPr>
      <w:r w:rsidRPr="00774EE0">
        <w:rPr>
          <w:color w:val="000000" w:themeColor="text1"/>
        </w:rPr>
        <w:t xml:space="preserve">Recommendation </w:t>
      </w:r>
      <w:r>
        <w:rPr>
          <w:color w:val="000000" w:themeColor="text1"/>
        </w:rPr>
        <w:t>1</w:t>
      </w:r>
      <w:r w:rsidRPr="00774EE0">
        <w:rPr>
          <w:color w:val="000000" w:themeColor="text1"/>
        </w:rPr>
        <w:t xml:space="preserve">:  New WSC training and mentoring is being developed through APD, with input from a Quality Council workgroup. This </w:t>
      </w:r>
      <w:r w:rsidRPr="00774EE0">
        <w:rPr>
          <w:color w:val="000000" w:themeColor="text1"/>
        </w:rPr>
        <w:lastRenderedPageBreak/>
        <w:t xml:space="preserve">should include </w:t>
      </w:r>
      <w:r>
        <w:rPr>
          <w:color w:val="000000" w:themeColor="text1"/>
        </w:rPr>
        <w:t>a process</w:t>
      </w:r>
      <w:r w:rsidRPr="00774EE0">
        <w:rPr>
          <w:color w:val="000000" w:themeColor="text1"/>
        </w:rPr>
        <w:t xml:space="preserve"> to ensure plans have goals that pertain to social role development as desired by the person, and ways to build new relationships </w:t>
      </w:r>
      <w:r>
        <w:rPr>
          <w:color w:val="000000" w:themeColor="text1"/>
        </w:rPr>
        <w:t xml:space="preserve">and social roles </w:t>
      </w:r>
      <w:r w:rsidRPr="00774EE0">
        <w:rPr>
          <w:color w:val="000000" w:themeColor="text1"/>
        </w:rPr>
        <w:t>in the community. This could be included in APD</w:t>
      </w:r>
      <w:r w:rsidR="00616A85">
        <w:rPr>
          <w:color w:val="000000" w:themeColor="text1"/>
        </w:rPr>
        <w:t>’</w:t>
      </w:r>
      <w:r w:rsidRPr="00774EE0">
        <w:rPr>
          <w:color w:val="000000" w:themeColor="text1"/>
        </w:rPr>
        <w:t>s online training curriculum for support coordinators.</w:t>
      </w:r>
    </w:p>
    <w:p w14:paraId="0C70D744" w14:textId="77777777" w:rsidR="00A14D4E" w:rsidRPr="00774EE0" w:rsidRDefault="00A14D4E" w:rsidP="003649E9">
      <w:pPr>
        <w:rPr>
          <w:color w:val="000000" w:themeColor="text1"/>
        </w:rPr>
      </w:pPr>
    </w:p>
    <w:p w14:paraId="753A21C6" w14:textId="1AFFD694" w:rsidR="003649E9" w:rsidRPr="00774EE0" w:rsidRDefault="003649E9" w:rsidP="003649E9">
      <w:pPr>
        <w:rPr>
          <w:color w:val="000000" w:themeColor="text1"/>
        </w:rPr>
      </w:pPr>
      <w:r w:rsidRPr="00616A85">
        <w:rPr>
          <w:color w:val="000000" w:themeColor="text1"/>
        </w:rPr>
        <w:t xml:space="preserve">Recommendation 2:  APD should ensure all providers are required to take competency based training </w:t>
      </w:r>
      <w:r w:rsidR="00774EE0" w:rsidRPr="00616A85">
        <w:rPr>
          <w:color w:val="000000" w:themeColor="text1"/>
        </w:rPr>
        <w:t xml:space="preserve">(TRAIN system) </w:t>
      </w:r>
      <w:r w:rsidRPr="00616A85">
        <w:rPr>
          <w:color w:val="000000" w:themeColor="text1"/>
        </w:rPr>
        <w:t>on understanding and implementing community involvement for individuals. Community involvement should include both participation in community events and the development of relationships and social roles within the community.</w:t>
      </w:r>
      <w:r w:rsidRPr="00774EE0">
        <w:rPr>
          <w:color w:val="000000" w:themeColor="text1"/>
        </w:rPr>
        <w:t xml:space="preserve"> </w:t>
      </w:r>
    </w:p>
    <w:p w14:paraId="522EA097" w14:textId="77777777" w:rsidR="003649E9" w:rsidRDefault="003649E9" w:rsidP="003649E9">
      <w:pPr>
        <w:rPr>
          <w:color w:val="000000" w:themeColor="text1"/>
        </w:rPr>
      </w:pPr>
    </w:p>
    <w:p w14:paraId="094C0633" w14:textId="1BBE4FB7" w:rsidR="006A14F3" w:rsidRPr="00017615" w:rsidRDefault="00616A85" w:rsidP="00616A85">
      <w:r>
        <w:rPr>
          <w:color w:val="000000" w:themeColor="text1"/>
        </w:rPr>
        <w:t>Information from the records maintained by the WSCs showed several standards with less than a 90 percent compliance rate.  The l</w:t>
      </w:r>
      <w:r w:rsidR="006A14F3" w:rsidRPr="00017615">
        <w:t>owest scoring standards from the WSC record reviews i</w:t>
      </w:r>
      <w:r>
        <w:t>ndicate</w:t>
      </w:r>
      <w:r w:rsidR="006A14F3" w:rsidRPr="00017615">
        <w:t>:</w:t>
      </w:r>
    </w:p>
    <w:p w14:paraId="52B67156" w14:textId="596FDA91" w:rsidR="00616A85" w:rsidRPr="00017615" w:rsidRDefault="00616A85" w:rsidP="00616A85">
      <w:pPr>
        <w:pStyle w:val="ListParagraph"/>
        <w:numPr>
          <w:ilvl w:val="1"/>
          <w:numId w:val="6"/>
        </w:numPr>
      </w:pPr>
      <w:r w:rsidRPr="00017615">
        <w:t xml:space="preserve">The current Annual Report is </w:t>
      </w:r>
      <w:r>
        <w:t xml:space="preserve">often not in </w:t>
      </w:r>
      <w:r w:rsidRPr="00017615">
        <w:t>the record (8</w:t>
      </w:r>
      <w:r>
        <w:t>6</w:t>
      </w:r>
      <w:r w:rsidRPr="00017615">
        <w:t>.</w:t>
      </w:r>
      <w:r>
        <w:t>2</w:t>
      </w:r>
      <w:r w:rsidRPr="00017615">
        <w:t>%)</w:t>
      </w:r>
      <w:r>
        <w:t>.</w:t>
      </w:r>
    </w:p>
    <w:p w14:paraId="3DE1551B" w14:textId="681B20DC" w:rsidR="00616A85" w:rsidRDefault="00616A85" w:rsidP="00616A85">
      <w:pPr>
        <w:pStyle w:val="ListParagraph"/>
        <w:numPr>
          <w:ilvl w:val="1"/>
          <w:numId w:val="6"/>
        </w:numPr>
      </w:pPr>
      <w:r>
        <w:t>Progress notes do not always demonstrate that pre-Support Plan activities were conducted (84.9%).</w:t>
      </w:r>
    </w:p>
    <w:p w14:paraId="65DC35CD" w14:textId="77777777" w:rsidR="00C613F1" w:rsidRDefault="00C613F1" w:rsidP="006A14F3"/>
    <w:p w14:paraId="397C4132" w14:textId="7C406972" w:rsidR="006A14F3" w:rsidRDefault="006A14F3" w:rsidP="006A14F3">
      <w:r>
        <w:t xml:space="preserve">Recommendation </w:t>
      </w:r>
      <w:r w:rsidR="00616A85">
        <w:t>3</w:t>
      </w:r>
      <w:r>
        <w:t xml:space="preserve">:  APD should include as an agenda item in a meeting with regional offices discussion of ways to </w:t>
      </w:r>
      <w:r w:rsidRPr="003666EB">
        <w:t xml:space="preserve">help ensure WSCs are </w:t>
      </w:r>
      <w:r w:rsidR="00616A85">
        <w:t>including the Annual Report in the person’s record</w:t>
      </w:r>
      <w:r>
        <w:t xml:space="preserve">. </w:t>
      </w:r>
    </w:p>
    <w:p w14:paraId="0EE5A15E" w14:textId="77777777" w:rsidR="00616A85" w:rsidRDefault="00616A85" w:rsidP="006A14F3"/>
    <w:p w14:paraId="4E1A3825" w14:textId="62F27A0C" w:rsidR="00616A85" w:rsidRDefault="00616A85" w:rsidP="006A14F3">
      <w:pPr>
        <w:rPr>
          <w:color w:val="FF0000"/>
        </w:rPr>
      </w:pPr>
      <w:r>
        <w:t xml:space="preserve">Recommendation 4: Because pre-Support Plan activities are an important part of the process, </w:t>
      </w:r>
      <w:r w:rsidR="004D6555">
        <w:t xml:space="preserve">it is important to ensure WSCs are including this when developing plans with the person.  If this continues to be one of the lower scoring indicators for WSCs, an initiative should be developed to help APD and Delmarva reviewers determine if the activities are actually not occurring or if WSCs need refresher training on how to accurately document these in the progress notes.  </w:t>
      </w:r>
    </w:p>
    <w:p w14:paraId="0E5B2AE8" w14:textId="77777777" w:rsidR="003649E9" w:rsidRDefault="003649E9" w:rsidP="003649E9"/>
    <w:p w14:paraId="08D8380A" w14:textId="77777777" w:rsidR="00C455D7" w:rsidRDefault="003410E7" w:rsidP="003649E9">
      <w:r>
        <w:t>The three areas in which CDC+ Representatives</w:t>
      </w:r>
      <w:r w:rsidR="00C455D7">
        <w:t xml:space="preserve"> seem to struggle the most are in maintaining accurate and signed timesheets for all direct hires (86.3%), documenting background screening results for all who render direct care for the person (81.6%), and maintaining documentation to support reconciliation of monthly statements.  </w:t>
      </w:r>
    </w:p>
    <w:p w14:paraId="654C49D3" w14:textId="77777777" w:rsidR="00C455D7" w:rsidRDefault="00C455D7" w:rsidP="003649E9"/>
    <w:p w14:paraId="2E82EFCE" w14:textId="77777777" w:rsidR="00C455D7" w:rsidRDefault="00C455D7" w:rsidP="003649E9">
      <w:r>
        <w:lastRenderedPageBreak/>
        <w:t>Recommendation 5:  Since 2010 when Delmarva first began to review CDC+ Representatives, they have improved greatly in documenting background screening results, from approximately 36 percent to over 80 percent.  However, there is room for improvement in the zero tolerance area.  The Quality Council may want to consider this as a work group activity, to determine how to best help improve this for Representatives across the state.</w:t>
      </w:r>
    </w:p>
    <w:p w14:paraId="75013B64" w14:textId="77777777" w:rsidR="00C455D7" w:rsidRDefault="00C455D7" w:rsidP="003649E9"/>
    <w:p w14:paraId="59B80008" w14:textId="77777777" w:rsidR="00C455D7" w:rsidRDefault="00C455D7" w:rsidP="003649E9">
      <w:r>
        <w:t xml:space="preserve">Recommendation 6:  APD should ensure initial and ongoing training for CDC+ Representatives includes competency based sessions on developing and accurately maintaining timesheets and monthly statements.  </w:t>
      </w:r>
    </w:p>
    <w:p w14:paraId="639C7E76" w14:textId="02E616A4" w:rsidR="003410E7" w:rsidRPr="003666EB" w:rsidRDefault="00C455D7" w:rsidP="003649E9">
      <w:r>
        <w:t xml:space="preserve"> </w:t>
      </w:r>
      <w:r w:rsidR="003410E7">
        <w:t xml:space="preserve"> </w:t>
      </w:r>
    </w:p>
    <w:p w14:paraId="16F68D85" w14:textId="77777777" w:rsidR="003649E9" w:rsidRPr="00E62297" w:rsidRDefault="003649E9" w:rsidP="003649E9">
      <w:pPr>
        <w:pStyle w:val="Heading2"/>
      </w:pPr>
      <w:bookmarkStart w:id="70" w:name="_Toc369864693"/>
      <w:bookmarkStart w:id="71" w:name="_Toc459080655"/>
      <w:r w:rsidRPr="00E62297">
        <w:t>Provider Discovery Review Results</w:t>
      </w:r>
      <w:bookmarkEnd w:id="70"/>
      <w:bookmarkEnd w:id="71"/>
    </w:p>
    <w:p w14:paraId="518D03A8" w14:textId="3061D814" w:rsidR="00B774EF" w:rsidRDefault="003649E9" w:rsidP="003649E9">
      <w:r w:rsidRPr="00B76BFD">
        <w:t xml:space="preserve">Results from </w:t>
      </w:r>
      <w:r w:rsidRPr="001B793B">
        <w:t xml:space="preserve">the </w:t>
      </w:r>
      <w:r w:rsidR="004E2156">
        <w:t>933</w:t>
      </w:r>
      <w:r w:rsidRPr="001B793B">
        <w:t xml:space="preserve"> PDRs</w:t>
      </w:r>
      <w:r w:rsidRPr="00B76BFD">
        <w:t xml:space="preserve"> conducted with service providers </w:t>
      </w:r>
      <w:r w:rsidR="004E2156">
        <w:t xml:space="preserve"> and WSCs </w:t>
      </w:r>
      <w:r w:rsidRPr="00B76BFD">
        <w:t>indicate providers performed very well in all aspects of the review</w:t>
      </w:r>
      <w:r>
        <w:t>, as s</w:t>
      </w:r>
      <w:r w:rsidR="00B03FC5">
        <w:t xml:space="preserve">hown in the following graphic. </w:t>
      </w:r>
      <w:r w:rsidR="00B774EF">
        <w:t xml:space="preserve">   </w:t>
      </w:r>
    </w:p>
    <w:p w14:paraId="7C8BC8C9" w14:textId="77777777" w:rsidR="00B774EF" w:rsidRDefault="00B774EF" w:rsidP="003649E9"/>
    <w:p w14:paraId="0B9FDDF1" w14:textId="070E3D38" w:rsidR="003649E9" w:rsidRDefault="003649E9" w:rsidP="003649E9">
      <w:r>
        <w:t xml:space="preserve">  </w:t>
      </w:r>
    </w:p>
    <w:p w14:paraId="0F1229FD" w14:textId="77777777" w:rsidR="003649E9" w:rsidRDefault="003649E9" w:rsidP="003649E9"/>
    <w:p w14:paraId="46E194AB" w14:textId="77777777" w:rsidR="003649E9" w:rsidRDefault="003649E9" w:rsidP="003649E9">
      <w:pPr>
        <w:spacing w:line="240" w:lineRule="auto"/>
      </w:pPr>
      <w:r>
        <w:rPr>
          <w:noProof/>
        </w:rPr>
        <w:drawing>
          <wp:inline distT="0" distB="0" distL="0" distR="0" wp14:anchorId="07489B42" wp14:editId="49CD226B">
            <wp:extent cx="5947258" cy="1777594"/>
            <wp:effectExtent l="0" t="0" r="0" b="5143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p>
    <w:p w14:paraId="57114215" w14:textId="77777777" w:rsidR="003649E9" w:rsidRDefault="003649E9" w:rsidP="003649E9"/>
    <w:p w14:paraId="2D5C24E5" w14:textId="5C88D4F6" w:rsidR="00F019BE" w:rsidRDefault="00F019BE" w:rsidP="003649E9">
      <w:r>
        <w:t xml:space="preserve">Similar to </w:t>
      </w:r>
      <w:r w:rsidR="004E2156">
        <w:t xml:space="preserve">results from </w:t>
      </w:r>
      <w:r>
        <w:t xml:space="preserve">the PCR, individual and staff interviews indicated Community Participation as the lowest scoring area, </w:t>
      </w:r>
      <w:r w:rsidR="004E2156">
        <w:t xml:space="preserve">identifying </w:t>
      </w:r>
      <w:r>
        <w:t xml:space="preserve">indicators measuring social role preferences, and </w:t>
      </w:r>
      <w:r w:rsidR="004E2156">
        <w:t>the extent to which providers offer</w:t>
      </w:r>
      <w:r>
        <w:t xml:space="preserve"> education and opportunities to develop social roles </w:t>
      </w:r>
      <w:r w:rsidR="004E2156">
        <w:t xml:space="preserve">as key factors most often missed. </w:t>
      </w:r>
      <w:r>
        <w:t xml:space="preserve">Social role development also assumes individuals have the autonomy and independence to determine how and where and when to participate in various community activities.  However, Observation results were lowest on Autonomy and Independence for individuals in day or residential programs. </w:t>
      </w:r>
    </w:p>
    <w:p w14:paraId="6974A01C" w14:textId="77777777" w:rsidR="00294437" w:rsidRDefault="00294437" w:rsidP="00294437"/>
    <w:p w14:paraId="5CC76B84" w14:textId="26835E93" w:rsidR="00294437" w:rsidRPr="007A7F35" w:rsidRDefault="00294437" w:rsidP="00294437">
      <w:r w:rsidRPr="007A7F35">
        <w:lastRenderedPageBreak/>
        <w:t xml:space="preserve">Observation results </w:t>
      </w:r>
      <w:r>
        <w:t xml:space="preserve">also </w:t>
      </w:r>
      <w:r w:rsidRPr="007A7F35">
        <w:t xml:space="preserve">inform us individuals living in </w:t>
      </w:r>
      <w:r>
        <w:t>LRFs</w:t>
      </w:r>
      <w:r w:rsidRPr="007A7F35">
        <w:t xml:space="preserve"> are often not trained in the use of public transportation</w:t>
      </w:r>
      <w:r>
        <w:t>, do not have a key to their homes, and are not making meaningful connections in the community</w:t>
      </w:r>
      <w:r w:rsidRPr="007A7F35">
        <w:t xml:space="preserve">. Transportation </w:t>
      </w:r>
      <w:r>
        <w:t>and access in and out of one’s home are essential in building independence</w:t>
      </w:r>
      <w:r w:rsidR="00881205">
        <w:t xml:space="preserve">, </w:t>
      </w:r>
      <w:r>
        <w:t xml:space="preserve">autonomy, </w:t>
      </w:r>
      <w:r w:rsidR="00881205">
        <w:t>and meaningful relationships with people outside of paid providers who</w:t>
      </w:r>
      <w:r>
        <w:t xml:space="preserve"> can help </w:t>
      </w:r>
      <w:r w:rsidRPr="007A7F35">
        <w:t>improve the person’s ability to get a jo</w:t>
      </w:r>
      <w:r>
        <w:t xml:space="preserve">b in an integrated environment </w:t>
      </w:r>
      <w:r w:rsidRPr="007A7F35">
        <w:t xml:space="preserve">and make connections with non-paid friends and family members.  </w:t>
      </w:r>
    </w:p>
    <w:p w14:paraId="341DEA56" w14:textId="77777777" w:rsidR="00294437" w:rsidRDefault="00294437" w:rsidP="003649E9"/>
    <w:p w14:paraId="085EC2DA" w14:textId="1F1A9788" w:rsidR="004E2156" w:rsidRDefault="004E2156" w:rsidP="003649E9">
      <w:r>
        <w:t>Recommendation 7:  The Quality Council should consider developing a program for service providers, similar to the</w:t>
      </w:r>
      <w:r w:rsidR="00881205">
        <w:t xml:space="preserve"> mentoring</w:t>
      </w:r>
      <w:r>
        <w:t xml:space="preserve"> one developed for WSCs</w:t>
      </w:r>
      <w:r w:rsidR="00881205">
        <w:t>,</w:t>
      </w:r>
      <w:r>
        <w:t xml:space="preserve"> </w:t>
      </w:r>
      <w:r w:rsidR="00881205">
        <w:t>to</w:t>
      </w:r>
      <w:r>
        <w:t xml:space="preserve"> promote ways to enhance social role development by ensuring implementation plans address community integration goals and providers have resources needed to act on these goals. </w:t>
      </w:r>
    </w:p>
    <w:p w14:paraId="7DFBF02C" w14:textId="77777777" w:rsidR="004E2156" w:rsidRDefault="004E2156" w:rsidP="003649E9"/>
    <w:p w14:paraId="69A0B37A" w14:textId="77777777" w:rsidR="00881205" w:rsidRDefault="00881205" w:rsidP="00881205">
      <w:r w:rsidRPr="007A7F35">
        <w:t xml:space="preserve">Recommendation </w:t>
      </w:r>
      <w:r>
        <w:t>8:</w:t>
      </w:r>
      <w:r w:rsidRPr="007A7F35">
        <w:t xml:space="preserve">  The Quality Council should consider transportation as the next theme for workgroup activity.  QC could help develop regional specific information packets on public transportation that could be used by providers to enhance people’s ability to use transportation and build lives in the community.</w:t>
      </w:r>
    </w:p>
    <w:p w14:paraId="1A604AE8" w14:textId="3579D34A" w:rsidR="00881205" w:rsidRDefault="00881205" w:rsidP="003649E9">
      <w:r>
        <w:t xml:space="preserve"> </w:t>
      </w:r>
    </w:p>
    <w:p w14:paraId="67E98DFA" w14:textId="2D04D034" w:rsidR="00881205" w:rsidRPr="00BF16D7" w:rsidRDefault="00881205" w:rsidP="00881205">
      <w:r>
        <w:t>Recommendation 9:  An additional QC consideration may be to develop a training session to help families and individuals embrace methods that will help with safely integrate individuals into the community</w:t>
      </w:r>
      <w:r w:rsidRPr="00BF16D7">
        <w:t>.  APD might consider setting up an educational session with a panel of individual</w:t>
      </w:r>
      <w:r>
        <w:t>s and</w:t>
      </w:r>
      <w:r w:rsidRPr="00BF16D7">
        <w:t xml:space="preserve"> families willing to share positive experiences regarding community access and activities</w:t>
      </w:r>
      <w:r>
        <w:t xml:space="preserve"> that can be used in the training session</w:t>
      </w:r>
      <w:r w:rsidRPr="00BF16D7">
        <w:t xml:space="preserve">.  </w:t>
      </w:r>
    </w:p>
    <w:p w14:paraId="7C717550" w14:textId="6F16B4F2" w:rsidR="00BE5C81" w:rsidRDefault="00BE5C81" w:rsidP="003649E9"/>
    <w:p w14:paraId="55ABAF67" w14:textId="77777777" w:rsidR="003649E9" w:rsidRPr="00E35114" w:rsidRDefault="003649E9" w:rsidP="003649E9">
      <w:pPr>
        <w:pStyle w:val="Heading2"/>
      </w:pPr>
      <w:bookmarkStart w:id="72" w:name="_Toc459080656"/>
      <w:r>
        <w:t>Summary</w:t>
      </w:r>
      <w:bookmarkEnd w:id="72"/>
    </w:p>
    <w:p w14:paraId="3674F8A8" w14:textId="0EE7F279" w:rsidR="003649E9" w:rsidRDefault="003649E9" w:rsidP="003649E9">
      <w:r w:rsidRPr="00E35114">
        <w:t xml:space="preserve">Findings from reviews </w:t>
      </w:r>
      <w:r>
        <w:t xml:space="preserve">completed during the </w:t>
      </w:r>
      <w:r w:rsidR="00D03AD9">
        <w:t>quarter</w:t>
      </w:r>
      <w:r>
        <w:t xml:space="preserve">, January – </w:t>
      </w:r>
      <w:r w:rsidR="001F21BA">
        <w:t xml:space="preserve">June </w:t>
      </w:r>
      <w:r>
        <w:t xml:space="preserve">2016, are generally very positive.  Providers have been receptive to the new processes implemented </w:t>
      </w:r>
      <w:r w:rsidR="00D03AD9">
        <w:t>since</w:t>
      </w:r>
      <w:r>
        <w:t xml:space="preserve"> January 2015 and have provided valuable feedback that has been and will continue to be used to improve all the components of the PCRs and PDRs.  APD has worked cooperatively with AHCA and Delmarva to continue to improve the Florida Statewide Quality Assurance Program, creating an extensive training system that should help improve compliance on all the training standards </w:t>
      </w:r>
      <w:r>
        <w:lastRenderedPageBreak/>
        <w:t xml:space="preserve">and increase the providers’ ability to offer more person centered services and build community connections for individuals receiving services.  </w:t>
      </w:r>
    </w:p>
    <w:p w14:paraId="1E8C7723" w14:textId="734DC7BF" w:rsidR="00881205" w:rsidRDefault="00881205">
      <w:pPr>
        <w:spacing w:line="240" w:lineRule="auto"/>
        <w:rPr>
          <w:highlight w:val="magenta"/>
        </w:rPr>
      </w:pPr>
      <w:r>
        <w:rPr>
          <w:highlight w:val="magenta"/>
        </w:rPr>
        <w:br w:type="page"/>
      </w:r>
    </w:p>
    <w:p w14:paraId="09F4E8A5" w14:textId="77777777" w:rsidR="00F34780" w:rsidRDefault="00F34780" w:rsidP="007C1358">
      <w:pPr>
        <w:rPr>
          <w:highlight w:val="magenta"/>
        </w:rPr>
      </w:pPr>
    </w:p>
    <w:p w14:paraId="7154C04A" w14:textId="77777777" w:rsidR="007A4D54" w:rsidRPr="00AE6B59" w:rsidRDefault="007A4D54" w:rsidP="007A4D54">
      <w:pPr>
        <w:pStyle w:val="Heading1"/>
      </w:pPr>
      <w:bookmarkStart w:id="73" w:name="_Toc459080657"/>
      <w:r w:rsidRPr="00AE6B59">
        <w:t xml:space="preserve">Attachment </w:t>
      </w:r>
      <w:r w:rsidR="005B78F9">
        <w:t>1</w:t>
      </w:r>
      <w:r w:rsidRPr="00AE6B59">
        <w:t>:  Customer Service Activity</w:t>
      </w:r>
      <w:bookmarkEnd w:id="73"/>
    </w:p>
    <w:p w14:paraId="7154C04B" w14:textId="1AFC622F" w:rsidR="007A4D54" w:rsidRDefault="003369B4" w:rsidP="007A4D54">
      <w:pPr>
        <w:rPr>
          <w:b/>
          <w:szCs w:val="24"/>
        </w:rPr>
      </w:pPr>
      <w:r>
        <w:rPr>
          <w:b/>
          <w:szCs w:val="24"/>
        </w:rPr>
        <w:t>April - June</w:t>
      </w:r>
      <w:r w:rsidR="005C278A">
        <w:rPr>
          <w:b/>
          <w:szCs w:val="24"/>
        </w:rPr>
        <w:t xml:space="preserve"> 2016</w:t>
      </w:r>
    </w:p>
    <w:p w14:paraId="3734DA56" w14:textId="7EB0822D" w:rsidR="00510AEA" w:rsidRDefault="00510AEA">
      <w:pPr>
        <w:spacing w:line="240" w:lineRule="auto"/>
      </w:pPr>
    </w:p>
    <w:tbl>
      <w:tblPr>
        <w:tblW w:w="9560" w:type="dxa"/>
        <w:tblInd w:w="93" w:type="dxa"/>
        <w:tblLook w:val="04A0" w:firstRow="1" w:lastRow="0" w:firstColumn="1" w:lastColumn="0" w:noHBand="0" w:noVBand="1"/>
      </w:tblPr>
      <w:tblGrid>
        <w:gridCol w:w="1880"/>
        <w:gridCol w:w="640"/>
        <w:gridCol w:w="3160"/>
        <w:gridCol w:w="2920"/>
        <w:gridCol w:w="960"/>
      </w:tblGrid>
      <w:tr w:rsidR="003369B4" w:rsidRPr="003369B4" w14:paraId="7885A9FF" w14:textId="77777777" w:rsidTr="003369B4">
        <w:trPr>
          <w:trHeight w:val="673"/>
          <w:tblHeader/>
        </w:trPr>
        <w:tc>
          <w:tcPr>
            <w:tcW w:w="1880" w:type="dxa"/>
            <w:tcBorders>
              <w:top w:val="single" w:sz="8" w:space="0" w:color="000000"/>
              <w:left w:val="single" w:sz="8" w:space="0" w:color="000000"/>
              <w:bottom w:val="single" w:sz="8" w:space="0" w:color="000000"/>
              <w:right w:val="single" w:sz="8" w:space="0" w:color="000000"/>
            </w:tcBorders>
            <w:shd w:val="clear" w:color="auto" w:fill="244061" w:themeFill="accent1" w:themeFillShade="80"/>
            <w:vAlign w:val="center"/>
            <w:hideMark/>
          </w:tcPr>
          <w:p w14:paraId="7EB3511E" w14:textId="77777777" w:rsidR="003369B4" w:rsidRPr="003369B4" w:rsidRDefault="003369B4" w:rsidP="003369B4">
            <w:pPr>
              <w:spacing w:line="240" w:lineRule="auto"/>
              <w:rPr>
                <w:rFonts w:ascii="Calibri" w:eastAsia="Times New Roman" w:hAnsi="Calibri" w:cs="Times New Roman"/>
                <w:b/>
                <w:bCs/>
                <w:color w:val="FFFFFF" w:themeColor="background1"/>
                <w:sz w:val="22"/>
              </w:rPr>
            </w:pPr>
            <w:r w:rsidRPr="003369B4">
              <w:rPr>
                <w:rFonts w:ascii="Calibri" w:eastAsia="Times New Roman" w:hAnsi="Calibri" w:cs="Times New Roman"/>
                <w:b/>
                <w:bCs/>
                <w:color w:val="FFFFFF" w:themeColor="background1"/>
                <w:sz w:val="22"/>
              </w:rPr>
              <w:t>Customer Service Topic</w:t>
            </w:r>
          </w:p>
        </w:tc>
        <w:tc>
          <w:tcPr>
            <w:tcW w:w="640" w:type="dxa"/>
            <w:tcBorders>
              <w:top w:val="single" w:sz="8" w:space="0" w:color="000000"/>
              <w:left w:val="nil"/>
              <w:bottom w:val="single" w:sz="8" w:space="0" w:color="000000"/>
              <w:right w:val="single" w:sz="8" w:space="0" w:color="000000"/>
            </w:tcBorders>
            <w:shd w:val="clear" w:color="auto" w:fill="244061" w:themeFill="accent1" w:themeFillShade="80"/>
            <w:vAlign w:val="center"/>
            <w:hideMark/>
          </w:tcPr>
          <w:p w14:paraId="403BF70A" w14:textId="77777777" w:rsidR="003369B4" w:rsidRPr="003369B4" w:rsidRDefault="003369B4" w:rsidP="003369B4">
            <w:pPr>
              <w:spacing w:line="240" w:lineRule="auto"/>
              <w:jc w:val="center"/>
              <w:rPr>
                <w:rFonts w:ascii="Calibri" w:eastAsia="Times New Roman" w:hAnsi="Calibri" w:cs="Times New Roman"/>
                <w:b/>
                <w:bCs/>
                <w:color w:val="FFFFFF" w:themeColor="background1"/>
                <w:sz w:val="22"/>
              </w:rPr>
            </w:pPr>
            <w:r w:rsidRPr="003369B4">
              <w:rPr>
                <w:rFonts w:ascii="Calibri" w:eastAsia="Times New Roman" w:hAnsi="Calibri" w:cs="Times New Roman"/>
                <w:b/>
                <w:bCs/>
                <w:color w:val="FFFFFF" w:themeColor="background1"/>
                <w:sz w:val="22"/>
              </w:rPr>
              <w:t>#</w:t>
            </w:r>
          </w:p>
        </w:tc>
        <w:tc>
          <w:tcPr>
            <w:tcW w:w="3160" w:type="dxa"/>
            <w:tcBorders>
              <w:top w:val="single" w:sz="8" w:space="0" w:color="000000"/>
              <w:left w:val="nil"/>
              <w:bottom w:val="single" w:sz="8" w:space="0" w:color="000000"/>
              <w:right w:val="single" w:sz="8" w:space="0" w:color="000000"/>
            </w:tcBorders>
            <w:shd w:val="clear" w:color="auto" w:fill="244061" w:themeFill="accent1" w:themeFillShade="80"/>
            <w:noWrap/>
            <w:vAlign w:val="center"/>
            <w:hideMark/>
          </w:tcPr>
          <w:p w14:paraId="5781204F" w14:textId="77777777" w:rsidR="003369B4" w:rsidRPr="003369B4" w:rsidRDefault="003369B4" w:rsidP="003369B4">
            <w:pPr>
              <w:spacing w:line="240" w:lineRule="auto"/>
              <w:jc w:val="center"/>
              <w:rPr>
                <w:rFonts w:ascii="Calibri" w:eastAsia="Times New Roman" w:hAnsi="Calibri" w:cs="Times New Roman"/>
                <w:b/>
                <w:bCs/>
                <w:color w:val="FFFFFF" w:themeColor="background1"/>
                <w:sz w:val="22"/>
              </w:rPr>
            </w:pPr>
            <w:r w:rsidRPr="003369B4">
              <w:rPr>
                <w:rFonts w:ascii="Calibri" w:eastAsia="Times New Roman" w:hAnsi="Calibri" w:cs="Times New Roman"/>
                <w:b/>
                <w:bCs/>
                <w:color w:val="FFFFFF" w:themeColor="background1"/>
                <w:sz w:val="22"/>
              </w:rPr>
              <w:t>Description</w:t>
            </w:r>
          </w:p>
        </w:tc>
        <w:tc>
          <w:tcPr>
            <w:tcW w:w="2920" w:type="dxa"/>
            <w:tcBorders>
              <w:top w:val="single" w:sz="8" w:space="0" w:color="000000"/>
              <w:left w:val="nil"/>
              <w:bottom w:val="single" w:sz="8" w:space="0" w:color="000000"/>
              <w:right w:val="single" w:sz="8" w:space="0" w:color="000000"/>
            </w:tcBorders>
            <w:shd w:val="clear" w:color="auto" w:fill="244061" w:themeFill="accent1" w:themeFillShade="80"/>
            <w:noWrap/>
            <w:vAlign w:val="center"/>
            <w:hideMark/>
          </w:tcPr>
          <w:p w14:paraId="0FC16333" w14:textId="77777777" w:rsidR="003369B4" w:rsidRPr="003369B4" w:rsidRDefault="003369B4" w:rsidP="003369B4">
            <w:pPr>
              <w:spacing w:line="240" w:lineRule="auto"/>
              <w:jc w:val="center"/>
              <w:rPr>
                <w:rFonts w:ascii="Calibri" w:eastAsia="Times New Roman" w:hAnsi="Calibri" w:cs="Times New Roman"/>
                <w:b/>
                <w:bCs/>
                <w:color w:val="FFFFFF" w:themeColor="background1"/>
                <w:sz w:val="22"/>
              </w:rPr>
            </w:pPr>
            <w:r w:rsidRPr="003369B4">
              <w:rPr>
                <w:rFonts w:ascii="Calibri" w:eastAsia="Times New Roman" w:hAnsi="Calibri" w:cs="Times New Roman"/>
                <w:b/>
                <w:bCs/>
                <w:color w:val="FFFFFF" w:themeColor="background1"/>
                <w:sz w:val="22"/>
              </w:rPr>
              <w:t>Outcome</w:t>
            </w:r>
          </w:p>
        </w:tc>
        <w:tc>
          <w:tcPr>
            <w:tcW w:w="960" w:type="dxa"/>
            <w:tcBorders>
              <w:top w:val="single" w:sz="8" w:space="0" w:color="000000"/>
              <w:left w:val="nil"/>
              <w:bottom w:val="single" w:sz="8" w:space="0" w:color="000000"/>
              <w:right w:val="single" w:sz="8" w:space="0" w:color="000000"/>
            </w:tcBorders>
            <w:shd w:val="clear" w:color="auto" w:fill="244061" w:themeFill="accent1" w:themeFillShade="80"/>
            <w:noWrap/>
            <w:vAlign w:val="center"/>
            <w:hideMark/>
          </w:tcPr>
          <w:p w14:paraId="09074F9B" w14:textId="77777777" w:rsidR="003369B4" w:rsidRPr="003369B4" w:rsidRDefault="003369B4" w:rsidP="003369B4">
            <w:pPr>
              <w:spacing w:line="240" w:lineRule="auto"/>
              <w:jc w:val="center"/>
              <w:rPr>
                <w:rFonts w:ascii="Calibri" w:eastAsia="Times New Roman" w:hAnsi="Calibri" w:cs="Times New Roman"/>
                <w:b/>
                <w:bCs/>
                <w:color w:val="FFFFFF" w:themeColor="background1"/>
                <w:sz w:val="22"/>
              </w:rPr>
            </w:pPr>
            <w:r w:rsidRPr="003369B4">
              <w:rPr>
                <w:rFonts w:ascii="Calibri" w:eastAsia="Times New Roman" w:hAnsi="Calibri" w:cs="Times New Roman"/>
                <w:b/>
                <w:bCs/>
                <w:color w:val="FFFFFF" w:themeColor="background1"/>
                <w:sz w:val="22"/>
              </w:rPr>
              <w:t>Ave Time</w:t>
            </w:r>
          </w:p>
        </w:tc>
      </w:tr>
      <w:tr w:rsidR="003369B4" w:rsidRPr="003369B4" w14:paraId="2548AE5F" w14:textId="77777777" w:rsidTr="003369B4">
        <w:trPr>
          <w:trHeight w:val="1215"/>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67F2BD57"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Address/ Phone Update</w:t>
            </w:r>
          </w:p>
        </w:tc>
        <w:tc>
          <w:tcPr>
            <w:tcW w:w="640" w:type="dxa"/>
            <w:tcBorders>
              <w:top w:val="nil"/>
              <w:left w:val="nil"/>
              <w:bottom w:val="single" w:sz="8" w:space="0" w:color="000000"/>
              <w:right w:val="single" w:sz="8" w:space="0" w:color="000000"/>
            </w:tcBorders>
            <w:shd w:val="clear" w:color="auto" w:fill="auto"/>
            <w:noWrap/>
            <w:vAlign w:val="center"/>
            <w:hideMark/>
          </w:tcPr>
          <w:p w14:paraId="6656A41F"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59</w:t>
            </w:r>
          </w:p>
        </w:tc>
        <w:tc>
          <w:tcPr>
            <w:tcW w:w="3160" w:type="dxa"/>
            <w:tcBorders>
              <w:top w:val="nil"/>
              <w:left w:val="nil"/>
              <w:bottom w:val="single" w:sz="8" w:space="0" w:color="000000"/>
              <w:right w:val="single" w:sz="8" w:space="0" w:color="000000"/>
            </w:tcBorders>
            <w:shd w:val="clear" w:color="auto" w:fill="auto"/>
            <w:vAlign w:val="center"/>
            <w:hideMark/>
          </w:tcPr>
          <w:p w14:paraId="24E31A39"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call to update their phone numbers/ addresses</w:t>
            </w:r>
          </w:p>
        </w:tc>
        <w:tc>
          <w:tcPr>
            <w:tcW w:w="2920" w:type="dxa"/>
            <w:tcBorders>
              <w:top w:val="nil"/>
              <w:left w:val="nil"/>
              <w:bottom w:val="single" w:sz="8" w:space="0" w:color="000000"/>
              <w:right w:val="single" w:sz="8" w:space="0" w:color="000000"/>
            </w:tcBorders>
            <w:shd w:val="clear" w:color="auto" w:fill="auto"/>
            <w:vAlign w:val="center"/>
            <w:hideMark/>
          </w:tcPr>
          <w:p w14:paraId="3771B1D5"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Phone numbers/ addresses are updated in the Discovery application, and providers are advised to update with AHCA.</w:t>
            </w:r>
          </w:p>
        </w:tc>
        <w:tc>
          <w:tcPr>
            <w:tcW w:w="960" w:type="dxa"/>
            <w:tcBorders>
              <w:top w:val="nil"/>
              <w:left w:val="nil"/>
              <w:bottom w:val="single" w:sz="8" w:space="0" w:color="000000"/>
              <w:right w:val="single" w:sz="8" w:space="0" w:color="000000"/>
            </w:tcBorders>
            <w:shd w:val="clear" w:color="auto" w:fill="auto"/>
            <w:noWrap/>
            <w:vAlign w:val="center"/>
            <w:hideMark/>
          </w:tcPr>
          <w:p w14:paraId="1FC009E7"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45D149BD" w14:textId="77777777" w:rsidTr="003369B4">
        <w:trPr>
          <w:trHeight w:val="1215"/>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705648FA"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Background Screening</w:t>
            </w:r>
          </w:p>
        </w:tc>
        <w:tc>
          <w:tcPr>
            <w:tcW w:w="640" w:type="dxa"/>
            <w:tcBorders>
              <w:top w:val="nil"/>
              <w:left w:val="nil"/>
              <w:bottom w:val="single" w:sz="8" w:space="0" w:color="000000"/>
              <w:right w:val="single" w:sz="8" w:space="0" w:color="000000"/>
            </w:tcBorders>
            <w:shd w:val="clear" w:color="auto" w:fill="auto"/>
            <w:noWrap/>
            <w:vAlign w:val="center"/>
            <w:hideMark/>
          </w:tcPr>
          <w:p w14:paraId="393A9030"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12</w:t>
            </w:r>
          </w:p>
        </w:tc>
        <w:tc>
          <w:tcPr>
            <w:tcW w:w="3160" w:type="dxa"/>
            <w:tcBorders>
              <w:top w:val="nil"/>
              <w:left w:val="nil"/>
              <w:bottom w:val="single" w:sz="8" w:space="0" w:color="000000"/>
              <w:right w:val="single" w:sz="8" w:space="0" w:color="000000"/>
            </w:tcBorders>
            <w:shd w:val="clear" w:color="auto" w:fill="auto"/>
            <w:vAlign w:val="center"/>
            <w:hideMark/>
          </w:tcPr>
          <w:p w14:paraId="16BA5489"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and provider consultants call with questions regarding FL background screening requirements.</w:t>
            </w:r>
          </w:p>
        </w:tc>
        <w:tc>
          <w:tcPr>
            <w:tcW w:w="2920" w:type="dxa"/>
            <w:tcBorders>
              <w:top w:val="nil"/>
              <w:left w:val="nil"/>
              <w:bottom w:val="single" w:sz="8" w:space="0" w:color="000000"/>
              <w:right w:val="single" w:sz="8" w:space="0" w:color="000000"/>
            </w:tcBorders>
            <w:shd w:val="clear" w:color="auto" w:fill="auto"/>
            <w:vAlign w:val="center"/>
            <w:hideMark/>
          </w:tcPr>
          <w:p w14:paraId="0549D01C"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Background screening requirements are explained to providers, with reference to the Handbook and FL rule.</w:t>
            </w:r>
          </w:p>
        </w:tc>
        <w:tc>
          <w:tcPr>
            <w:tcW w:w="960" w:type="dxa"/>
            <w:tcBorders>
              <w:top w:val="nil"/>
              <w:left w:val="nil"/>
              <w:bottom w:val="single" w:sz="8" w:space="0" w:color="000000"/>
              <w:right w:val="single" w:sz="8" w:space="0" w:color="000000"/>
            </w:tcBorders>
            <w:shd w:val="clear" w:color="auto" w:fill="auto"/>
            <w:noWrap/>
            <w:vAlign w:val="center"/>
            <w:hideMark/>
          </w:tcPr>
          <w:p w14:paraId="7BC16875"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02562B90" w14:textId="77777777" w:rsidTr="003369B4">
        <w:trPr>
          <w:trHeight w:val="915"/>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0906AD75"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CDC+</w:t>
            </w:r>
          </w:p>
        </w:tc>
        <w:tc>
          <w:tcPr>
            <w:tcW w:w="640" w:type="dxa"/>
            <w:tcBorders>
              <w:top w:val="nil"/>
              <w:left w:val="nil"/>
              <w:bottom w:val="single" w:sz="8" w:space="0" w:color="000000"/>
              <w:right w:val="single" w:sz="8" w:space="0" w:color="000000"/>
            </w:tcBorders>
            <w:shd w:val="clear" w:color="auto" w:fill="auto"/>
            <w:noWrap/>
            <w:vAlign w:val="center"/>
            <w:hideMark/>
          </w:tcPr>
          <w:p w14:paraId="60391427"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w:t>
            </w:r>
          </w:p>
        </w:tc>
        <w:tc>
          <w:tcPr>
            <w:tcW w:w="3160" w:type="dxa"/>
            <w:tcBorders>
              <w:top w:val="nil"/>
              <w:left w:val="nil"/>
              <w:bottom w:val="single" w:sz="8" w:space="0" w:color="000000"/>
              <w:right w:val="single" w:sz="8" w:space="0" w:color="000000"/>
            </w:tcBorders>
            <w:shd w:val="clear" w:color="auto" w:fill="auto"/>
            <w:vAlign w:val="center"/>
            <w:hideMark/>
          </w:tcPr>
          <w:p w14:paraId="08C71448"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Parent called with questions about CDC+ providers</w:t>
            </w:r>
          </w:p>
        </w:tc>
        <w:tc>
          <w:tcPr>
            <w:tcW w:w="2920" w:type="dxa"/>
            <w:tcBorders>
              <w:top w:val="nil"/>
              <w:left w:val="nil"/>
              <w:bottom w:val="single" w:sz="8" w:space="0" w:color="000000"/>
              <w:right w:val="single" w:sz="8" w:space="0" w:color="000000"/>
            </w:tcBorders>
            <w:shd w:val="clear" w:color="auto" w:fill="auto"/>
            <w:vAlign w:val="center"/>
            <w:hideMark/>
          </w:tcPr>
          <w:p w14:paraId="5861C826"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Caller was referred to his CDC+ Consultant and his liaison at his local APD office.</w:t>
            </w:r>
          </w:p>
        </w:tc>
        <w:tc>
          <w:tcPr>
            <w:tcW w:w="960" w:type="dxa"/>
            <w:tcBorders>
              <w:top w:val="nil"/>
              <w:left w:val="nil"/>
              <w:bottom w:val="single" w:sz="8" w:space="0" w:color="000000"/>
              <w:right w:val="single" w:sz="8" w:space="0" w:color="000000"/>
            </w:tcBorders>
            <w:shd w:val="clear" w:color="auto" w:fill="auto"/>
            <w:noWrap/>
            <w:vAlign w:val="center"/>
            <w:hideMark/>
          </w:tcPr>
          <w:p w14:paraId="3A484A46"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2 day</w:t>
            </w:r>
          </w:p>
        </w:tc>
      </w:tr>
      <w:tr w:rsidR="003369B4" w:rsidRPr="003369B4" w14:paraId="2A4E81F8" w14:textId="77777777" w:rsidTr="003369B4">
        <w:trPr>
          <w:trHeight w:val="1215"/>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3ED1D568"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Clarification</w:t>
            </w:r>
          </w:p>
        </w:tc>
        <w:tc>
          <w:tcPr>
            <w:tcW w:w="640" w:type="dxa"/>
            <w:tcBorders>
              <w:top w:val="nil"/>
              <w:left w:val="nil"/>
              <w:bottom w:val="single" w:sz="8" w:space="0" w:color="000000"/>
              <w:right w:val="single" w:sz="8" w:space="0" w:color="000000"/>
            </w:tcBorders>
            <w:shd w:val="clear" w:color="auto" w:fill="auto"/>
            <w:noWrap/>
            <w:vAlign w:val="center"/>
            <w:hideMark/>
          </w:tcPr>
          <w:p w14:paraId="12F4C310"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26</w:t>
            </w:r>
          </w:p>
        </w:tc>
        <w:tc>
          <w:tcPr>
            <w:tcW w:w="3160" w:type="dxa"/>
            <w:tcBorders>
              <w:top w:val="nil"/>
              <w:left w:val="nil"/>
              <w:bottom w:val="single" w:sz="8" w:space="0" w:color="000000"/>
              <w:right w:val="single" w:sz="8" w:space="0" w:color="000000"/>
            </w:tcBorders>
            <w:shd w:val="clear" w:color="auto" w:fill="auto"/>
            <w:vAlign w:val="center"/>
            <w:hideMark/>
          </w:tcPr>
          <w:p w14:paraId="52EC03D8"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called asking for clarification on our tools.</w:t>
            </w:r>
          </w:p>
        </w:tc>
        <w:tc>
          <w:tcPr>
            <w:tcW w:w="2920" w:type="dxa"/>
            <w:tcBorders>
              <w:top w:val="nil"/>
              <w:left w:val="nil"/>
              <w:bottom w:val="single" w:sz="8" w:space="0" w:color="000000"/>
              <w:right w:val="single" w:sz="8" w:space="0" w:color="000000"/>
            </w:tcBorders>
            <w:shd w:val="clear" w:color="auto" w:fill="auto"/>
            <w:vAlign w:val="center"/>
            <w:hideMark/>
          </w:tcPr>
          <w:p w14:paraId="435C56CD"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Questions were answered, and where necessary, callers were referred to source documents.</w:t>
            </w:r>
          </w:p>
        </w:tc>
        <w:tc>
          <w:tcPr>
            <w:tcW w:w="960" w:type="dxa"/>
            <w:tcBorders>
              <w:top w:val="nil"/>
              <w:left w:val="nil"/>
              <w:bottom w:val="single" w:sz="8" w:space="0" w:color="000000"/>
              <w:right w:val="single" w:sz="8" w:space="0" w:color="000000"/>
            </w:tcBorders>
            <w:shd w:val="clear" w:color="auto" w:fill="auto"/>
            <w:noWrap/>
            <w:vAlign w:val="center"/>
            <w:hideMark/>
          </w:tcPr>
          <w:p w14:paraId="487ACE70"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55C410E4" w14:textId="77777777" w:rsidTr="003369B4">
        <w:trPr>
          <w:trHeight w:val="915"/>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20DCD46C"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Complaint</w:t>
            </w:r>
          </w:p>
        </w:tc>
        <w:tc>
          <w:tcPr>
            <w:tcW w:w="640" w:type="dxa"/>
            <w:tcBorders>
              <w:top w:val="nil"/>
              <w:left w:val="nil"/>
              <w:bottom w:val="single" w:sz="8" w:space="0" w:color="000000"/>
              <w:right w:val="single" w:sz="8" w:space="0" w:color="000000"/>
            </w:tcBorders>
            <w:shd w:val="clear" w:color="auto" w:fill="auto"/>
            <w:noWrap/>
            <w:vAlign w:val="center"/>
            <w:hideMark/>
          </w:tcPr>
          <w:p w14:paraId="52CDF818"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w:t>
            </w:r>
          </w:p>
        </w:tc>
        <w:tc>
          <w:tcPr>
            <w:tcW w:w="3160" w:type="dxa"/>
            <w:tcBorders>
              <w:top w:val="nil"/>
              <w:left w:val="nil"/>
              <w:bottom w:val="single" w:sz="8" w:space="0" w:color="000000"/>
              <w:right w:val="single" w:sz="8" w:space="0" w:color="000000"/>
            </w:tcBorders>
            <w:shd w:val="clear" w:color="auto" w:fill="auto"/>
            <w:vAlign w:val="center"/>
            <w:hideMark/>
          </w:tcPr>
          <w:p w14:paraId="42B387C9"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 complained about the review process.</w:t>
            </w:r>
          </w:p>
        </w:tc>
        <w:tc>
          <w:tcPr>
            <w:tcW w:w="2920" w:type="dxa"/>
            <w:tcBorders>
              <w:top w:val="nil"/>
              <w:left w:val="nil"/>
              <w:bottom w:val="single" w:sz="8" w:space="0" w:color="000000"/>
              <w:right w:val="single" w:sz="8" w:space="0" w:color="000000"/>
            </w:tcBorders>
            <w:shd w:val="clear" w:color="auto" w:fill="auto"/>
            <w:vAlign w:val="center"/>
            <w:hideMark/>
          </w:tcPr>
          <w:p w14:paraId="7C6D0667"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Regional Manager clarified the review process for the provider; issue was resolved.</w:t>
            </w:r>
          </w:p>
        </w:tc>
        <w:tc>
          <w:tcPr>
            <w:tcW w:w="960" w:type="dxa"/>
            <w:tcBorders>
              <w:top w:val="nil"/>
              <w:left w:val="nil"/>
              <w:bottom w:val="single" w:sz="8" w:space="0" w:color="000000"/>
              <w:right w:val="single" w:sz="8" w:space="0" w:color="000000"/>
            </w:tcBorders>
            <w:shd w:val="clear" w:color="auto" w:fill="auto"/>
            <w:noWrap/>
            <w:vAlign w:val="center"/>
            <w:hideMark/>
          </w:tcPr>
          <w:p w14:paraId="7D9B9C31"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185B03B6" w14:textId="77777777" w:rsidTr="003369B4">
        <w:trPr>
          <w:trHeight w:val="880"/>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5DC8D5DD"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Contact QAR</w:t>
            </w:r>
          </w:p>
        </w:tc>
        <w:tc>
          <w:tcPr>
            <w:tcW w:w="640" w:type="dxa"/>
            <w:tcBorders>
              <w:top w:val="nil"/>
              <w:left w:val="nil"/>
              <w:bottom w:val="single" w:sz="8" w:space="0" w:color="000000"/>
              <w:right w:val="single" w:sz="8" w:space="0" w:color="000000"/>
            </w:tcBorders>
            <w:shd w:val="clear" w:color="auto" w:fill="auto"/>
            <w:noWrap/>
            <w:vAlign w:val="center"/>
            <w:hideMark/>
          </w:tcPr>
          <w:p w14:paraId="7CC173B8"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7</w:t>
            </w:r>
          </w:p>
        </w:tc>
        <w:tc>
          <w:tcPr>
            <w:tcW w:w="3160" w:type="dxa"/>
            <w:tcBorders>
              <w:top w:val="nil"/>
              <w:left w:val="nil"/>
              <w:bottom w:val="single" w:sz="8" w:space="0" w:color="000000"/>
              <w:right w:val="single" w:sz="8" w:space="0" w:color="000000"/>
            </w:tcBorders>
            <w:shd w:val="clear" w:color="auto" w:fill="auto"/>
            <w:vAlign w:val="center"/>
            <w:hideMark/>
          </w:tcPr>
          <w:p w14:paraId="24816463"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call to contact the QAR assigned to do their review.</w:t>
            </w:r>
          </w:p>
        </w:tc>
        <w:tc>
          <w:tcPr>
            <w:tcW w:w="2920" w:type="dxa"/>
            <w:tcBorders>
              <w:top w:val="nil"/>
              <w:left w:val="nil"/>
              <w:bottom w:val="single" w:sz="8" w:space="0" w:color="000000"/>
              <w:right w:val="single" w:sz="8" w:space="0" w:color="000000"/>
            </w:tcBorders>
            <w:shd w:val="clear" w:color="auto" w:fill="auto"/>
            <w:vAlign w:val="center"/>
            <w:hideMark/>
          </w:tcPr>
          <w:p w14:paraId="12F4FE43"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QAR is contacted by office staff and asked to contact the provider</w:t>
            </w:r>
          </w:p>
        </w:tc>
        <w:tc>
          <w:tcPr>
            <w:tcW w:w="960" w:type="dxa"/>
            <w:tcBorders>
              <w:top w:val="nil"/>
              <w:left w:val="nil"/>
              <w:bottom w:val="single" w:sz="8" w:space="0" w:color="000000"/>
              <w:right w:val="single" w:sz="8" w:space="0" w:color="000000"/>
            </w:tcBorders>
            <w:shd w:val="clear" w:color="auto" w:fill="auto"/>
            <w:noWrap/>
            <w:vAlign w:val="center"/>
            <w:hideMark/>
          </w:tcPr>
          <w:p w14:paraId="5BCB1114"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40AE4609" w14:textId="77777777" w:rsidTr="003369B4">
        <w:trPr>
          <w:trHeight w:val="2770"/>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76AA0F9E"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Delmarva Online Training</w:t>
            </w:r>
          </w:p>
        </w:tc>
        <w:tc>
          <w:tcPr>
            <w:tcW w:w="640" w:type="dxa"/>
            <w:tcBorders>
              <w:top w:val="nil"/>
              <w:left w:val="nil"/>
              <w:bottom w:val="single" w:sz="8" w:space="0" w:color="000000"/>
              <w:right w:val="single" w:sz="8" w:space="0" w:color="000000"/>
            </w:tcBorders>
            <w:shd w:val="clear" w:color="auto" w:fill="auto"/>
            <w:noWrap/>
            <w:vAlign w:val="center"/>
            <w:hideMark/>
          </w:tcPr>
          <w:p w14:paraId="75260A92"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w:t>
            </w:r>
          </w:p>
        </w:tc>
        <w:tc>
          <w:tcPr>
            <w:tcW w:w="3160" w:type="dxa"/>
            <w:tcBorders>
              <w:top w:val="nil"/>
              <w:left w:val="nil"/>
              <w:bottom w:val="single" w:sz="8" w:space="0" w:color="000000"/>
              <w:right w:val="single" w:sz="8" w:space="0" w:color="000000"/>
            </w:tcBorders>
            <w:shd w:val="clear" w:color="auto" w:fill="auto"/>
            <w:vAlign w:val="center"/>
            <w:hideMark/>
          </w:tcPr>
          <w:p w14:paraId="4F706BB7"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called with questions about how to access training and if they can use the online training modules for annual in-service requirements.</w:t>
            </w:r>
          </w:p>
        </w:tc>
        <w:tc>
          <w:tcPr>
            <w:tcW w:w="2920" w:type="dxa"/>
            <w:tcBorders>
              <w:top w:val="nil"/>
              <w:left w:val="nil"/>
              <w:bottom w:val="single" w:sz="8" w:space="0" w:color="000000"/>
              <w:right w:val="single" w:sz="8" w:space="0" w:color="000000"/>
            </w:tcBorders>
            <w:shd w:val="clear" w:color="auto" w:fill="auto"/>
            <w:vAlign w:val="center"/>
            <w:hideMark/>
          </w:tcPr>
          <w:p w14:paraId="26E11BE1"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are assisted with following the instructions online to register or are referred to the helpdesk for technical assistance.  Callers are referred to the statement in the training center that the modules may not be used toward annual in-service training requirements.</w:t>
            </w:r>
          </w:p>
        </w:tc>
        <w:tc>
          <w:tcPr>
            <w:tcW w:w="960" w:type="dxa"/>
            <w:tcBorders>
              <w:top w:val="nil"/>
              <w:left w:val="nil"/>
              <w:bottom w:val="single" w:sz="8" w:space="0" w:color="000000"/>
              <w:right w:val="single" w:sz="8" w:space="0" w:color="000000"/>
            </w:tcBorders>
            <w:shd w:val="clear" w:color="auto" w:fill="auto"/>
            <w:noWrap/>
            <w:vAlign w:val="center"/>
            <w:hideMark/>
          </w:tcPr>
          <w:p w14:paraId="24F75CC2"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01664543" w14:textId="77777777" w:rsidTr="003369B4">
        <w:trPr>
          <w:trHeight w:val="1987"/>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12AE712F"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New Tools</w:t>
            </w:r>
          </w:p>
        </w:tc>
        <w:tc>
          <w:tcPr>
            <w:tcW w:w="640" w:type="dxa"/>
            <w:tcBorders>
              <w:top w:val="nil"/>
              <w:left w:val="nil"/>
              <w:bottom w:val="single" w:sz="8" w:space="0" w:color="000000"/>
              <w:right w:val="single" w:sz="8" w:space="0" w:color="000000"/>
            </w:tcBorders>
            <w:shd w:val="clear" w:color="auto" w:fill="auto"/>
            <w:noWrap/>
            <w:vAlign w:val="center"/>
            <w:hideMark/>
          </w:tcPr>
          <w:p w14:paraId="4938E39A"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10</w:t>
            </w:r>
          </w:p>
        </w:tc>
        <w:tc>
          <w:tcPr>
            <w:tcW w:w="3160" w:type="dxa"/>
            <w:tcBorders>
              <w:top w:val="nil"/>
              <w:left w:val="nil"/>
              <w:bottom w:val="single" w:sz="8" w:space="0" w:color="000000"/>
              <w:right w:val="single" w:sz="8" w:space="0" w:color="000000"/>
            </w:tcBorders>
            <w:shd w:val="clear" w:color="auto" w:fill="auto"/>
            <w:vAlign w:val="center"/>
            <w:hideMark/>
          </w:tcPr>
          <w:p w14:paraId="26806862"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called asking questions regarding the Discovery tools.</w:t>
            </w:r>
          </w:p>
        </w:tc>
        <w:tc>
          <w:tcPr>
            <w:tcW w:w="2920" w:type="dxa"/>
            <w:tcBorders>
              <w:top w:val="nil"/>
              <w:left w:val="nil"/>
              <w:bottom w:val="single" w:sz="8" w:space="0" w:color="000000"/>
              <w:right w:val="single" w:sz="8" w:space="0" w:color="000000"/>
            </w:tcBorders>
            <w:shd w:val="clear" w:color="auto" w:fill="auto"/>
            <w:vAlign w:val="center"/>
            <w:hideMark/>
          </w:tcPr>
          <w:p w14:paraId="27313E7C"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are referred to our website and shown the current tools posted.  Questions regarding the tools were answered, with references to the protocols and the not met reasons.</w:t>
            </w:r>
          </w:p>
        </w:tc>
        <w:tc>
          <w:tcPr>
            <w:tcW w:w="960" w:type="dxa"/>
            <w:tcBorders>
              <w:top w:val="nil"/>
              <w:left w:val="nil"/>
              <w:bottom w:val="single" w:sz="8" w:space="0" w:color="000000"/>
              <w:right w:val="single" w:sz="8" w:space="0" w:color="000000"/>
            </w:tcBorders>
            <w:shd w:val="clear" w:color="auto" w:fill="auto"/>
            <w:noWrap/>
            <w:vAlign w:val="center"/>
            <w:hideMark/>
          </w:tcPr>
          <w:p w14:paraId="2736EE72"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14DC28AB" w14:textId="77777777" w:rsidTr="003369B4">
        <w:trPr>
          <w:trHeight w:val="3310"/>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4B7BD782"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Next Review</w:t>
            </w:r>
          </w:p>
        </w:tc>
        <w:tc>
          <w:tcPr>
            <w:tcW w:w="640" w:type="dxa"/>
            <w:tcBorders>
              <w:top w:val="nil"/>
              <w:left w:val="nil"/>
              <w:bottom w:val="single" w:sz="8" w:space="0" w:color="000000"/>
              <w:right w:val="single" w:sz="8" w:space="0" w:color="000000"/>
            </w:tcBorders>
            <w:shd w:val="clear" w:color="auto" w:fill="auto"/>
            <w:noWrap/>
            <w:vAlign w:val="center"/>
            <w:hideMark/>
          </w:tcPr>
          <w:p w14:paraId="69076A98"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52</w:t>
            </w:r>
          </w:p>
        </w:tc>
        <w:tc>
          <w:tcPr>
            <w:tcW w:w="3160" w:type="dxa"/>
            <w:tcBorders>
              <w:top w:val="nil"/>
              <w:left w:val="nil"/>
              <w:bottom w:val="single" w:sz="8" w:space="0" w:color="000000"/>
              <w:right w:val="single" w:sz="8" w:space="0" w:color="000000"/>
            </w:tcBorders>
            <w:shd w:val="clear" w:color="auto" w:fill="auto"/>
            <w:vAlign w:val="center"/>
            <w:hideMark/>
          </w:tcPr>
          <w:p w14:paraId="5C9142C0"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call asking when their next review will occur.  Some providers called asking for a specific reviewer or to have their review postponed to a future date.</w:t>
            </w:r>
          </w:p>
        </w:tc>
        <w:tc>
          <w:tcPr>
            <w:tcW w:w="2920" w:type="dxa"/>
            <w:tcBorders>
              <w:top w:val="nil"/>
              <w:left w:val="nil"/>
              <w:bottom w:val="single" w:sz="8" w:space="0" w:color="000000"/>
              <w:right w:val="single" w:sz="8" w:space="0" w:color="000000"/>
            </w:tcBorders>
            <w:shd w:val="clear" w:color="auto" w:fill="auto"/>
            <w:vAlign w:val="center"/>
            <w:hideMark/>
          </w:tcPr>
          <w:p w14:paraId="4BBAB16A"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The review process is explained to the providers, including all the factors that are involved in scheduling.  Providers are informed that PDRs are conducted each contract year with those who are eligible. Providers are referred to their 90-day notification letters and advised to wait for the phone call from the reviewer to schedule their review.</w:t>
            </w:r>
          </w:p>
        </w:tc>
        <w:tc>
          <w:tcPr>
            <w:tcW w:w="960" w:type="dxa"/>
            <w:tcBorders>
              <w:top w:val="nil"/>
              <w:left w:val="nil"/>
              <w:bottom w:val="single" w:sz="8" w:space="0" w:color="000000"/>
              <w:right w:val="single" w:sz="8" w:space="0" w:color="000000"/>
            </w:tcBorders>
            <w:shd w:val="clear" w:color="auto" w:fill="auto"/>
            <w:noWrap/>
            <w:vAlign w:val="center"/>
            <w:hideMark/>
          </w:tcPr>
          <w:p w14:paraId="54351E67"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47535050" w14:textId="77777777" w:rsidTr="003369B4">
        <w:trPr>
          <w:trHeight w:val="1870"/>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1ACA8D1C"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 Search Website</w:t>
            </w:r>
          </w:p>
        </w:tc>
        <w:tc>
          <w:tcPr>
            <w:tcW w:w="640" w:type="dxa"/>
            <w:tcBorders>
              <w:top w:val="nil"/>
              <w:left w:val="nil"/>
              <w:bottom w:val="single" w:sz="8" w:space="0" w:color="000000"/>
              <w:right w:val="single" w:sz="8" w:space="0" w:color="000000"/>
            </w:tcBorders>
            <w:shd w:val="clear" w:color="auto" w:fill="auto"/>
            <w:noWrap/>
            <w:vAlign w:val="center"/>
            <w:hideMark/>
          </w:tcPr>
          <w:p w14:paraId="6794380C"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4</w:t>
            </w:r>
          </w:p>
        </w:tc>
        <w:tc>
          <w:tcPr>
            <w:tcW w:w="3160" w:type="dxa"/>
            <w:tcBorders>
              <w:top w:val="nil"/>
              <w:left w:val="nil"/>
              <w:bottom w:val="single" w:sz="8" w:space="0" w:color="000000"/>
              <w:right w:val="single" w:sz="8" w:space="0" w:color="000000"/>
            </w:tcBorders>
            <w:shd w:val="clear" w:color="auto" w:fill="auto"/>
            <w:vAlign w:val="center"/>
            <w:hideMark/>
          </w:tcPr>
          <w:p w14:paraId="3C370C23"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call asking why their names are not on the provider search website or for instructions on becoming listed on the website.</w:t>
            </w:r>
          </w:p>
        </w:tc>
        <w:tc>
          <w:tcPr>
            <w:tcW w:w="2920" w:type="dxa"/>
            <w:tcBorders>
              <w:top w:val="nil"/>
              <w:left w:val="nil"/>
              <w:bottom w:val="single" w:sz="8" w:space="0" w:color="000000"/>
              <w:right w:val="single" w:sz="8" w:space="0" w:color="000000"/>
            </w:tcBorders>
            <w:shd w:val="clear" w:color="auto" w:fill="auto"/>
            <w:vAlign w:val="center"/>
            <w:hideMark/>
          </w:tcPr>
          <w:p w14:paraId="26D96425"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The mechanics of the website are explained to the providers, including that only active (billing) providers rendering services reviewed by Delmarva are captured on this website.</w:t>
            </w:r>
          </w:p>
        </w:tc>
        <w:tc>
          <w:tcPr>
            <w:tcW w:w="960" w:type="dxa"/>
            <w:tcBorders>
              <w:top w:val="nil"/>
              <w:left w:val="nil"/>
              <w:bottom w:val="single" w:sz="8" w:space="0" w:color="000000"/>
              <w:right w:val="single" w:sz="8" w:space="0" w:color="000000"/>
            </w:tcBorders>
            <w:shd w:val="clear" w:color="auto" w:fill="auto"/>
            <w:noWrap/>
            <w:vAlign w:val="center"/>
            <w:hideMark/>
          </w:tcPr>
          <w:p w14:paraId="7CE3B994"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370A4C01" w14:textId="77777777" w:rsidTr="003369B4">
        <w:trPr>
          <w:trHeight w:val="1951"/>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623CD5F7"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lastRenderedPageBreak/>
              <w:t>Question</w:t>
            </w:r>
          </w:p>
        </w:tc>
        <w:tc>
          <w:tcPr>
            <w:tcW w:w="640" w:type="dxa"/>
            <w:tcBorders>
              <w:top w:val="nil"/>
              <w:left w:val="nil"/>
              <w:bottom w:val="single" w:sz="8" w:space="0" w:color="000000"/>
              <w:right w:val="single" w:sz="8" w:space="0" w:color="000000"/>
            </w:tcBorders>
            <w:shd w:val="clear" w:color="auto" w:fill="auto"/>
            <w:noWrap/>
            <w:vAlign w:val="center"/>
            <w:hideMark/>
          </w:tcPr>
          <w:p w14:paraId="52E95AD1"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45</w:t>
            </w:r>
          </w:p>
        </w:tc>
        <w:tc>
          <w:tcPr>
            <w:tcW w:w="3160" w:type="dxa"/>
            <w:tcBorders>
              <w:top w:val="nil"/>
              <w:left w:val="nil"/>
              <w:bottom w:val="single" w:sz="8" w:space="0" w:color="000000"/>
              <w:right w:val="single" w:sz="8" w:space="0" w:color="000000"/>
            </w:tcBorders>
            <w:shd w:val="clear" w:color="auto" w:fill="auto"/>
            <w:vAlign w:val="center"/>
            <w:hideMark/>
          </w:tcPr>
          <w:p w14:paraId="5D4DE7F4"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and APD staff call with questions regarding documentation or qualification requirements; for assistance accessing resources on our website; for explanations of the review processes.</w:t>
            </w:r>
          </w:p>
        </w:tc>
        <w:tc>
          <w:tcPr>
            <w:tcW w:w="2920" w:type="dxa"/>
            <w:tcBorders>
              <w:top w:val="nil"/>
              <w:left w:val="nil"/>
              <w:bottom w:val="single" w:sz="8" w:space="0" w:color="000000"/>
              <w:right w:val="single" w:sz="8" w:space="0" w:color="000000"/>
            </w:tcBorders>
            <w:shd w:val="clear" w:color="auto" w:fill="auto"/>
            <w:vAlign w:val="center"/>
            <w:hideMark/>
          </w:tcPr>
          <w:p w14:paraId="10C8684A"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Questions are answered with references to appropriate documents or entities.</w:t>
            </w:r>
          </w:p>
        </w:tc>
        <w:tc>
          <w:tcPr>
            <w:tcW w:w="960" w:type="dxa"/>
            <w:tcBorders>
              <w:top w:val="nil"/>
              <w:left w:val="nil"/>
              <w:bottom w:val="single" w:sz="8" w:space="0" w:color="000000"/>
              <w:right w:val="single" w:sz="8" w:space="0" w:color="000000"/>
            </w:tcBorders>
            <w:shd w:val="clear" w:color="auto" w:fill="auto"/>
            <w:noWrap/>
            <w:vAlign w:val="center"/>
            <w:hideMark/>
          </w:tcPr>
          <w:p w14:paraId="7355A0E4"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04009E0A" w14:textId="77777777" w:rsidTr="003369B4">
        <w:trPr>
          <w:trHeight w:val="2797"/>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2112A1E6"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Reconsideration</w:t>
            </w:r>
          </w:p>
        </w:tc>
        <w:tc>
          <w:tcPr>
            <w:tcW w:w="640" w:type="dxa"/>
            <w:tcBorders>
              <w:top w:val="nil"/>
              <w:left w:val="nil"/>
              <w:bottom w:val="single" w:sz="8" w:space="0" w:color="000000"/>
              <w:right w:val="single" w:sz="8" w:space="0" w:color="000000"/>
            </w:tcBorders>
            <w:shd w:val="clear" w:color="auto" w:fill="auto"/>
            <w:noWrap/>
            <w:vAlign w:val="center"/>
            <w:hideMark/>
          </w:tcPr>
          <w:p w14:paraId="62D9BEBB"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7</w:t>
            </w:r>
          </w:p>
        </w:tc>
        <w:tc>
          <w:tcPr>
            <w:tcW w:w="3160" w:type="dxa"/>
            <w:tcBorders>
              <w:top w:val="nil"/>
              <w:left w:val="nil"/>
              <w:bottom w:val="single" w:sz="8" w:space="0" w:color="000000"/>
              <w:right w:val="single" w:sz="8" w:space="0" w:color="000000"/>
            </w:tcBorders>
            <w:shd w:val="clear" w:color="auto" w:fill="auto"/>
            <w:vAlign w:val="center"/>
            <w:hideMark/>
          </w:tcPr>
          <w:p w14:paraId="56770564"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 xml:space="preserve">Providers called asking for clarification on the process to submit a request for reconsideration or inquiring as to the status of a request already submitted.  </w:t>
            </w:r>
          </w:p>
        </w:tc>
        <w:tc>
          <w:tcPr>
            <w:tcW w:w="2920" w:type="dxa"/>
            <w:tcBorders>
              <w:top w:val="nil"/>
              <w:left w:val="nil"/>
              <w:bottom w:val="single" w:sz="8" w:space="0" w:color="000000"/>
              <w:right w:val="single" w:sz="8" w:space="0" w:color="000000"/>
            </w:tcBorders>
            <w:shd w:val="clear" w:color="auto" w:fill="auto"/>
            <w:vAlign w:val="center"/>
            <w:hideMark/>
          </w:tcPr>
          <w:p w14:paraId="2F16B807"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The reconsideration process is explained to provider, including reference to our Operational Policies and Procedures and their report cover letters; reconsiderations submitted are researched and providers are given an expected delivery date.</w:t>
            </w:r>
          </w:p>
        </w:tc>
        <w:tc>
          <w:tcPr>
            <w:tcW w:w="960" w:type="dxa"/>
            <w:tcBorders>
              <w:top w:val="nil"/>
              <w:left w:val="nil"/>
              <w:bottom w:val="single" w:sz="8" w:space="0" w:color="000000"/>
              <w:right w:val="single" w:sz="8" w:space="0" w:color="000000"/>
            </w:tcBorders>
            <w:shd w:val="clear" w:color="auto" w:fill="auto"/>
            <w:noWrap/>
            <w:vAlign w:val="center"/>
            <w:hideMark/>
          </w:tcPr>
          <w:p w14:paraId="159EB133"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64EF270D" w14:textId="77777777" w:rsidTr="003369B4">
        <w:trPr>
          <w:trHeight w:val="727"/>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26BB9510"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Records</w:t>
            </w:r>
          </w:p>
        </w:tc>
        <w:tc>
          <w:tcPr>
            <w:tcW w:w="640" w:type="dxa"/>
            <w:tcBorders>
              <w:top w:val="nil"/>
              <w:left w:val="nil"/>
              <w:bottom w:val="single" w:sz="8" w:space="0" w:color="000000"/>
              <w:right w:val="single" w:sz="8" w:space="0" w:color="000000"/>
            </w:tcBorders>
            <w:shd w:val="clear" w:color="auto" w:fill="auto"/>
            <w:noWrap/>
            <w:vAlign w:val="center"/>
            <w:hideMark/>
          </w:tcPr>
          <w:p w14:paraId="05525FD5"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w:t>
            </w:r>
          </w:p>
        </w:tc>
        <w:tc>
          <w:tcPr>
            <w:tcW w:w="3160" w:type="dxa"/>
            <w:tcBorders>
              <w:top w:val="nil"/>
              <w:left w:val="nil"/>
              <w:bottom w:val="single" w:sz="8" w:space="0" w:color="000000"/>
              <w:right w:val="single" w:sz="8" w:space="0" w:color="000000"/>
            </w:tcBorders>
            <w:shd w:val="clear" w:color="auto" w:fill="auto"/>
            <w:vAlign w:val="center"/>
            <w:hideMark/>
          </w:tcPr>
          <w:p w14:paraId="443319C3"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Medical office called regarding a medical record request.</w:t>
            </w:r>
          </w:p>
        </w:tc>
        <w:tc>
          <w:tcPr>
            <w:tcW w:w="2920" w:type="dxa"/>
            <w:tcBorders>
              <w:top w:val="nil"/>
              <w:left w:val="nil"/>
              <w:bottom w:val="single" w:sz="8" w:space="0" w:color="000000"/>
              <w:right w:val="single" w:sz="8" w:space="0" w:color="000000"/>
            </w:tcBorders>
            <w:shd w:val="clear" w:color="auto" w:fill="auto"/>
            <w:vAlign w:val="center"/>
            <w:hideMark/>
          </w:tcPr>
          <w:p w14:paraId="77702E32"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Question was answered</w:t>
            </w:r>
          </w:p>
        </w:tc>
        <w:tc>
          <w:tcPr>
            <w:tcW w:w="960" w:type="dxa"/>
            <w:tcBorders>
              <w:top w:val="nil"/>
              <w:left w:val="nil"/>
              <w:bottom w:val="single" w:sz="8" w:space="0" w:color="000000"/>
              <w:right w:val="single" w:sz="8" w:space="0" w:color="000000"/>
            </w:tcBorders>
            <w:shd w:val="clear" w:color="auto" w:fill="auto"/>
            <w:noWrap/>
            <w:vAlign w:val="center"/>
            <w:hideMark/>
          </w:tcPr>
          <w:p w14:paraId="25A924A2"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4D33616B" w14:textId="77777777" w:rsidTr="003369B4">
        <w:trPr>
          <w:trHeight w:val="1420"/>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45BA1383"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 xml:space="preserve">Recoupment </w:t>
            </w:r>
          </w:p>
        </w:tc>
        <w:tc>
          <w:tcPr>
            <w:tcW w:w="640" w:type="dxa"/>
            <w:tcBorders>
              <w:top w:val="nil"/>
              <w:left w:val="nil"/>
              <w:bottom w:val="single" w:sz="8" w:space="0" w:color="000000"/>
              <w:right w:val="single" w:sz="8" w:space="0" w:color="000000"/>
            </w:tcBorders>
            <w:shd w:val="clear" w:color="auto" w:fill="auto"/>
            <w:noWrap/>
            <w:vAlign w:val="center"/>
            <w:hideMark/>
          </w:tcPr>
          <w:p w14:paraId="0E8B50C0"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2</w:t>
            </w:r>
          </w:p>
        </w:tc>
        <w:tc>
          <w:tcPr>
            <w:tcW w:w="3160" w:type="dxa"/>
            <w:tcBorders>
              <w:top w:val="nil"/>
              <w:left w:val="nil"/>
              <w:bottom w:val="single" w:sz="8" w:space="0" w:color="000000"/>
              <w:right w:val="single" w:sz="8" w:space="0" w:color="000000"/>
            </w:tcBorders>
            <w:shd w:val="clear" w:color="auto" w:fill="auto"/>
            <w:vAlign w:val="center"/>
            <w:hideMark/>
          </w:tcPr>
          <w:p w14:paraId="11A58628"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called with questions about how to repay money identified as billing discrepancy in their quality assurance review report.</w:t>
            </w:r>
          </w:p>
        </w:tc>
        <w:tc>
          <w:tcPr>
            <w:tcW w:w="2920" w:type="dxa"/>
            <w:tcBorders>
              <w:top w:val="nil"/>
              <w:left w:val="nil"/>
              <w:bottom w:val="single" w:sz="8" w:space="0" w:color="000000"/>
              <w:right w:val="single" w:sz="8" w:space="0" w:color="000000"/>
            </w:tcBorders>
            <w:shd w:val="clear" w:color="auto" w:fill="auto"/>
            <w:vAlign w:val="center"/>
            <w:hideMark/>
          </w:tcPr>
          <w:p w14:paraId="16186D0C"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were referred to Tammy Brannon at AHCA.</w:t>
            </w:r>
          </w:p>
        </w:tc>
        <w:tc>
          <w:tcPr>
            <w:tcW w:w="960" w:type="dxa"/>
            <w:tcBorders>
              <w:top w:val="nil"/>
              <w:left w:val="nil"/>
              <w:bottom w:val="single" w:sz="8" w:space="0" w:color="000000"/>
              <w:right w:val="single" w:sz="8" w:space="0" w:color="000000"/>
            </w:tcBorders>
            <w:shd w:val="clear" w:color="auto" w:fill="auto"/>
            <w:noWrap/>
            <w:vAlign w:val="center"/>
            <w:hideMark/>
          </w:tcPr>
          <w:p w14:paraId="421C27E5"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12370682" w14:textId="77777777" w:rsidTr="003369B4">
        <w:trPr>
          <w:trHeight w:val="1060"/>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472D2EEC"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Report Requested</w:t>
            </w:r>
          </w:p>
        </w:tc>
        <w:tc>
          <w:tcPr>
            <w:tcW w:w="640" w:type="dxa"/>
            <w:tcBorders>
              <w:top w:val="nil"/>
              <w:left w:val="nil"/>
              <w:bottom w:val="single" w:sz="8" w:space="0" w:color="000000"/>
              <w:right w:val="single" w:sz="8" w:space="0" w:color="000000"/>
            </w:tcBorders>
            <w:shd w:val="clear" w:color="auto" w:fill="auto"/>
            <w:noWrap/>
            <w:vAlign w:val="center"/>
            <w:hideMark/>
          </w:tcPr>
          <w:p w14:paraId="2B6DE08A"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8</w:t>
            </w:r>
          </w:p>
        </w:tc>
        <w:tc>
          <w:tcPr>
            <w:tcW w:w="3160" w:type="dxa"/>
            <w:tcBorders>
              <w:top w:val="nil"/>
              <w:left w:val="nil"/>
              <w:bottom w:val="single" w:sz="8" w:space="0" w:color="000000"/>
              <w:right w:val="single" w:sz="8" w:space="0" w:color="000000"/>
            </w:tcBorders>
            <w:shd w:val="clear" w:color="auto" w:fill="auto"/>
            <w:vAlign w:val="center"/>
            <w:hideMark/>
          </w:tcPr>
          <w:p w14:paraId="314BC894"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call or email requesting their report be re-sent to them.</w:t>
            </w:r>
          </w:p>
        </w:tc>
        <w:tc>
          <w:tcPr>
            <w:tcW w:w="2920" w:type="dxa"/>
            <w:tcBorders>
              <w:top w:val="nil"/>
              <w:left w:val="nil"/>
              <w:bottom w:val="single" w:sz="8" w:space="0" w:color="000000"/>
              <w:right w:val="single" w:sz="8" w:space="0" w:color="000000"/>
            </w:tcBorders>
            <w:shd w:val="clear" w:color="auto" w:fill="auto"/>
            <w:vAlign w:val="center"/>
            <w:hideMark/>
          </w:tcPr>
          <w:p w14:paraId="435AA351"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Reports are re-sent with address confirmation and providers are advised of same.</w:t>
            </w:r>
          </w:p>
        </w:tc>
        <w:tc>
          <w:tcPr>
            <w:tcW w:w="960" w:type="dxa"/>
            <w:tcBorders>
              <w:top w:val="nil"/>
              <w:left w:val="nil"/>
              <w:bottom w:val="single" w:sz="8" w:space="0" w:color="000000"/>
              <w:right w:val="single" w:sz="8" w:space="0" w:color="000000"/>
            </w:tcBorders>
            <w:shd w:val="clear" w:color="auto" w:fill="auto"/>
            <w:noWrap/>
            <w:vAlign w:val="center"/>
            <w:hideMark/>
          </w:tcPr>
          <w:p w14:paraId="07383432"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049DC611" w14:textId="77777777" w:rsidTr="003369B4">
        <w:trPr>
          <w:trHeight w:val="1215"/>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6401605F"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Review Reports</w:t>
            </w:r>
          </w:p>
        </w:tc>
        <w:tc>
          <w:tcPr>
            <w:tcW w:w="640" w:type="dxa"/>
            <w:tcBorders>
              <w:top w:val="nil"/>
              <w:left w:val="nil"/>
              <w:bottom w:val="single" w:sz="8" w:space="0" w:color="000000"/>
              <w:right w:val="single" w:sz="8" w:space="0" w:color="000000"/>
            </w:tcBorders>
            <w:shd w:val="clear" w:color="auto" w:fill="auto"/>
            <w:noWrap/>
            <w:vAlign w:val="center"/>
            <w:hideMark/>
          </w:tcPr>
          <w:p w14:paraId="23DB10BA"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21</w:t>
            </w:r>
          </w:p>
        </w:tc>
        <w:tc>
          <w:tcPr>
            <w:tcW w:w="3160" w:type="dxa"/>
            <w:tcBorders>
              <w:top w:val="nil"/>
              <w:left w:val="nil"/>
              <w:bottom w:val="single" w:sz="8" w:space="0" w:color="000000"/>
              <w:right w:val="single" w:sz="8" w:space="0" w:color="000000"/>
            </w:tcBorders>
            <w:shd w:val="clear" w:color="auto" w:fill="auto"/>
            <w:vAlign w:val="center"/>
            <w:hideMark/>
          </w:tcPr>
          <w:p w14:paraId="261D7ED9"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called asking for an explanation of their reports.</w:t>
            </w:r>
          </w:p>
        </w:tc>
        <w:tc>
          <w:tcPr>
            <w:tcW w:w="2920" w:type="dxa"/>
            <w:tcBorders>
              <w:top w:val="nil"/>
              <w:left w:val="nil"/>
              <w:bottom w:val="single" w:sz="8" w:space="0" w:color="000000"/>
              <w:right w:val="single" w:sz="8" w:space="0" w:color="000000"/>
            </w:tcBorders>
            <w:shd w:val="clear" w:color="auto" w:fill="auto"/>
            <w:vAlign w:val="center"/>
            <w:hideMark/>
          </w:tcPr>
          <w:p w14:paraId="5498050D"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Reports are explained; providers are referred to their local APD office for technical assistance.</w:t>
            </w:r>
          </w:p>
        </w:tc>
        <w:tc>
          <w:tcPr>
            <w:tcW w:w="960" w:type="dxa"/>
            <w:tcBorders>
              <w:top w:val="nil"/>
              <w:left w:val="nil"/>
              <w:bottom w:val="single" w:sz="8" w:space="0" w:color="000000"/>
              <w:right w:val="single" w:sz="8" w:space="0" w:color="000000"/>
            </w:tcBorders>
            <w:shd w:val="clear" w:color="auto" w:fill="auto"/>
            <w:noWrap/>
            <w:vAlign w:val="center"/>
            <w:hideMark/>
          </w:tcPr>
          <w:p w14:paraId="6706A2BB"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6B5425E9" w14:textId="77777777" w:rsidTr="003369B4">
        <w:trPr>
          <w:trHeight w:val="915"/>
        </w:trPr>
        <w:tc>
          <w:tcPr>
            <w:tcW w:w="18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C41D65"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Training</w:t>
            </w:r>
          </w:p>
        </w:tc>
        <w:tc>
          <w:tcPr>
            <w:tcW w:w="640" w:type="dxa"/>
            <w:tcBorders>
              <w:top w:val="single" w:sz="8" w:space="0" w:color="000000"/>
              <w:left w:val="nil"/>
              <w:bottom w:val="single" w:sz="8" w:space="0" w:color="000000"/>
              <w:right w:val="single" w:sz="8" w:space="0" w:color="000000"/>
            </w:tcBorders>
            <w:shd w:val="clear" w:color="auto" w:fill="auto"/>
            <w:noWrap/>
            <w:vAlign w:val="center"/>
            <w:hideMark/>
          </w:tcPr>
          <w:p w14:paraId="05A86D68" w14:textId="77777777" w:rsidR="003369B4" w:rsidRPr="003369B4" w:rsidRDefault="003369B4" w:rsidP="003369B4">
            <w:pPr>
              <w:spacing w:line="240" w:lineRule="auto"/>
              <w:jc w:val="right"/>
              <w:rPr>
                <w:rFonts w:ascii="Calibri" w:eastAsia="Times New Roman" w:hAnsi="Calibri" w:cs="Times New Roman"/>
                <w:color w:val="000000"/>
                <w:sz w:val="22"/>
              </w:rPr>
            </w:pPr>
            <w:r w:rsidRPr="003369B4">
              <w:rPr>
                <w:rFonts w:ascii="Calibri" w:eastAsia="Times New Roman" w:hAnsi="Calibri" w:cs="Times New Roman"/>
                <w:color w:val="000000"/>
                <w:sz w:val="22"/>
              </w:rPr>
              <w:t>48</w:t>
            </w:r>
          </w:p>
        </w:tc>
        <w:tc>
          <w:tcPr>
            <w:tcW w:w="3160" w:type="dxa"/>
            <w:tcBorders>
              <w:top w:val="single" w:sz="8" w:space="0" w:color="000000"/>
              <w:left w:val="nil"/>
              <w:bottom w:val="single" w:sz="8" w:space="0" w:color="000000"/>
              <w:right w:val="single" w:sz="8" w:space="0" w:color="000000"/>
            </w:tcBorders>
            <w:shd w:val="clear" w:color="auto" w:fill="auto"/>
            <w:vAlign w:val="center"/>
            <w:hideMark/>
          </w:tcPr>
          <w:p w14:paraId="2979EDB9"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Providers and provider consultants call asking about training requirements.</w:t>
            </w:r>
          </w:p>
        </w:tc>
        <w:tc>
          <w:tcPr>
            <w:tcW w:w="2920" w:type="dxa"/>
            <w:tcBorders>
              <w:top w:val="single" w:sz="8" w:space="0" w:color="000000"/>
              <w:left w:val="nil"/>
              <w:bottom w:val="single" w:sz="8" w:space="0" w:color="000000"/>
              <w:right w:val="single" w:sz="8" w:space="0" w:color="000000"/>
            </w:tcBorders>
            <w:shd w:val="clear" w:color="auto" w:fill="auto"/>
            <w:vAlign w:val="center"/>
            <w:hideMark/>
          </w:tcPr>
          <w:p w14:paraId="45A19BDD"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Training requirements are explained, including reference to the Handbook.</w:t>
            </w:r>
          </w:p>
        </w:tc>
        <w:tc>
          <w:tcPr>
            <w:tcW w:w="960" w:type="dxa"/>
            <w:tcBorders>
              <w:top w:val="single" w:sz="8" w:space="0" w:color="000000"/>
              <w:left w:val="nil"/>
              <w:bottom w:val="single" w:sz="8" w:space="0" w:color="000000"/>
              <w:right w:val="single" w:sz="8" w:space="0" w:color="000000"/>
            </w:tcBorders>
            <w:shd w:val="clear" w:color="auto" w:fill="auto"/>
            <w:noWrap/>
            <w:vAlign w:val="center"/>
            <w:hideMark/>
          </w:tcPr>
          <w:p w14:paraId="63E535F7"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57AF1396" w14:textId="77777777" w:rsidTr="003369B4">
        <w:trPr>
          <w:trHeight w:val="1515"/>
        </w:trPr>
        <w:tc>
          <w:tcPr>
            <w:tcW w:w="188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63F4C0A"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Miscellaneous/ Other</w:t>
            </w:r>
          </w:p>
        </w:tc>
        <w:tc>
          <w:tcPr>
            <w:tcW w:w="640" w:type="dxa"/>
            <w:tcBorders>
              <w:top w:val="single" w:sz="8" w:space="0" w:color="000000"/>
              <w:left w:val="nil"/>
              <w:bottom w:val="single" w:sz="8" w:space="0" w:color="000000"/>
              <w:right w:val="single" w:sz="8" w:space="0" w:color="000000"/>
            </w:tcBorders>
            <w:shd w:val="clear" w:color="auto" w:fill="auto"/>
            <w:noWrap/>
            <w:vAlign w:val="center"/>
            <w:hideMark/>
          </w:tcPr>
          <w:p w14:paraId="1554E0CB"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16</w:t>
            </w:r>
          </w:p>
        </w:tc>
        <w:tc>
          <w:tcPr>
            <w:tcW w:w="3160" w:type="dxa"/>
            <w:tcBorders>
              <w:top w:val="single" w:sz="8" w:space="0" w:color="000000"/>
              <w:left w:val="nil"/>
              <w:bottom w:val="single" w:sz="8" w:space="0" w:color="000000"/>
              <w:right w:val="single" w:sz="8" w:space="0" w:color="000000"/>
            </w:tcBorders>
            <w:shd w:val="clear" w:color="auto" w:fill="auto"/>
            <w:vAlign w:val="center"/>
            <w:hideMark/>
          </w:tcPr>
          <w:p w14:paraId="74409852"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Family stakeholders and providers called with requests unrelated to our process, e.g. how to access services in other states.</w:t>
            </w:r>
          </w:p>
        </w:tc>
        <w:tc>
          <w:tcPr>
            <w:tcW w:w="2920" w:type="dxa"/>
            <w:tcBorders>
              <w:top w:val="single" w:sz="8" w:space="0" w:color="000000"/>
              <w:left w:val="nil"/>
              <w:bottom w:val="single" w:sz="8" w:space="0" w:color="000000"/>
              <w:right w:val="single" w:sz="8" w:space="0" w:color="000000"/>
            </w:tcBorders>
            <w:shd w:val="clear" w:color="auto" w:fill="auto"/>
            <w:vAlign w:val="center"/>
            <w:hideMark/>
          </w:tcPr>
          <w:p w14:paraId="6D20740D"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All questions were answered.  Where appropriate, callers are referred to APD.</w:t>
            </w:r>
          </w:p>
        </w:tc>
        <w:tc>
          <w:tcPr>
            <w:tcW w:w="960" w:type="dxa"/>
            <w:tcBorders>
              <w:top w:val="single" w:sz="8" w:space="0" w:color="000000"/>
              <w:left w:val="nil"/>
              <w:bottom w:val="single" w:sz="8" w:space="0" w:color="000000"/>
              <w:right w:val="single" w:sz="8" w:space="0" w:color="000000"/>
            </w:tcBorders>
            <w:shd w:val="clear" w:color="auto" w:fill="auto"/>
            <w:noWrap/>
            <w:vAlign w:val="center"/>
            <w:hideMark/>
          </w:tcPr>
          <w:p w14:paraId="11111714" w14:textId="77777777" w:rsidR="003369B4" w:rsidRPr="003369B4" w:rsidRDefault="003369B4" w:rsidP="003369B4">
            <w:pPr>
              <w:spacing w:line="240" w:lineRule="auto"/>
              <w:jc w:val="center"/>
              <w:rPr>
                <w:rFonts w:ascii="Calibri" w:eastAsia="Times New Roman" w:hAnsi="Calibri" w:cs="Times New Roman"/>
                <w:color w:val="000000"/>
                <w:sz w:val="22"/>
              </w:rPr>
            </w:pPr>
            <w:r w:rsidRPr="003369B4">
              <w:rPr>
                <w:rFonts w:ascii="Calibri" w:eastAsia="Times New Roman" w:hAnsi="Calibri" w:cs="Times New Roman"/>
                <w:color w:val="000000"/>
                <w:sz w:val="22"/>
              </w:rPr>
              <w:t>1 day</w:t>
            </w:r>
          </w:p>
        </w:tc>
      </w:tr>
      <w:tr w:rsidR="003369B4" w:rsidRPr="003369B4" w14:paraId="74B105F0" w14:textId="77777777" w:rsidTr="003369B4">
        <w:trPr>
          <w:trHeight w:val="615"/>
        </w:trPr>
        <w:tc>
          <w:tcPr>
            <w:tcW w:w="1880" w:type="dxa"/>
            <w:tcBorders>
              <w:top w:val="nil"/>
              <w:left w:val="single" w:sz="8" w:space="0" w:color="000000"/>
              <w:bottom w:val="single" w:sz="8" w:space="0" w:color="000000"/>
              <w:right w:val="single" w:sz="8" w:space="0" w:color="000000"/>
            </w:tcBorders>
            <w:shd w:val="clear" w:color="auto" w:fill="auto"/>
            <w:vAlign w:val="center"/>
            <w:hideMark/>
          </w:tcPr>
          <w:p w14:paraId="728F399B" w14:textId="77777777" w:rsidR="003369B4" w:rsidRPr="003369B4" w:rsidRDefault="003369B4" w:rsidP="003369B4">
            <w:pPr>
              <w:spacing w:line="240" w:lineRule="auto"/>
              <w:rPr>
                <w:rFonts w:ascii="Calibri" w:eastAsia="Times New Roman" w:hAnsi="Calibri" w:cs="Times New Roman"/>
                <w:b/>
                <w:bCs/>
                <w:color w:val="000000"/>
                <w:sz w:val="22"/>
              </w:rPr>
            </w:pPr>
            <w:r w:rsidRPr="003369B4">
              <w:rPr>
                <w:rFonts w:ascii="Calibri" w:eastAsia="Times New Roman" w:hAnsi="Calibri" w:cs="Times New Roman"/>
                <w:b/>
                <w:bCs/>
                <w:color w:val="000000"/>
                <w:sz w:val="22"/>
              </w:rPr>
              <w:t>Total Number of Calls</w:t>
            </w:r>
          </w:p>
        </w:tc>
        <w:tc>
          <w:tcPr>
            <w:tcW w:w="640" w:type="dxa"/>
            <w:tcBorders>
              <w:top w:val="nil"/>
              <w:left w:val="nil"/>
              <w:bottom w:val="single" w:sz="8" w:space="0" w:color="000000"/>
              <w:right w:val="single" w:sz="8" w:space="0" w:color="000000"/>
            </w:tcBorders>
            <w:shd w:val="clear" w:color="auto" w:fill="auto"/>
            <w:noWrap/>
            <w:vAlign w:val="center"/>
            <w:hideMark/>
          </w:tcPr>
          <w:p w14:paraId="7BA1E086" w14:textId="77777777" w:rsidR="003369B4" w:rsidRPr="003369B4" w:rsidRDefault="003369B4" w:rsidP="003369B4">
            <w:pPr>
              <w:spacing w:line="240" w:lineRule="auto"/>
              <w:jc w:val="center"/>
              <w:rPr>
                <w:rFonts w:ascii="Calibri" w:eastAsia="Times New Roman" w:hAnsi="Calibri" w:cs="Times New Roman"/>
                <w:b/>
                <w:bCs/>
                <w:color w:val="000000"/>
                <w:sz w:val="22"/>
              </w:rPr>
            </w:pPr>
            <w:r w:rsidRPr="003369B4">
              <w:rPr>
                <w:rFonts w:ascii="Calibri" w:eastAsia="Times New Roman" w:hAnsi="Calibri" w:cs="Times New Roman"/>
                <w:b/>
                <w:bCs/>
                <w:color w:val="000000"/>
                <w:sz w:val="22"/>
              </w:rPr>
              <w:t>321</w:t>
            </w:r>
          </w:p>
        </w:tc>
        <w:tc>
          <w:tcPr>
            <w:tcW w:w="3160" w:type="dxa"/>
            <w:tcBorders>
              <w:top w:val="nil"/>
              <w:left w:val="nil"/>
              <w:bottom w:val="single" w:sz="8" w:space="0" w:color="000000"/>
              <w:right w:val="single" w:sz="8" w:space="0" w:color="000000"/>
            </w:tcBorders>
            <w:shd w:val="clear" w:color="auto" w:fill="auto"/>
            <w:noWrap/>
            <w:vAlign w:val="center"/>
            <w:hideMark/>
          </w:tcPr>
          <w:p w14:paraId="0C2F6035"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 </w:t>
            </w:r>
          </w:p>
        </w:tc>
        <w:tc>
          <w:tcPr>
            <w:tcW w:w="2920" w:type="dxa"/>
            <w:tcBorders>
              <w:top w:val="nil"/>
              <w:left w:val="nil"/>
              <w:bottom w:val="single" w:sz="8" w:space="0" w:color="000000"/>
              <w:right w:val="single" w:sz="8" w:space="0" w:color="000000"/>
            </w:tcBorders>
            <w:shd w:val="clear" w:color="auto" w:fill="auto"/>
            <w:noWrap/>
            <w:vAlign w:val="center"/>
            <w:hideMark/>
          </w:tcPr>
          <w:p w14:paraId="108A778C" w14:textId="77777777" w:rsidR="003369B4" w:rsidRPr="003369B4" w:rsidRDefault="003369B4" w:rsidP="003369B4">
            <w:pPr>
              <w:spacing w:line="240" w:lineRule="auto"/>
              <w:rPr>
                <w:rFonts w:ascii="Calibri" w:eastAsia="Times New Roman" w:hAnsi="Calibri" w:cs="Times New Roman"/>
                <w:color w:val="000000"/>
                <w:sz w:val="22"/>
              </w:rPr>
            </w:pPr>
            <w:r w:rsidRPr="003369B4">
              <w:rPr>
                <w:rFonts w:ascii="Calibri" w:eastAsia="Times New Roman" w:hAnsi="Calibri" w:cs="Times New Roman"/>
                <w:color w:val="000000"/>
                <w:sz w:val="22"/>
              </w:rPr>
              <w:t> </w:t>
            </w:r>
          </w:p>
        </w:tc>
        <w:tc>
          <w:tcPr>
            <w:tcW w:w="960" w:type="dxa"/>
            <w:tcBorders>
              <w:top w:val="nil"/>
              <w:left w:val="nil"/>
              <w:bottom w:val="single" w:sz="8" w:space="0" w:color="000000"/>
              <w:right w:val="single" w:sz="8" w:space="0" w:color="000000"/>
            </w:tcBorders>
            <w:shd w:val="clear" w:color="auto" w:fill="auto"/>
            <w:noWrap/>
            <w:vAlign w:val="center"/>
            <w:hideMark/>
          </w:tcPr>
          <w:p w14:paraId="2B18E25E" w14:textId="77777777" w:rsidR="003369B4" w:rsidRPr="003369B4" w:rsidRDefault="003369B4" w:rsidP="003369B4">
            <w:pPr>
              <w:spacing w:line="240" w:lineRule="auto"/>
              <w:rPr>
                <w:rFonts w:eastAsia="Times New Roman" w:cs="Times New Roman"/>
                <w:color w:val="000000"/>
                <w:sz w:val="22"/>
              </w:rPr>
            </w:pPr>
            <w:r w:rsidRPr="003369B4">
              <w:rPr>
                <w:rFonts w:eastAsia="Times New Roman" w:cs="Times New Roman"/>
                <w:color w:val="000000"/>
                <w:sz w:val="22"/>
              </w:rPr>
              <w:t> </w:t>
            </w:r>
          </w:p>
        </w:tc>
      </w:tr>
    </w:tbl>
    <w:p w14:paraId="7154C0C7" w14:textId="4B7FE67C" w:rsidR="0052101B" w:rsidRDefault="0052101B">
      <w:pPr>
        <w:spacing w:line="240" w:lineRule="auto"/>
      </w:pPr>
    </w:p>
    <w:p w14:paraId="38C10708" w14:textId="0D36ED50" w:rsidR="0052101B" w:rsidRDefault="0052101B">
      <w:pPr>
        <w:spacing w:line="240" w:lineRule="auto"/>
      </w:pPr>
    </w:p>
    <w:sectPr w:rsidR="0052101B" w:rsidSect="004F02BD">
      <w:headerReference w:type="default" r:id="rId68"/>
      <w:footerReference w:type="default" r:id="rId69"/>
      <w:pgSz w:w="12240" w:h="15840" w:code="1"/>
      <w:pgMar w:top="1440" w:right="1440" w:bottom="1440" w:left="1440" w:header="720" w:footer="5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CCDEA8" w14:textId="77777777" w:rsidR="00460E0B" w:rsidRDefault="00460E0B" w:rsidP="00965E0E">
      <w:pPr>
        <w:spacing w:line="240" w:lineRule="auto"/>
      </w:pPr>
      <w:r>
        <w:separator/>
      </w:r>
    </w:p>
  </w:endnote>
  <w:endnote w:type="continuationSeparator" w:id="0">
    <w:p w14:paraId="243AE665" w14:textId="77777777" w:rsidR="00460E0B" w:rsidRDefault="00460E0B" w:rsidP="00965E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MS Sans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4C331" w14:textId="03A07068" w:rsidR="00460E0B" w:rsidRPr="006B0228" w:rsidRDefault="00460E0B">
    <w:pPr>
      <w:pStyle w:val="Footer"/>
      <w:rPr>
        <w:rFonts w:ascii="Franklin Gothic Medium" w:hAnsi="Franklin Gothic Medium"/>
        <w:color w:val="632423" w:themeColor="accent2" w:themeShade="80"/>
        <w:sz w:val="20"/>
        <w:szCs w:val="20"/>
      </w:rPr>
    </w:pPr>
    <w:r>
      <w:rPr>
        <w:rFonts w:ascii="Franklin Gothic Medium" w:hAnsi="Franklin Gothic Medium"/>
        <w:color w:val="632423" w:themeColor="accent2" w:themeShade="80"/>
        <w:sz w:val="20"/>
        <w:szCs w:val="20"/>
      </w:rPr>
      <w:t>Delmarva Foundation</w:t>
    </w:r>
    <w:r>
      <w:rPr>
        <w:rFonts w:ascii="Franklin Gothic Medium" w:hAnsi="Franklin Gothic Medium"/>
        <w:color w:val="632423" w:themeColor="accent2" w:themeShade="80"/>
        <w:sz w:val="20"/>
        <w:szCs w:val="20"/>
      </w:rPr>
      <w:tab/>
    </w:r>
    <w:r w:rsidRPr="00A33CA8">
      <w:rPr>
        <w:rFonts w:ascii="Franklin Gothic Medium" w:hAnsi="Franklin Gothic Medium"/>
        <w:color w:val="632423" w:themeColor="accent2" w:themeShade="80"/>
        <w:sz w:val="20"/>
        <w:szCs w:val="20"/>
      </w:rPr>
      <w:t>Submitted August 15, 2016</w:t>
    </w:r>
    <w:r w:rsidRPr="006B0228">
      <w:rPr>
        <w:rFonts w:ascii="Franklin Gothic Medium" w:hAnsi="Franklin Gothic Medium"/>
        <w:color w:val="632423" w:themeColor="accent2" w:themeShade="80"/>
        <w:sz w:val="20"/>
        <w:szCs w:val="20"/>
      </w:rPr>
      <w:tab/>
    </w:r>
    <w:sdt>
      <w:sdtPr>
        <w:rPr>
          <w:rFonts w:ascii="Franklin Gothic Medium" w:hAnsi="Franklin Gothic Medium"/>
          <w:sz w:val="20"/>
          <w:szCs w:val="20"/>
        </w:rPr>
        <w:id w:val="105725644"/>
        <w:docPartObj>
          <w:docPartGallery w:val="Page Numbers (Bottom of Page)"/>
          <w:docPartUnique/>
        </w:docPartObj>
      </w:sdtPr>
      <w:sdtEndPr/>
      <w:sdtContent>
        <w:r w:rsidRPr="006B0228">
          <w:rPr>
            <w:rFonts w:ascii="Franklin Gothic Medium" w:hAnsi="Franklin Gothic Medium"/>
            <w:color w:val="632423" w:themeColor="accent2" w:themeShade="80"/>
            <w:sz w:val="20"/>
            <w:szCs w:val="20"/>
          </w:rPr>
          <w:fldChar w:fldCharType="begin"/>
        </w:r>
        <w:r w:rsidRPr="006B0228">
          <w:rPr>
            <w:rFonts w:ascii="Franklin Gothic Medium" w:hAnsi="Franklin Gothic Medium"/>
            <w:color w:val="632423" w:themeColor="accent2" w:themeShade="80"/>
            <w:sz w:val="20"/>
            <w:szCs w:val="20"/>
          </w:rPr>
          <w:instrText xml:space="preserve"> PAGE   \* MERGEFORMAT </w:instrText>
        </w:r>
        <w:r w:rsidRPr="006B0228">
          <w:rPr>
            <w:rFonts w:ascii="Franklin Gothic Medium" w:hAnsi="Franklin Gothic Medium"/>
            <w:color w:val="632423" w:themeColor="accent2" w:themeShade="80"/>
            <w:sz w:val="20"/>
            <w:szCs w:val="20"/>
          </w:rPr>
          <w:fldChar w:fldCharType="separate"/>
        </w:r>
        <w:r w:rsidR="00A55D83">
          <w:rPr>
            <w:rFonts w:ascii="Franklin Gothic Medium" w:hAnsi="Franklin Gothic Medium"/>
            <w:noProof/>
            <w:color w:val="632423" w:themeColor="accent2" w:themeShade="80"/>
            <w:sz w:val="20"/>
            <w:szCs w:val="20"/>
          </w:rPr>
          <w:t>4</w:t>
        </w:r>
        <w:r w:rsidRPr="006B0228">
          <w:rPr>
            <w:rFonts w:ascii="Franklin Gothic Medium" w:hAnsi="Franklin Gothic Medium"/>
            <w:color w:val="632423" w:themeColor="accent2" w:themeShade="80"/>
            <w:sz w:val="20"/>
            <w:szCs w:val="20"/>
          </w:rPr>
          <w:fldChar w:fldCharType="end"/>
        </w:r>
      </w:sdtContent>
    </w:sdt>
  </w:p>
  <w:p w14:paraId="7154C332" w14:textId="77777777" w:rsidR="00460E0B" w:rsidRDefault="00460E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A4B13F" w14:textId="77777777" w:rsidR="00460E0B" w:rsidRDefault="00460E0B" w:rsidP="00965E0E">
      <w:pPr>
        <w:spacing w:line="240" w:lineRule="auto"/>
      </w:pPr>
      <w:r>
        <w:separator/>
      </w:r>
    </w:p>
  </w:footnote>
  <w:footnote w:type="continuationSeparator" w:id="0">
    <w:p w14:paraId="5F9225B4" w14:textId="77777777" w:rsidR="00460E0B" w:rsidRDefault="00460E0B" w:rsidP="00965E0E">
      <w:pPr>
        <w:spacing w:line="240" w:lineRule="auto"/>
      </w:pPr>
      <w:r>
        <w:continuationSeparator/>
      </w:r>
    </w:p>
  </w:footnote>
  <w:footnote w:id="1">
    <w:p w14:paraId="2EB56AD7" w14:textId="2CBD319B" w:rsidR="00460E0B" w:rsidRDefault="00460E0B" w:rsidP="00675370">
      <w:pPr>
        <w:pStyle w:val="FootnoteText"/>
      </w:pPr>
      <w:r>
        <w:rPr>
          <w:rStyle w:val="FootnoteReference"/>
        </w:rPr>
        <w:footnoteRef/>
      </w:r>
      <w:r>
        <w:t xml:space="preserve"> Minutes for each meeting are on the FSQAP Portal Client Site and available to AHCA and APD (</w:t>
      </w:r>
      <w:hyperlink r:id="rId1" w:history="1">
        <w:r w:rsidRPr="003D7ED2">
          <w:rPr>
            <w:rStyle w:val="Hyperlink"/>
          </w:rPr>
          <w:t>http://www.dfmc-florida.org/Public2/qualityCouncil/archive.html</w:t>
        </w:r>
      </w:hyperlink>
      <w:r>
        <w:t>).</w:t>
      </w:r>
    </w:p>
  </w:footnote>
  <w:footnote w:id="2">
    <w:p w14:paraId="3C9779EA" w14:textId="13F55B81" w:rsidR="00460E0B" w:rsidRDefault="00460E0B">
      <w:pPr>
        <w:pStyle w:val="FootnoteText"/>
      </w:pPr>
      <w:r>
        <w:rPr>
          <w:rStyle w:val="FootnoteReference"/>
        </w:rPr>
        <w:footnoteRef/>
      </w:r>
      <w:r>
        <w:t xml:space="preserve"> N sizes listed with the results indicate when the total number of responses was less than 94.</w:t>
      </w:r>
    </w:p>
  </w:footnote>
  <w:footnote w:id="3">
    <w:p w14:paraId="00D07B00" w14:textId="77777777" w:rsidR="00460E0B" w:rsidRDefault="00460E0B" w:rsidP="00675370">
      <w:pPr>
        <w:pStyle w:val="FootnoteText"/>
      </w:pPr>
      <w:r>
        <w:rPr>
          <w:rStyle w:val="FootnoteReference"/>
        </w:rPr>
        <w:footnoteRef/>
      </w:r>
      <w:r>
        <w:t xml:space="preserve"> </w:t>
      </w:r>
      <w:r w:rsidRPr="00396AB9">
        <w:t xml:space="preserve">The list of topics and number of calls per topic are presented in Attachment </w:t>
      </w:r>
      <w:r>
        <w:t>1</w:t>
      </w:r>
      <w:r w:rsidRPr="00396AB9">
        <w:t>.</w:t>
      </w:r>
    </w:p>
  </w:footnote>
  <w:footnote w:id="4">
    <w:p w14:paraId="018266D7" w14:textId="16E665E4" w:rsidR="00460E0B" w:rsidRDefault="00460E0B" w:rsidP="007C1358">
      <w:pPr>
        <w:pStyle w:val="FootnoteText"/>
      </w:pPr>
      <w:r>
        <w:rPr>
          <w:rStyle w:val="FootnoteReference"/>
        </w:rPr>
        <w:footnoteRef/>
      </w:r>
      <w:r>
        <w:t xml:space="preserve"> All review tools are posted on the FSQAP website (</w:t>
      </w:r>
      <w:hyperlink r:id="rId2" w:history="1">
        <w:r w:rsidRPr="003A5DDC">
          <w:rPr>
            <w:rStyle w:val="Hyperlink"/>
          </w:rPr>
          <w:t>http://www.dfmc-florida.org/Public2/resourceCenter/providers/discoveryReviewTools/index.html</w:t>
        </w:r>
      </w:hyperlink>
      <w:r>
        <w:t xml:space="preserve">).  </w:t>
      </w:r>
    </w:p>
  </w:footnote>
  <w:footnote w:id="5">
    <w:p w14:paraId="30BEF0EE" w14:textId="77777777" w:rsidR="00460E0B" w:rsidRDefault="00460E0B" w:rsidP="00A37105">
      <w:pPr>
        <w:pStyle w:val="FootnoteText"/>
      </w:pPr>
      <w:r>
        <w:rPr>
          <w:rStyle w:val="FootnoteReference"/>
        </w:rPr>
        <w:footnoteRef/>
      </w:r>
      <w:r>
        <w:t xml:space="preserve"> The Other category for Residential Status for the DD Waiver includes Assisted Living Facilities (11) and Foster Care (3). The Other Disability category includes Spina Bifida (9) and Other (28).  The Other category for CDC+ Disability is listed as Other(4).</w:t>
      </w:r>
    </w:p>
  </w:footnote>
  <w:footnote w:id="6">
    <w:p w14:paraId="02AFE5A8" w14:textId="4069AE3C" w:rsidR="00460E0B" w:rsidRDefault="00460E0B" w:rsidP="007C1358">
      <w:pPr>
        <w:pStyle w:val="FootnoteText"/>
      </w:pPr>
      <w:r>
        <w:rPr>
          <w:rStyle w:val="FootnoteReference"/>
        </w:rPr>
        <w:footnoteRef/>
      </w:r>
      <w:r>
        <w:t xml:space="preserve"> Since contract year 2012, children under age 18 have been included in the PCR sample.  Because the NCI Consumer survey is only valid for adults, children do not participate in the NCI portion of the PCR process.</w:t>
      </w:r>
    </w:p>
  </w:footnote>
  <w:footnote w:id="7">
    <w:p w14:paraId="08AF0737" w14:textId="2B872500" w:rsidR="00460E0B" w:rsidRDefault="00460E0B">
      <w:pPr>
        <w:pStyle w:val="FootnoteText"/>
      </w:pPr>
      <w:r>
        <w:rPr>
          <w:rStyle w:val="FootnoteReference"/>
        </w:rPr>
        <w:footnoteRef/>
      </w:r>
      <w:r>
        <w:t xml:space="preserve"> It is important to remember results to date are for only about half of the total sample and should not be considered final.</w:t>
      </w:r>
    </w:p>
  </w:footnote>
  <w:footnote w:id="8">
    <w:p w14:paraId="1FB50D89" w14:textId="77777777" w:rsidR="00460E0B" w:rsidRDefault="00460E0B" w:rsidP="00B207B8">
      <w:pPr>
        <w:pStyle w:val="FootnoteText"/>
      </w:pPr>
      <w:r>
        <w:rPr>
          <w:rStyle w:val="FootnoteReference"/>
        </w:rPr>
        <w:footnoteRef/>
      </w:r>
      <w:r>
        <w:t xml:space="preserve"> Some standards in the PCR and PDR record reviews are weighted for calculating the overall provider’s score. For example, standards measuring health and safety items are generally more important and therefore weigh heavier when calculating the provider’s score.  In this report, unless otherwise noted, unweighted results are shown. This provides an accurate reflection of the number and percent of providers who have the standards scored as Met.  </w:t>
      </w:r>
    </w:p>
  </w:footnote>
  <w:footnote w:id="9">
    <w:p w14:paraId="425936E5" w14:textId="77777777" w:rsidR="00460E0B" w:rsidRDefault="00460E0B" w:rsidP="003649E9">
      <w:pPr>
        <w:pStyle w:val="FootnoteText"/>
      </w:pPr>
      <w:r>
        <w:rPr>
          <w:rStyle w:val="FootnoteReference"/>
        </w:rPr>
        <w:footnoteRef/>
      </w:r>
      <w:r w:rsidRPr="003439C9">
        <w:t xml:space="preserve"> All review tools are posted on the FSQAP website </w:t>
      </w:r>
      <w:hyperlink r:id="rId3" w:history="1">
        <w:r w:rsidRPr="00DD5542">
          <w:rPr>
            <w:rStyle w:val="Hyperlink"/>
          </w:rPr>
          <w:t>http://www.dfmc-florida.org/Public2/resourceCenter/providers/discoveryReviewTools/index.html</w:t>
        </w:r>
      </w:hyperlink>
      <w:r>
        <w:t xml:space="preserve"> .  </w:t>
      </w:r>
    </w:p>
  </w:footnote>
  <w:footnote w:id="10">
    <w:p w14:paraId="512C2A72" w14:textId="3A231156" w:rsidR="00460E0B" w:rsidRDefault="00460E0B">
      <w:pPr>
        <w:pStyle w:val="FootnoteText"/>
      </w:pPr>
      <w:r>
        <w:rPr>
          <w:rStyle w:val="FootnoteReference"/>
        </w:rPr>
        <w:footnoteRef/>
      </w:r>
      <w:r>
        <w:t xml:space="preserve"> Deemed providers are permitted to skip one year for the PDR. Deemed is defined as a score of 95% or higher with no alerts or potential billing discrepancies.  </w:t>
      </w:r>
    </w:p>
  </w:footnote>
  <w:footnote w:id="11">
    <w:p w14:paraId="739BB5C5" w14:textId="77777777" w:rsidR="00460E0B" w:rsidRDefault="00460E0B" w:rsidP="003649E9">
      <w:pPr>
        <w:pStyle w:val="FootnoteText"/>
      </w:pPr>
      <w:r>
        <w:rPr>
          <w:rStyle w:val="FootnoteReference"/>
        </w:rPr>
        <w:footnoteRef/>
      </w:r>
      <w:r>
        <w:t xml:space="preserve"> All PCR and PDR tools can be viewed on the DFMC website:  </w:t>
      </w:r>
      <w:hyperlink r:id="rId4" w:history="1">
        <w:r w:rsidRPr="00DD5542">
          <w:rPr>
            <w:rStyle w:val="Hyperlink"/>
          </w:rPr>
          <w:t>http://www.dfmc-florida.org/Public2/resourceCenter/providers/discoveryReviewTools/index.html</w:t>
        </w:r>
      </w:hyperlink>
      <w:r>
        <w:t xml:space="preserve"> </w:t>
      </w:r>
    </w:p>
  </w:footnote>
  <w:footnote w:id="12">
    <w:p w14:paraId="48EC0ECF" w14:textId="77777777" w:rsidR="00460E0B" w:rsidRDefault="00460E0B" w:rsidP="007506B6">
      <w:pPr>
        <w:pStyle w:val="FootnoteText"/>
      </w:pPr>
      <w:r>
        <w:rPr>
          <w:rStyle w:val="FootnoteReference"/>
        </w:rPr>
        <w:footnoteRef/>
      </w:r>
      <w:r>
        <w:t xml:space="preserve"> N sizes may vary throughout the report due to missing and/or not applicable data.</w:t>
      </w:r>
    </w:p>
  </w:footnote>
  <w:footnote w:id="13">
    <w:p w14:paraId="49ADE039" w14:textId="71DD98F4" w:rsidR="00460E0B" w:rsidRDefault="00460E0B">
      <w:pPr>
        <w:pStyle w:val="FootnoteText"/>
      </w:pPr>
      <w:r>
        <w:rPr>
          <w:rStyle w:val="FootnoteReference"/>
        </w:rPr>
        <w:footnoteRef/>
      </w:r>
      <w:r>
        <w:t xml:space="preserve"> Some questions on the Administrative P&amp;P may also be asked of Solo providers.  </w:t>
      </w:r>
    </w:p>
  </w:footnote>
  <w:footnote w:id="14">
    <w:p w14:paraId="0ED7FE55" w14:textId="61B93E96" w:rsidR="00460E0B" w:rsidRPr="009F7BEB" w:rsidRDefault="00460E0B" w:rsidP="003649E9">
      <w:pPr>
        <w:spacing w:line="240" w:lineRule="auto"/>
        <w:rPr>
          <w:sz w:val="20"/>
          <w:szCs w:val="20"/>
        </w:rPr>
      </w:pPr>
      <w:r>
        <w:rPr>
          <w:rStyle w:val="FootnoteReference"/>
        </w:rPr>
        <w:footnoteRef/>
      </w:r>
      <w:r>
        <w:t xml:space="preserve"> </w:t>
      </w:r>
      <w:r>
        <w:rPr>
          <w:sz w:val="20"/>
          <w:szCs w:val="20"/>
        </w:rPr>
        <w:t>For</w:t>
      </w:r>
      <w:r w:rsidRPr="00F1705C">
        <w:rPr>
          <w:sz w:val="20"/>
          <w:szCs w:val="20"/>
        </w:rPr>
        <w:t xml:space="preserve"> some of the standards only a few records were reviewed so comparisons across the standards should be made with caution till more data are available.</w:t>
      </w:r>
      <w:r>
        <w:t xml:space="preserve"> </w:t>
      </w:r>
      <w:r w:rsidRPr="009F7BEB">
        <w:rPr>
          <w:sz w:val="20"/>
          <w:szCs w:val="20"/>
        </w:rPr>
        <w:t xml:space="preserve"> </w:t>
      </w:r>
    </w:p>
    <w:p w14:paraId="0F44C485" w14:textId="77777777" w:rsidR="00460E0B" w:rsidRDefault="00460E0B" w:rsidP="003649E9">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4C32E" w14:textId="55028BED" w:rsidR="00460E0B" w:rsidRPr="00093AF0" w:rsidRDefault="00460E0B" w:rsidP="00505240">
    <w:pPr>
      <w:pStyle w:val="Header"/>
      <w:pBdr>
        <w:bottom w:val="single" w:sz="4" w:space="1" w:color="auto"/>
      </w:pBdr>
      <w:rPr>
        <w:rFonts w:ascii="Franklin Gothic Medium" w:hAnsi="Franklin Gothic Medium"/>
        <w:color w:val="632423" w:themeColor="accent2" w:themeShade="80"/>
        <w:szCs w:val="24"/>
      </w:rPr>
    </w:pPr>
    <w:r w:rsidRPr="006B0228">
      <w:rPr>
        <w:rFonts w:ascii="Franklin Gothic Medium" w:hAnsi="Franklin Gothic Medium"/>
        <w:color w:val="632423" w:themeColor="accent2" w:themeShade="80"/>
        <w:sz w:val="20"/>
        <w:szCs w:val="20"/>
      </w:rPr>
      <w:t xml:space="preserve">FSQAP </w:t>
    </w:r>
    <w:r>
      <w:rPr>
        <w:rFonts w:ascii="Franklin Gothic Medium" w:hAnsi="Franklin Gothic Medium"/>
        <w:color w:val="632423" w:themeColor="accent2" w:themeShade="80"/>
        <w:sz w:val="20"/>
        <w:szCs w:val="20"/>
      </w:rPr>
      <w:t xml:space="preserve">Year 7 Quarter 1 </w:t>
    </w:r>
    <w:r w:rsidRPr="006B0228">
      <w:rPr>
        <w:rFonts w:ascii="Franklin Gothic Medium" w:hAnsi="Franklin Gothic Medium"/>
        <w:color w:val="632423" w:themeColor="accent2" w:themeShade="80"/>
        <w:sz w:val="20"/>
        <w:szCs w:val="20"/>
      </w:rPr>
      <w:t>Report</w:t>
    </w:r>
    <w:r w:rsidRPr="006B0228">
      <w:rPr>
        <w:rFonts w:ascii="Franklin Gothic Medium" w:hAnsi="Franklin Gothic Medium"/>
        <w:color w:val="632423" w:themeColor="accent2" w:themeShade="80"/>
        <w:sz w:val="20"/>
        <w:szCs w:val="20"/>
      </w:rPr>
      <w:tab/>
    </w:r>
    <w:r w:rsidRPr="006B0228">
      <w:rPr>
        <w:rFonts w:ascii="Franklin Gothic Medium" w:hAnsi="Franklin Gothic Medium"/>
        <w:color w:val="632423" w:themeColor="accent2" w:themeShade="80"/>
        <w:sz w:val="20"/>
        <w:szCs w:val="20"/>
      </w:rPr>
      <w:tab/>
    </w:r>
    <w:r w:rsidR="009634C3">
      <w:rPr>
        <w:rFonts w:ascii="Franklin Gothic Medium" w:hAnsi="Franklin Gothic Medium"/>
        <w:color w:val="632423" w:themeColor="accent2" w:themeShade="80"/>
        <w:sz w:val="20"/>
        <w:szCs w:val="20"/>
      </w:rPr>
      <w:t>Final</w:t>
    </w:r>
  </w:p>
  <w:p w14:paraId="7154C32F" w14:textId="336C1F4A" w:rsidR="00460E0B" w:rsidRPr="00505240" w:rsidRDefault="00460E0B" w:rsidP="00505240">
    <w:pPr>
      <w:pStyle w:val="Header"/>
      <w:pBdr>
        <w:bottom w:val="single" w:sz="4" w:space="1" w:color="auto"/>
      </w:pBdr>
      <w:rPr>
        <w:rFonts w:ascii="Franklin Gothic Medium" w:hAnsi="Franklin Gothic Medium"/>
        <w:color w:val="632423" w:themeColor="accent2" w:themeShade="80"/>
        <w:sz w:val="20"/>
        <w:szCs w:val="20"/>
      </w:rPr>
    </w:pPr>
    <w:r>
      <w:rPr>
        <w:rFonts w:ascii="Franklin Gothic Medium" w:hAnsi="Franklin Gothic Medium"/>
        <w:color w:val="632423" w:themeColor="accent2" w:themeShade="80"/>
        <w:sz w:val="20"/>
        <w:szCs w:val="20"/>
      </w:rPr>
      <w:t>April - June 2016</w:t>
    </w:r>
  </w:p>
  <w:p w14:paraId="7154C330" w14:textId="77777777" w:rsidR="00460E0B" w:rsidRPr="006B0228" w:rsidRDefault="00460E0B">
    <w:pPr>
      <w:pStyle w:val="Header"/>
      <w:rPr>
        <w:sz w:val="20"/>
        <w:szCs w:val="20"/>
      </w:rPr>
    </w:pPr>
    <w:r w:rsidRPr="006B0228">
      <w:rPr>
        <w:sz w:val="20"/>
        <w:szCs w:val="20"/>
      </w:rPr>
      <w:tab/>
    </w:r>
    <w:r w:rsidRPr="006B0228">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23A33"/>
    <w:multiLevelType w:val="hybridMultilevel"/>
    <w:tmpl w:val="D4F0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F535F"/>
    <w:multiLevelType w:val="hybridMultilevel"/>
    <w:tmpl w:val="59D0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12F9C"/>
    <w:multiLevelType w:val="hybridMultilevel"/>
    <w:tmpl w:val="73EA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A3EF2"/>
    <w:multiLevelType w:val="hybridMultilevel"/>
    <w:tmpl w:val="2CAC2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893607"/>
    <w:multiLevelType w:val="hybridMultilevel"/>
    <w:tmpl w:val="B970B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A728BE"/>
    <w:multiLevelType w:val="hybridMultilevel"/>
    <w:tmpl w:val="98D25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B631F2"/>
    <w:multiLevelType w:val="hybridMultilevel"/>
    <w:tmpl w:val="BC14C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B5E1958"/>
    <w:multiLevelType w:val="hybridMultilevel"/>
    <w:tmpl w:val="73284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5C7FA5"/>
    <w:multiLevelType w:val="hybridMultilevel"/>
    <w:tmpl w:val="535C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B65657"/>
    <w:multiLevelType w:val="hybridMultilevel"/>
    <w:tmpl w:val="0A604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7C6F60"/>
    <w:multiLevelType w:val="hybridMultilevel"/>
    <w:tmpl w:val="A5EE3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24582"/>
    <w:multiLevelType w:val="hybridMultilevel"/>
    <w:tmpl w:val="8F2C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962515"/>
    <w:multiLevelType w:val="hybridMultilevel"/>
    <w:tmpl w:val="BDDAC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F95F73"/>
    <w:multiLevelType w:val="hybridMultilevel"/>
    <w:tmpl w:val="1A161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4435EA"/>
    <w:multiLevelType w:val="hybridMultilevel"/>
    <w:tmpl w:val="3D9E5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DE4940"/>
    <w:multiLevelType w:val="hybridMultilevel"/>
    <w:tmpl w:val="B18E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3239C6"/>
    <w:multiLevelType w:val="hybridMultilevel"/>
    <w:tmpl w:val="22A8D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494F3C"/>
    <w:multiLevelType w:val="hybridMultilevel"/>
    <w:tmpl w:val="EDEAD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407C6"/>
    <w:multiLevelType w:val="hybridMultilevel"/>
    <w:tmpl w:val="BFCEB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6C0A55"/>
    <w:multiLevelType w:val="hybridMultilevel"/>
    <w:tmpl w:val="097AC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34ABD"/>
    <w:multiLevelType w:val="hybridMultilevel"/>
    <w:tmpl w:val="0714F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0E7C96"/>
    <w:multiLevelType w:val="hybridMultilevel"/>
    <w:tmpl w:val="BDA038F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2" w15:restartNumberingAfterBreak="0">
    <w:nsid w:val="504B020F"/>
    <w:multiLevelType w:val="hybridMultilevel"/>
    <w:tmpl w:val="5DDA0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7C3AE7"/>
    <w:multiLevelType w:val="hybridMultilevel"/>
    <w:tmpl w:val="F72AB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493862"/>
    <w:multiLevelType w:val="hybridMultilevel"/>
    <w:tmpl w:val="B3A07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BA3007"/>
    <w:multiLevelType w:val="hybridMultilevel"/>
    <w:tmpl w:val="4F247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E7E61B3"/>
    <w:multiLevelType w:val="hybridMultilevel"/>
    <w:tmpl w:val="9C12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B64597"/>
    <w:multiLevelType w:val="hybridMultilevel"/>
    <w:tmpl w:val="D2AA7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A80347"/>
    <w:multiLevelType w:val="hybridMultilevel"/>
    <w:tmpl w:val="DC847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508204C"/>
    <w:multiLevelType w:val="hybridMultilevel"/>
    <w:tmpl w:val="6B365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0D3F00"/>
    <w:multiLevelType w:val="hybridMultilevel"/>
    <w:tmpl w:val="59E40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CE3CC8"/>
    <w:multiLevelType w:val="hybridMultilevel"/>
    <w:tmpl w:val="1B32D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9151006"/>
    <w:multiLevelType w:val="hybridMultilevel"/>
    <w:tmpl w:val="BCEC6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A660D6A"/>
    <w:multiLevelType w:val="hybridMultilevel"/>
    <w:tmpl w:val="B3B2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FC7495"/>
    <w:multiLevelType w:val="hybridMultilevel"/>
    <w:tmpl w:val="8EC22D8A"/>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5" w15:restartNumberingAfterBreak="0">
    <w:nsid w:val="6C02676E"/>
    <w:multiLevelType w:val="hybridMultilevel"/>
    <w:tmpl w:val="6434B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F490F41"/>
    <w:multiLevelType w:val="hybridMultilevel"/>
    <w:tmpl w:val="F190D52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4A2BFC"/>
    <w:multiLevelType w:val="hybridMultilevel"/>
    <w:tmpl w:val="3806B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D56603"/>
    <w:multiLevelType w:val="hybridMultilevel"/>
    <w:tmpl w:val="A208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87F7B9A"/>
    <w:multiLevelType w:val="hybridMultilevel"/>
    <w:tmpl w:val="421A2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A586359"/>
    <w:multiLevelType w:val="hybridMultilevel"/>
    <w:tmpl w:val="252EA07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0"/>
  </w:num>
  <w:num w:numId="2">
    <w:abstractNumId w:val="26"/>
  </w:num>
  <w:num w:numId="3">
    <w:abstractNumId w:val="28"/>
  </w:num>
  <w:num w:numId="4">
    <w:abstractNumId w:val="36"/>
  </w:num>
  <w:num w:numId="5">
    <w:abstractNumId w:val="16"/>
  </w:num>
  <w:num w:numId="6">
    <w:abstractNumId w:val="10"/>
  </w:num>
  <w:num w:numId="7">
    <w:abstractNumId w:val="22"/>
  </w:num>
  <w:num w:numId="8">
    <w:abstractNumId w:val="23"/>
  </w:num>
  <w:num w:numId="9">
    <w:abstractNumId w:val="9"/>
  </w:num>
  <w:num w:numId="10">
    <w:abstractNumId w:val="13"/>
  </w:num>
  <w:num w:numId="11">
    <w:abstractNumId w:val="35"/>
  </w:num>
  <w:num w:numId="12">
    <w:abstractNumId w:val="32"/>
  </w:num>
  <w:num w:numId="13">
    <w:abstractNumId w:val="38"/>
  </w:num>
  <w:num w:numId="14">
    <w:abstractNumId w:val="4"/>
  </w:num>
  <w:num w:numId="15">
    <w:abstractNumId w:val="11"/>
  </w:num>
  <w:num w:numId="16">
    <w:abstractNumId w:val="3"/>
  </w:num>
  <w:num w:numId="17">
    <w:abstractNumId w:val="1"/>
  </w:num>
  <w:num w:numId="18">
    <w:abstractNumId w:val="17"/>
  </w:num>
  <w:num w:numId="19">
    <w:abstractNumId w:val="27"/>
  </w:num>
  <w:num w:numId="20">
    <w:abstractNumId w:val="24"/>
  </w:num>
  <w:num w:numId="21">
    <w:abstractNumId w:val="12"/>
  </w:num>
  <w:num w:numId="22">
    <w:abstractNumId w:val="29"/>
  </w:num>
  <w:num w:numId="23">
    <w:abstractNumId w:val="18"/>
  </w:num>
  <w:num w:numId="24">
    <w:abstractNumId w:val="7"/>
  </w:num>
  <w:num w:numId="25">
    <w:abstractNumId w:val="14"/>
  </w:num>
  <w:num w:numId="26">
    <w:abstractNumId w:val="34"/>
  </w:num>
  <w:num w:numId="27">
    <w:abstractNumId w:val="37"/>
  </w:num>
  <w:num w:numId="28">
    <w:abstractNumId w:val="20"/>
  </w:num>
  <w:num w:numId="29">
    <w:abstractNumId w:val="6"/>
  </w:num>
  <w:num w:numId="30">
    <w:abstractNumId w:val="25"/>
  </w:num>
  <w:num w:numId="31">
    <w:abstractNumId w:val="39"/>
  </w:num>
  <w:num w:numId="32">
    <w:abstractNumId w:val="21"/>
  </w:num>
  <w:num w:numId="33">
    <w:abstractNumId w:val="30"/>
  </w:num>
  <w:num w:numId="34">
    <w:abstractNumId w:val="19"/>
  </w:num>
  <w:num w:numId="35">
    <w:abstractNumId w:val="2"/>
  </w:num>
  <w:num w:numId="36">
    <w:abstractNumId w:val="0"/>
  </w:num>
  <w:num w:numId="37">
    <w:abstractNumId w:val="15"/>
  </w:num>
  <w:num w:numId="38">
    <w:abstractNumId w:val="8"/>
  </w:num>
  <w:num w:numId="39">
    <w:abstractNumId w:val="31"/>
  </w:num>
  <w:num w:numId="40">
    <w:abstractNumId w:val="5"/>
  </w:num>
  <w:num w:numId="41">
    <w:abstractNumId w:val="3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3C10"/>
    <w:rsid w:val="000006EA"/>
    <w:rsid w:val="00000A82"/>
    <w:rsid w:val="00000EA8"/>
    <w:rsid w:val="00000F31"/>
    <w:rsid w:val="00001023"/>
    <w:rsid w:val="000023DC"/>
    <w:rsid w:val="0000305A"/>
    <w:rsid w:val="0000319B"/>
    <w:rsid w:val="00003E05"/>
    <w:rsid w:val="000040B5"/>
    <w:rsid w:val="00005F1A"/>
    <w:rsid w:val="000066E8"/>
    <w:rsid w:val="00006B21"/>
    <w:rsid w:val="00010469"/>
    <w:rsid w:val="0001057D"/>
    <w:rsid w:val="000106EC"/>
    <w:rsid w:val="00010A0C"/>
    <w:rsid w:val="00010ACF"/>
    <w:rsid w:val="00010AE5"/>
    <w:rsid w:val="00010D50"/>
    <w:rsid w:val="00010DAE"/>
    <w:rsid w:val="000120C6"/>
    <w:rsid w:val="000126A0"/>
    <w:rsid w:val="00012B4B"/>
    <w:rsid w:val="00012D72"/>
    <w:rsid w:val="00012E0B"/>
    <w:rsid w:val="00012F0E"/>
    <w:rsid w:val="00013385"/>
    <w:rsid w:val="0001368A"/>
    <w:rsid w:val="000139DC"/>
    <w:rsid w:val="00013A12"/>
    <w:rsid w:val="000148F9"/>
    <w:rsid w:val="00016806"/>
    <w:rsid w:val="00016AD0"/>
    <w:rsid w:val="00016D44"/>
    <w:rsid w:val="00016E12"/>
    <w:rsid w:val="0001763D"/>
    <w:rsid w:val="00017C59"/>
    <w:rsid w:val="00017E2E"/>
    <w:rsid w:val="00021919"/>
    <w:rsid w:val="00021FB2"/>
    <w:rsid w:val="00022737"/>
    <w:rsid w:val="000228BF"/>
    <w:rsid w:val="00022E9F"/>
    <w:rsid w:val="00023331"/>
    <w:rsid w:val="00024484"/>
    <w:rsid w:val="000244C3"/>
    <w:rsid w:val="00024C17"/>
    <w:rsid w:val="00025F75"/>
    <w:rsid w:val="00026013"/>
    <w:rsid w:val="00027088"/>
    <w:rsid w:val="0002710D"/>
    <w:rsid w:val="00027DC0"/>
    <w:rsid w:val="000305B0"/>
    <w:rsid w:val="00030C2F"/>
    <w:rsid w:val="0003187D"/>
    <w:rsid w:val="00031D51"/>
    <w:rsid w:val="00033454"/>
    <w:rsid w:val="00033F7D"/>
    <w:rsid w:val="000344EB"/>
    <w:rsid w:val="00034511"/>
    <w:rsid w:val="00034D15"/>
    <w:rsid w:val="00035485"/>
    <w:rsid w:val="00035BFE"/>
    <w:rsid w:val="00036C20"/>
    <w:rsid w:val="0003735C"/>
    <w:rsid w:val="00037434"/>
    <w:rsid w:val="000379DF"/>
    <w:rsid w:val="0004091D"/>
    <w:rsid w:val="00040B3D"/>
    <w:rsid w:val="00040F6A"/>
    <w:rsid w:val="00041126"/>
    <w:rsid w:val="000415E0"/>
    <w:rsid w:val="00041643"/>
    <w:rsid w:val="00042451"/>
    <w:rsid w:val="00042704"/>
    <w:rsid w:val="000432D8"/>
    <w:rsid w:val="00044A1D"/>
    <w:rsid w:val="000455E5"/>
    <w:rsid w:val="00045B79"/>
    <w:rsid w:val="00045D65"/>
    <w:rsid w:val="00045FA7"/>
    <w:rsid w:val="00046E88"/>
    <w:rsid w:val="000503EE"/>
    <w:rsid w:val="0005097F"/>
    <w:rsid w:val="00050D34"/>
    <w:rsid w:val="00050F61"/>
    <w:rsid w:val="0005110E"/>
    <w:rsid w:val="000513A2"/>
    <w:rsid w:val="000515BA"/>
    <w:rsid w:val="000518FC"/>
    <w:rsid w:val="00051FFE"/>
    <w:rsid w:val="000521A7"/>
    <w:rsid w:val="00054527"/>
    <w:rsid w:val="00054E7C"/>
    <w:rsid w:val="000550F8"/>
    <w:rsid w:val="000551D9"/>
    <w:rsid w:val="0005568E"/>
    <w:rsid w:val="000558D1"/>
    <w:rsid w:val="000566B0"/>
    <w:rsid w:val="00057220"/>
    <w:rsid w:val="00057426"/>
    <w:rsid w:val="00057B06"/>
    <w:rsid w:val="000604FB"/>
    <w:rsid w:val="00061259"/>
    <w:rsid w:val="00061C44"/>
    <w:rsid w:val="00062103"/>
    <w:rsid w:val="00062152"/>
    <w:rsid w:val="0006235D"/>
    <w:rsid w:val="000624E8"/>
    <w:rsid w:val="000628C8"/>
    <w:rsid w:val="00063162"/>
    <w:rsid w:val="00064904"/>
    <w:rsid w:val="000649E9"/>
    <w:rsid w:val="00064AFE"/>
    <w:rsid w:val="0006518B"/>
    <w:rsid w:val="00065DDB"/>
    <w:rsid w:val="00066FAB"/>
    <w:rsid w:val="000672BD"/>
    <w:rsid w:val="00067322"/>
    <w:rsid w:val="00067423"/>
    <w:rsid w:val="00067B6D"/>
    <w:rsid w:val="00070AC9"/>
    <w:rsid w:val="00070BB1"/>
    <w:rsid w:val="0007106D"/>
    <w:rsid w:val="00071462"/>
    <w:rsid w:val="00072A65"/>
    <w:rsid w:val="000731B0"/>
    <w:rsid w:val="00074861"/>
    <w:rsid w:val="00074D2F"/>
    <w:rsid w:val="00074EFB"/>
    <w:rsid w:val="0007572A"/>
    <w:rsid w:val="000758C6"/>
    <w:rsid w:val="00075959"/>
    <w:rsid w:val="00076137"/>
    <w:rsid w:val="000772C4"/>
    <w:rsid w:val="000805B2"/>
    <w:rsid w:val="000814A3"/>
    <w:rsid w:val="0008150E"/>
    <w:rsid w:val="0008158A"/>
    <w:rsid w:val="000821B9"/>
    <w:rsid w:val="00082DFB"/>
    <w:rsid w:val="000835FC"/>
    <w:rsid w:val="000837B1"/>
    <w:rsid w:val="000839FC"/>
    <w:rsid w:val="00083F75"/>
    <w:rsid w:val="0008468F"/>
    <w:rsid w:val="000854AA"/>
    <w:rsid w:val="00086399"/>
    <w:rsid w:val="00087396"/>
    <w:rsid w:val="000877C1"/>
    <w:rsid w:val="00090A4D"/>
    <w:rsid w:val="00090F9F"/>
    <w:rsid w:val="000913F9"/>
    <w:rsid w:val="00091B96"/>
    <w:rsid w:val="00091C41"/>
    <w:rsid w:val="00091F2E"/>
    <w:rsid w:val="00091FDB"/>
    <w:rsid w:val="0009266D"/>
    <w:rsid w:val="00092ED9"/>
    <w:rsid w:val="0009339A"/>
    <w:rsid w:val="000938A0"/>
    <w:rsid w:val="00093AF0"/>
    <w:rsid w:val="0009442C"/>
    <w:rsid w:val="00094457"/>
    <w:rsid w:val="00094460"/>
    <w:rsid w:val="000945DF"/>
    <w:rsid w:val="00094C3B"/>
    <w:rsid w:val="00094C5B"/>
    <w:rsid w:val="00094EBF"/>
    <w:rsid w:val="0009558F"/>
    <w:rsid w:val="000963E9"/>
    <w:rsid w:val="00096724"/>
    <w:rsid w:val="00096A5A"/>
    <w:rsid w:val="00096D97"/>
    <w:rsid w:val="00097031"/>
    <w:rsid w:val="0009730A"/>
    <w:rsid w:val="00097C58"/>
    <w:rsid w:val="000A0541"/>
    <w:rsid w:val="000A0643"/>
    <w:rsid w:val="000A07AF"/>
    <w:rsid w:val="000A0ACA"/>
    <w:rsid w:val="000A0DC4"/>
    <w:rsid w:val="000A26BB"/>
    <w:rsid w:val="000A3E4B"/>
    <w:rsid w:val="000A3FD3"/>
    <w:rsid w:val="000A441E"/>
    <w:rsid w:val="000A4BBA"/>
    <w:rsid w:val="000A537F"/>
    <w:rsid w:val="000A56CA"/>
    <w:rsid w:val="000A581E"/>
    <w:rsid w:val="000A5C71"/>
    <w:rsid w:val="000A61F1"/>
    <w:rsid w:val="000A76DE"/>
    <w:rsid w:val="000A77C0"/>
    <w:rsid w:val="000A7BF3"/>
    <w:rsid w:val="000B04AB"/>
    <w:rsid w:val="000B0B06"/>
    <w:rsid w:val="000B1242"/>
    <w:rsid w:val="000B18EB"/>
    <w:rsid w:val="000B1D02"/>
    <w:rsid w:val="000B23A3"/>
    <w:rsid w:val="000B24AE"/>
    <w:rsid w:val="000B2D0B"/>
    <w:rsid w:val="000B3120"/>
    <w:rsid w:val="000B4B86"/>
    <w:rsid w:val="000B511A"/>
    <w:rsid w:val="000B5393"/>
    <w:rsid w:val="000B555D"/>
    <w:rsid w:val="000B6A00"/>
    <w:rsid w:val="000B6DB0"/>
    <w:rsid w:val="000B6DCE"/>
    <w:rsid w:val="000B6E2C"/>
    <w:rsid w:val="000B72CD"/>
    <w:rsid w:val="000B7A44"/>
    <w:rsid w:val="000C0D68"/>
    <w:rsid w:val="000C0EC2"/>
    <w:rsid w:val="000C2381"/>
    <w:rsid w:val="000C2F6E"/>
    <w:rsid w:val="000C3203"/>
    <w:rsid w:val="000C36B2"/>
    <w:rsid w:val="000C4E98"/>
    <w:rsid w:val="000C4F4F"/>
    <w:rsid w:val="000C5300"/>
    <w:rsid w:val="000C55F7"/>
    <w:rsid w:val="000C5C49"/>
    <w:rsid w:val="000C5F0C"/>
    <w:rsid w:val="000C62DE"/>
    <w:rsid w:val="000D00AA"/>
    <w:rsid w:val="000D0240"/>
    <w:rsid w:val="000D0708"/>
    <w:rsid w:val="000D0F6F"/>
    <w:rsid w:val="000D12D5"/>
    <w:rsid w:val="000D1741"/>
    <w:rsid w:val="000D19F0"/>
    <w:rsid w:val="000D1E17"/>
    <w:rsid w:val="000D39B2"/>
    <w:rsid w:val="000D3DE6"/>
    <w:rsid w:val="000D4245"/>
    <w:rsid w:val="000D4613"/>
    <w:rsid w:val="000D562B"/>
    <w:rsid w:val="000D569A"/>
    <w:rsid w:val="000D5D26"/>
    <w:rsid w:val="000D6EA4"/>
    <w:rsid w:val="000D792D"/>
    <w:rsid w:val="000D7A65"/>
    <w:rsid w:val="000D7E94"/>
    <w:rsid w:val="000E0063"/>
    <w:rsid w:val="000E0F4B"/>
    <w:rsid w:val="000E1002"/>
    <w:rsid w:val="000E1028"/>
    <w:rsid w:val="000E16D9"/>
    <w:rsid w:val="000E2337"/>
    <w:rsid w:val="000E2341"/>
    <w:rsid w:val="000E2396"/>
    <w:rsid w:val="000E2686"/>
    <w:rsid w:val="000E2697"/>
    <w:rsid w:val="000E2DA2"/>
    <w:rsid w:val="000E340D"/>
    <w:rsid w:val="000E43B4"/>
    <w:rsid w:val="000E4CC6"/>
    <w:rsid w:val="000E6B0B"/>
    <w:rsid w:val="000E73E3"/>
    <w:rsid w:val="000E7DBD"/>
    <w:rsid w:val="000F0D0D"/>
    <w:rsid w:val="000F1CD2"/>
    <w:rsid w:val="000F3685"/>
    <w:rsid w:val="000F390E"/>
    <w:rsid w:val="000F3949"/>
    <w:rsid w:val="000F487D"/>
    <w:rsid w:val="000F4BCA"/>
    <w:rsid w:val="000F504B"/>
    <w:rsid w:val="000F51DD"/>
    <w:rsid w:val="000F5D95"/>
    <w:rsid w:val="000F6C86"/>
    <w:rsid w:val="000F7B5F"/>
    <w:rsid w:val="00100CEE"/>
    <w:rsid w:val="00101BAD"/>
    <w:rsid w:val="00102B67"/>
    <w:rsid w:val="00102E36"/>
    <w:rsid w:val="0010407A"/>
    <w:rsid w:val="00104972"/>
    <w:rsid w:val="00104AA2"/>
    <w:rsid w:val="00105B94"/>
    <w:rsid w:val="00105C8B"/>
    <w:rsid w:val="0010632B"/>
    <w:rsid w:val="00106734"/>
    <w:rsid w:val="0010711E"/>
    <w:rsid w:val="001073BA"/>
    <w:rsid w:val="0010770C"/>
    <w:rsid w:val="001078C5"/>
    <w:rsid w:val="00110236"/>
    <w:rsid w:val="00110F99"/>
    <w:rsid w:val="00110FA8"/>
    <w:rsid w:val="00110FBB"/>
    <w:rsid w:val="0011129B"/>
    <w:rsid w:val="00111D35"/>
    <w:rsid w:val="001126CD"/>
    <w:rsid w:val="00112EA2"/>
    <w:rsid w:val="001136A6"/>
    <w:rsid w:val="0011558A"/>
    <w:rsid w:val="00115860"/>
    <w:rsid w:val="00115E30"/>
    <w:rsid w:val="001174E8"/>
    <w:rsid w:val="001206DD"/>
    <w:rsid w:val="00120D7D"/>
    <w:rsid w:val="0012171B"/>
    <w:rsid w:val="00121767"/>
    <w:rsid w:val="00123797"/>
    <w:rsid w:val="001251CD"/>
    <w:rsid w:val="001253F0"/>
    <w:rsid w:val="00125832"/>
    <w:rsid w:val="00126356"/>
    <w:rsid w:val="00126B01"/>
    <w:rsid w:val="00127816"/>
    <w:rsid w:val="00127988"/>
    <w:rsid w:val="00127CAB"/>
    <w:rsid w:val="00127D42"/>
    <w:rsid w:val="00131BC9"/>
    <w:rsid w:val="001337A1"/>
    <w:rsid w:val="0013446C"/>
    <w:rsid w:val="001348D5"/>
    <w:rsid w:val="001352F2"/>
    <w:rsid w:val="00135F4A"/>
    <w:rsid w:val="00136F52"/>
    <w:rsid w:val="001378AC"/>
    <w:rsid w:val="001404E6"/>
    <w:rsid w:val="001412B2"/>
    <w:rsid w:val="00141A1C"/>
    <w:rsid w:val="0014221E"/>
    <w:rsid w:val="00142963"/>
    <w:rsid w:val="0014336D"/>
    <w:rsid w:val="0014383C"/>
    <w:rsid w:val="00143CF1"/>
    <w:rsid w:val="001446FC"/>
    <w:rsid w:val="00144AEA"/>
    <w:rsid w:val="00144C47"/>
    <w:rsid w:val="00145527"/>
    <w:rsid w:val="001456D3"/>
    <w:rsid w:val="0014580C"/>
    <w:rsid w:val="00145945"/>
    <w:rsid w:val="00145C84"/>
    <w:rsid w:val="00146006"/>
    <w:rsid w:val="00146258"/>
    <w:rsid w:val="00147EEC"/>
    <w:rsid w:val="001501DE"/>
    <w:rsid w:val="001502D5"/>
    <w:rsid w:val="0015079E"/>
    <w:rsid w:val="001511C1"/>
    <w:rsid w:val="00152F1A"/>
    <w:rsid w:val="00154008"/>
    <w:rsid w:val="00155475"/>
    <w:rsid w:val="00156025"/>
    <w:rsid w:val="001563C8"/>
    <w:rsid w:val="00156AAB"/>
    <w:rsid w:val="00156C8A"/>
    <w:rsid w:val="00157744"/>
    <w:rsid w:val="00157AE1"/>
    <w:rsid w:val="00157BE4"/>
    <w:rsid w:val="00157ED8"/>
    <w:rsid w:val="00157F91"/>
    <w:rsid w:val="0016028A"/>
    <w:rsid w:val="00160800"/>
    <w:rsid w:val="00160831"/>
    <w:rsid w:val="001608E1"/>
    <w:rsid w:val="00160E7D"/>
    <w:rsid w:val="001610AC"/>
    <w:rsid w:val="00161DD2"/>
    <w:rsid w:val="00162E65"/>
    <w:rsid w:val="001637C0"/>
    <w:rsid w:val="001638D6"/>
    <w:rsid w:val="001643B3"/>
    <w:rsid w:val="00164D05"/>
    <w:rsid w:val="00166B51"/>
    <w:rsid w:val="00166D90"/>
    <w:rsid w:val="00167185"/>
    <w:rsid w:val="00167238"/>
    <w:rsid w:val="001674FB"/>
    <w:rsid w:val="00167DC2"/>
    <w:rsid w:val="0017077A"/>
    <w:rsid w:val="00170791"/>
    <w:rsid w:val="00170EF6"/>
    <w:rsid w:val="0017156C"/>
    <w:rsid w:val="00172420"/>
    <w:rsid w:val="00173217"/>
    <w:rsid w:val="00173334"/>
    <w:rsid w:val="00173791"/>
    <w:rsid w:val="001750A4"/>
    <w:rsid w:val="0017547C"/>
    <w:rsid w:val="00175F85"/>
    <w:rsid w:val="00176E09"/>
    <w:rsid w:val="00177D45"/>
    <w:rsid w:val="00180099"/>
    <w:rsid w:val="001801A6"/>
    <w:rsid w:val="001801D4"/>
    <w:rsid w:val="00180328"/>
    <w:rsid w:val="001808AE"/>
    <w:rsid w:val="00181056"/>
    <w:rsid w:val="0018138B"/>
    <w:rsid w:val="0018242E"/>
    <w:rsid w:val="00182ACE"/>
    <w:rsid w:val="0018302D"/>
    <w:rsid w:val="0018357F"/>
    <w:rsid w:val="001846BA"/>
    <w:rsid w:val="00184855"/>
    <w:rsid w:val="00185687"/>
    <w:rsid w:val="00185A8B"/>
    <w:rsid w:val="00185ED5"/>
    <w:rsid w:val="001861E4"/>
    <w:rsid w:val="001868EE"/>
    <w:rsid w:val="00186907"/>
    <w:rsid w:val="00190DE9"/>
    <w:rsid w:val="00190FDE"/>
    <w:rsid w:val="001912A1"/>
    <w:rsid w:val="001913ED"/>
    <w:rsid w:val="0019167B"/>
    <w:rsid w:val="001922AF"/>
    <w:rsid w:val="00193A7C"/>
    <w:rsid w:val="00193F8F"/>
    <w:rsid w:val="0019465D"/>
    <w:rsid w:val="001949D1"/>
    <w:rsid w:val="00195845"/>
    <w:rsid w:val="00195BF5"/>
    <w:rsid w:val="00196012"/>
    <w:rsid w:val="001971AB"/>
    <w:rsid w:val="001979D6"/>
    <w:rsid w:val="00197A37"/>
    <w:rsid w:val="001A066C"/>
    <w:rsid w:val="001A1E32"/>
    <w:rsid w:val="001A2835"/>
    <w:rsid w:val="001A34A2"/>
    <w:rsid w:val="001A3AB6"/>
    <w:rsid w:val="001A4109"/>
    <w:rsid w:val="001A430C"/>
    <w:rsid w:val="001A4D0C"/>
    <w:rsid w:val="001A6142"/>
    <w:rsid w:val="001A686F"/>
    <w:rsid w:val="001A6DD9"/>
    <w:rsid w:val="001A7239"/>
    <w:rsid w:val="001A766E"/>
    <w:rsid w:val="001A77FA"/>
    <w:rsid w:val="001B1AC6"/>
    <w:rsid w:val="001B25B0"/>
    <w:rsid w:val="001B25DA"/>
    <w:rsid w:val="001B2B71"/>
    <w:rsid w:val="001B2FC8"/>
    <w:rsid w:val="001B30F4"/>
    <w:rsid w:val="001B31F1"/>
    <w:rsid w:val="001B342D"/>
    <w:rsid w:val="001B38E8"/>
    <w:rsid w:val="001B3BF1"/>
    <w:rsid w:val="001B3C62"/>
    <w:rsid w:val="001B470D"/>
    <w:rsid w:val="001B47BD"/>
    <w:rsid w:val="001B5F03"/>
    <w:rsid w:val="001B6245"/>
    <w:rsid w:val="001B631D"/>
    <w:rsid w:val="001B686D"/>
    <w:rsid w:val="001B68E6"/>
    <w:rsid w:val="001B7000"/>
    <w:rsid w:val="001B71A9"/>
    <w:rsid w:val="001B7435"/>
    <w:rsid w:val="001B743E"/>
    <w:rsid w:val="001B793B"/>
    <w:rsid w:val="001C04D6"/>
    <w:rsid w:val="001C092E"/>
    <w:rsid w:val="001C1061"/>
    <w:rsid w:val="001C244A"/>
    <w:rsid w:val="001C3D82"/>
    <w:rsid w:val="001C58B4"/>
    <w:rsid w:val="001C5E90"/>
    <w:rsid w:val="001C5EF7"/>
    <w:rsid w:val="001C62E2"/>
    <w:rsid w:val="001C6B60"/>
    <w:rsid w:val="001D06DE"/>
    <w:rsid w:val="001D0B48"/>
    <w:rsid w:val="001D1E5E"/>
    <w:rsid w:val="001D24FD"/>
    <w:rsid w:val="001D2E88"/>
    <w:rsid w:val="001D3A21"/>
    <w:rsid w:val="001D48C0"/>
    <w:rsid w:val="001D4EF0"/>
    <w:rsid w:val="001D5BCB"/>
    <w:rsid w:val="001D5EF9"/>
    <w:rsid w:val="001D6060"/>
    <w:rsid w:val="001D6A30"/>
    <w:rsid w:val="001D6D86"/>
    <w:rsid w:val="001D6E4D"/>
    <w:rsid w:val="001D7FD7"/>
    <w:rsid w:val="001E1220"/>
    <w:rsid w:val="001E1BC9"/>
    <w:rsid w:val="001E274B"/>
    <w:rsid w:val="001E38F6"/>
    <w:rsid w:val="001E3919"/>
    <w:rsid w:val="001E45ED"/>
    <w:rsid w:val="001E46F3"/>
    <w:rsid w:val="001E53AA"/>
    <w:rsid w:val="001E5824"/>
    <w:rsid w:val="001E7375"/>
    <w:rsid w:val="001E7713"/>
    <w:rsid w:val="001E78DA"/>
    <w:rsid w:val="001E7B50"/>
    <w:rsid w:val="001F0278"/>
    <w:rsid w:val="001F02CB"/>
    <w:rsid w:val="001F0B0F"/>
    <w:rsid w:val="001F0E83"/>
    <w:rsid w:val="001F21BA"/>
    <w:rsid w:val="001F2934"/>
    <w:rsid w:val="001F2A99"/>
    <w:rsid w:val="001F4188"/>
    <w:rsid w:val="001F47B9"/>
    <w:rsid w:val="001F5924"/>
    <w:rsid w:val="001F59FD"/>
    <w:rsid w:val="001F5E41"/>
    <w:rsid w:val="001F60A2"/>
    <w:rsid w:val="001F6B8D"/>
    <w:rsid w:val="001F6F93"/>
    <w:rsid w:val="001F7008"/>
    <w:rsid w:val="00200BB0"/>
    <w:rsid w:val="00200DCE"/>
    <w:rsid w:val="00201631"/>
    <w:rsid w:val="002022E8"/>
    <w:rsid w:val="00202D3E"/>
    <w:rsid w:val="00203610"/>
    <w:rsid w:val="002038C5"/>
    <w:rsid w:val="00204312"/>
    <w:rsid w:val="0020596E"/>
    <w:rsid w:val="00205E75"/>
    <w:rsid w:val="00205F25"/>
    <w:rsid w:val="002067B0"/>
    <w:rsid w:val="00207156"/>
    <w:rsid w:val="0020778B"/>
    <w:rsid w:val="00207B3A"/>
    <w:rsid w:val="00210109"/>
    <w:rsid w:val="00210A1B"/>
    <w:rsid w:val="0021182A"/>
    <w:rsid w:val="00211DC6"/>
    <w:rsid w:val="002133F0"/>
    <w:rsid w:val="00213C24"/>
    <w:rsid w:val="00213DFB"/>
    <w:rsid w:val="002140C7"/>
    <w:rsid w:val="002152BA"/>
    <w:rsid w:val="00215970"/>
    <w:rsid w:val="00215D81"/>
    <w:rsid w:val="00216D86"/>
    <w:rsid w:val="00217A94"/>
    <w:rsid w:val="00217B8B"/>
    <w:rsid w:val="0022043F"/>
    <w:rsid w:val="00220EA5"/>
    <w:rsid w:val="0022173D"/>
    <w:rsid w:val="00221F26"/>
    <w:rsid w:val="002220C7"/>
    <w:rsid w:val="0022382F"/>
    <w:rsid w:val="002259A6"/>
    <w:rsid w:val="00225E3B"/>
    <w:rsid w:val="002265A4"/>
    <w:rsid w:val="00227161"/>
    <w:rsid w:val="00227C6E"/>
    <w:rsid w:val="00227CCE"/>
    <w:rsid w:val="00230AE1"/>
    <w:rsid w:val="00230B88"/>
    <w:rsid w:val="00231112"/>
    <w:rsid w:val="0023139C"/>
    <w:rsid w:val="00231497"/>
    <w:rsid w:val="00231B17"/>
    <w:rsid w:val="0023295F"/>
    <w:rsid w:val="00232C55"/>
    <w:rsid w:val="00233EDA"/>
    <w:rsid w:val="0023432E"/>
    <w:rsid w:val="002347EC"/>
    <w:rsid w:val="00236581"/>
    <w:rsid w:val="002369F8"/>
    <w:rsid w:val="00236F23"/>
    <w:rsid w:val="002379EC"/>
    <w:rsid w:val="00237D31"/>
    <w:rsid w:val="00240538"/>
    <w:rsid w:val="002408F4"/>
    <w:rsid w:val="00240A55"/>
    <w:rsid w:val="0024106D"/>
    <w:rsid w:val="0024134E"/>
    <w:rsid w:val="00241387"/>
    <w:rsid w:val="00242C25"/>
    <w:rsid w:val="00243B75"/>
    <w:rsid w:val="002455CD"/>
    <w:rsid w:val="00245D26"/>
    <w:rsid w:val="00246EDF"/>
    <w:rsid w:val="00247047"/>
    <w:rsid w:val="00247986"/>
    <w:rsid w:val="00247FE2"/>
    <w:rsid w:val="00250551"/>
    <w:rsid w:val="002505CA"/>
    <w:rsid w:val="002506A9"/>
    <w:rsid w:val="00250F09"/>
    <w:rsid w:val="0025127F"/>
    <w:rsid w:val="00251577"/>
    <w:rsid w:val="00251ECB"/>
    <w:rsid w:val="0025364E"/>
    <w:rsid w:val="00253D8C"/>
    <w:rsid w:val="00253FB2"/>
    <w:rsid w:val="00255141"/>
    <w:rsid w:val="002556AB"/>
    <w:rsid w:val="002559C8"/>
    <w:rsid w:val="00256B31"/>
    <w:rsid w:val="00256FA6"/>
    <w:rsid w:val="002605E0"/>
    <w:rsid w:val="00261544"/>
    <w:rsid w:val="00261688"/>
    <w:rsid w:val="00261C32"/>
    <w:rsid w:val="00262151"/>
    <w:rsid w:val="002621C1"/>
    <w:rsid w:val="002623E9"/>
    <w:rsid w:val="0026297D"/>
    <w:rsid w:val="00262D42"/>
    <w:rsid w:val="00262F31"/>
    <w:rsid w:val="002631CA"/>
    <w:rsid w:val="002631D9"/>
    <w:rsid w:val="00263D4C"/>
    <w:rsid w:val="00263F8A"/>
    <w:rsid w:val="00264781"/>
    <w:rsid w:val="00264B4D"/>
    <w:rsid w:val="00265502"/>
    <w:rsid w:val="00265633"/>
    <w:rsid w:val="00265766"/>
    <w:rsid w:val="00265839"/>
    <w:rsid w:val="00266686"/>
    <w:rsid w:val="00267055"/>
    <w:rsid w:val="00267430"/>
    <w:rsid w:val="00270BA3"/>
    <w:rsid w:val="00270E2C"/>
    <w:rsid w:val="002713AD"/>
    <w:rsid w:val="0027196A"/>
    <w:rsid w:val="002719D7"/>
    <w:rsid w:val="00271D17"/>
    <w:rsid w:val="0027260A"/>
    <w:rsid w:val="002726C8"/>
    <w:rsid w:val="00272E22"/>
    <w:rsid w:val="002733B8"/>
    <w:rsid w:val="00273AA3"/>
    <w:rsid w:val="00273CB6"/>
    <w:rsid w:val="00273EB8"/>
    <w:rsid w:val="00273FB0"/>
    <w:rsid w:val="0027434F"/>
    <w:rsid w:val="00274375"/>
    <w:rsid w:val="00275091"/>
    <w:rsid w:val="002752ED"/>
    <w:rsid w:val="0027626A"/>
    <w:rsid w:val="00276CA3"/>
    <w:rsid w:val="00276EE7"/>
    <w:rsid w:val="00277635"/>
    <w:rsid w:val="00277AC6"/>
    <w:rsid w:val="00280E53"/>
    <w:rsid w:val="00281051"/>
    <w:rsid w:val="00281565"/>
    <w:rsid w:val="00281B3E"/>
    <w:rsid w:val="00284391"/>
    <w:rsid w:val="00284BA1"/>
    <w:rsid w:val="00286143"/>
    <w:rsid w:val="0028747C"/>
    <w:rsid w:val="0028750F"/>
    <w:rsid w:val="00287545"/>
    <w:rsid w:val="002878BB"/>
    <w:rsid w:val="00290CBC"/>
    <w:rsid w:val="00291242"/>
    <w:rsid w:val="00291D9F"/>
    <w:rsid w:val="00291E06"/>
    <w:rsid w:val="0029202E"/>
    <w:rsid w:val="00292B10"/>
    <w:rsid w:val="00292CAE"/>
    <w:rsid w:val="002938B6"/>
    <w:rsid w:val="00294437"/>
    <w:rsid w:val="00294615"/>
    <w:rsid w:val="002951B9"/>
    <w:rsid w:val="00295857"/>
    <w:rsid w:val="00295D84"/>
    <w:rsid w:val="00295E91"/>
    <w:rsid w:val="00296531"/>
    <w:rsid w:val="00296817"/>
    <w:rsid w:val="002971E6"/>
    <w:rsid w:val="002974FF"/>
    <w:rsid w:val="00297B80"/>
    <w:rsid w:val="002A0E1E"/>
    <w:rsid w:val="002A1DE7"/>
    <w:rsid w:val="002A1F1B"/>
    <w:rsid w:val="002A2DC8"/>
    <w:rsid w:val="002A2DF1"/>
    <w:rsid w:val="002A3388"/>
    <w:rsid w:val="002A3803"/>
    <w:rsid w:val="002A4B17"/>
    <w:rsid w:val="002A4C81"/>
    <w:rsid w:val="002A5105"/>
    <w:rsid w:val="002A5A7B"/>
    <w:rsid w:val="002A62A2"/>
    <w:rsid w:val="002A71B1"/>
    <w:rsid w:val="002A72B4"/>
    <w:rsid w:val="002A7A38"/>
    <w:rsid w:val="002B0D4A"/>
    <w:rsid w:val="002B1AC5"/>
    <w:rsid w:val="002B23FF"/>
    <w:rsid w:val="002B2594"/>
    <w:rsid w:val="002B2801"/>
    <w:rsid w:val="002B3A1E"/>
    <w:rsid w:val="002B3FBD"/>
    <w:rsid w:val="002B474D"/>
    <w:rsid w:val="002B4C34"/>
    <w:rsid w:val="002B4ED4"/>
    <w:rsid w:val="002B5AB7"/>
    <w:rsid w:val="002B6C10"/>
    <w:rsid w:val="002B6D21"/>
    <w:rsid w:val="002B718F"/>
    <w:rsid w:val="002B75BE"/>
    <w:rsid w:val="002B773B"/>
    <w:rsid w:val="002B77AD"/>
    <w:rsid w:val="002B7ABB"/>
    <w:rsid w:val="002C0A74"/>
    <w:rsid w:val="002C0C39"/>
    <w:rsid w:val="002C170E"/>
    <w:rsid w:val="002C1B54"/>
    <w:rsid w:val="002C1C63"/>
    <w:rsid w:val="002C340A"/>
    <w:rsid w:val="002C38A3"/>
    <w:rsid w:val="002C3A9A"/>
    <w:rsid w:val="002C3ABA"/>
    <w:rsid w:val="002C44F7"/>
    <w:rsid w:val="002C4E8E"/>
    <w:rsid w:val="002C7076"/>
    <w:rsid w:val="002C7101"/>
    <w:rsid w:val="002C7767"/>
    <w:rsid w:val="002C77C5"/>
    <w:rsid w:val="002C7C25"/>
    <w:rsid w:val="002D2538"/>
    <w:rsid w:val="002D277E"/>
    <w:rsid w:val="002D287E"/>
    <w:rsid w:val="002D2D4F"/>
    <w:rsid w:val="002D2EA5"/>
    <w:rsid w:val="002D3432"/>
    <w:rsid w:val="002D3B32"/>
    <w:rsid w:val="002D3CBB"/>
    <w:rsid w:val="002D406C"/>
    <w:rsid w:val="002D477E"/>
    <w:rsid w:val="002D4B99"/>
    <w:rsid w:val="002D4C65"/>
    <w:rsid w:val="002D4F56"/>
    <w:rsid w:val="002D51AA"/>
    <w:rsid w:val="002D5D67"/>
    <w:rsid w:val="002D60E1"/>
    <w:rsid w:val="002D63C2"/>
    <w:rsid w:val="002D6580"/>
    <w:rsid w:val="002D6BD9"/>
    <w:rsid w:val="002D7191"/>
    <w:rsid w:val="002D7E0C"/>
    <w:rsid w:val="002E2EC3"/>
    <w:rsid w:val="002E3109"/>
    <w:rsid w:val="002E3652"/>
    <w:rsid w:val="002E3EB0"/>
    <w:rsid w:val="002E4B6E"/>
    <w:rsid w:val="002E4DF6"/>
    <w:rsid w:val="002E5CFC"/>
    <w:rsid w:val="002E5D4B"/>
    <w:rsid w:val="002E5EF6"/>
    <w:rsid w:val="002E60BD"/>
    <w:rsid w:val="002E6942"/>
    <w:rsid w:val="002E7C5E"/>
    <w:rsid w:val="002F06FB"/>
    <w:rsid w:val="002F0CD2"/>
    <w:rsid w:val="002F1027"/>
    <w:rsid w:val="002F10E2"/>
    <w:rsid w:val="002F143B"/>
    <w:rsid w:val="002F24AF"/>
    <w:rsid w:val="002F2A2F"/>
    <w:rsid w:val="002F2EB8"/>
    <w:rsid w:val="002F3052"/>
    <w:rsid w:val="002F42AC"/>
    <w:rsid w:val="002F492C"/>
    <w:rsid w:val="002F4A3B"/>
    <w:rsid w:val="002F4CEE"/>
    <w:rsid w:val="002F56B2"/>
    <w:rsid w:val="002F5902"/>
    <w:rsid w:val="002F6E28"/>
    <w:rsid w:val="002F6FAF"/>
    <w:rsid w:val="002F6FBF"/>
    <w:rsid w:val="00300080"/>
    <w:rsid w:val="003000A4"/>
    <w:rsid w:val="003010EB"/>
    <w:rsid w:val="00302A82"/>
    <w:rsid w:val="00302BAE"/>
    <w:rsid w:val="0030395E"/>
    <w:rsid w:val="00305823"/>
    <w:rsid w:val="00305CF3"/>
    <w:rsid w:val="003061C0"/>
    <w:rsid w:val="00306D40"/>
    <w:rsid w:val="00307DA0"/>
    <w:rsid w:val="0031095D"/>
    <w:rsid w:val="00310CA1"/>
    <w:rsid w:val="00310D49"/>
    <w:rsid w:val="00311BBA"/>
    <w:rsid w:val="00311C3F"/>
    <w:rsid w:val="00312296"/>
    <w:rsid w:val="00312522"/>
    <w:rsid w:val="00312557"/>
    <w:rsid w:val="003127F2"/>
    <w:rsid w:val="003135FC"/>
    <w:rsid w:val="00313A78"/>
    <w:rsid w:val="003147EE"/>
    <w:rsid w:val="00314EA2"/>
    <w:rsid w:val="0031524C"/>
    <w:rsid w:val="003152ED"/>
    <w:rsid w:val="00315686"/>
    <w:rsid w:val="003158A1"/>
    <w:rsid w:val="003158F1"/>
    <w:rsid w:val="0031596D"/>
    <w:rsid w:val="00315F5B"/>
    <w:rsid w:val="003160AC"/>
    <w:rsid w:val="0031650A"/>
    <w:rsid w:val="00316688"/>
    <w:rsid w:val="00317007"/>
    <w:rsid w:val="00317F09"/>
    <w:rsid w:val="00320844"/>
    <w:rsid w:val="00320B36"/>
    <w:rsid w:val="00321762"/>
    <w:rsid w:val="00321B1B"/>
    <w:rsid w:val="00321F91"/>
    <w:rsid w:val="0032227C"/>
    <w:rsid w:val="003231D5"/>
    <w:rsid w:val="00324889"/>
    <w:rsid w:val="00324BA6"/>
    <w:rsid w:val="003259BA"/>
    <w:rsid w:val="003261B5"/>
    <w:rsid w:val="00326291"/>
    <w:rsid w:val="00326420"/>
    <w:rsid w:val="00326D39"/>
    <w:rsid w:val="003272C2"/>
    <w:rsid w:val="00327B25"/>
    <w:rsid w:val="00327B95"/>
    <w:rsid w:val="00327C79"/>
    <w:rsid w:val="003308D2"/>
    <w:rsid w:val="00330D26"/>
    <w:rsid w:val="00331069"/>
    <w:rsid w:val="0033140D"/>
    <w:rsid w:val="003333E0"/>
    <w:rsid w:val="00334412"/>
    <w:rsid w:val="00335142"/>
    <w:rsid w:val="00335F46"/>
    <w:rsid w:val="00336736"/>
    <w:rsid w:val="003369B4"/>
    <w:rsid w:val="00336FB4"/>
    <w:rsid w:val="0033736B"/>
    <w:rsid w:val="00337696"/>
    <w:rsid w:val="00337834"/>
    <w:rsid w:val="00337938"/>
    <w:rsid w:val="00337A7B"/>
    <w:rsid w:val="00337F7B"/>
    <w:rsid w:val="0034002B"/>
    <w:rsid w:val="003406B2"/>
    <w:rsid w:val="00340A91"/>
    <w:rsid w:val="003410E7"/>
    <w:rsid w:val="00341DD6"/>
    <w:rsid w:val="00342F2E"/>
    <w:rsid w:val="00343168"/>
    <w:rsid w:val="003431B8"/>
    <w:rsid w:val="003439AD"/>
    <w:rsid w:val="003439C9"/>
    <w:rsid w:val="00344199"/>
    <w:rsid w:val="003442E2"/>
    <w:rsid w:val="00344FEA"/>
    <w:rsid w:val="0034648E"/>
    <w:rsid w:val="003472E1"/>
    <w:rsid w:val="00347792"/>
    <w:rsid w:val="0034799C"/>
    <w:rsid w:val="003500F6"/>
    <w:rsid w:val="003505F2"/>
    <w:rsid w:val="003509B1"/>
    <w:rsid w:val="0035142C"/>
    <w:rsid w:val="003518AC"/>
    <w:rsid w:val="00353752"/>
    <w:rsid w:val="003543CF"/>
    <w:rsid w:val="00354465"/>
    <w:rsid w:val="00354B16"/>
    <w:rsid w:val="00354D69"/>
    <w:rsid w:val="0035679B"/>
    <w:rsid w:val="00356C4F"/>
    <w:rsid w:val="0035751E"/>
    <w:rsid w:val="00357A66"/>
    <w:rsid w:val="003608FD"/>
    <w:rsid w:val="003609B0"/>
    <w:rsid w:val="00361342"/>
    <w:rsid w:val="00361731"/>
    <w:rsid w:val="00361A42"/>
    <w:rsid w:val="00362880"/>
    <w:rsid w:val="003632B0"/>
    <w:rsid w:val="00363380"/>
    <w:rsid w:val="003642E7"/>
    <w:rsid w:val="00364599"/>
    <w:rsid w:val="003649E9"/>
    <w:rsid w:val="00364EF3"/>
    <w:rsid w:val="00365446"/>
    <w:rsid w:val="00366077"/>
    <w:rsid w:val="003664C5"/>
    <w:rsid w:val="003668DC"/>
    <w:rsid w:val="00366AD5"/>
    <w:rsid w:val="003671EE"/>
    <w:rsid w:val="00370423"/>
    <w:rsid w:val="003704CE"/>
    <w:rsid w:val="003707C0"/>
    <w:rsid w:val="0037217E"/>
    <w:rsid w:val="0037225A"/>
    <w:rsid w:val="003723D1"/>
    <w:rsid w:val="003728F5"/>
    <w:rsid w:val="00372B71"/>
    <w:rsid w:val="00372C7D"/>
    <w:rsid w:val="00373482"/>
    <w:rsid w:val="0037379E"/>
    <w:rsid w:val="0037404D"/>
    <w:rsid w:val="003754C0"/>
    <w:rsid w:val="00375B68"/>
    <w:rsid w:val="00375F1E"/>
    <w:rsid w:val="003768D9"/>
    <w:rsid w:val="00377602"/>
    <w:rsid w:val="00381289"/>
    <w:rsid w:val="00381813"/>
    <w:rsid w:val="00381931"/>
    <w:rsid w:val="00381946"/>
    <w:rsid w:val="00382E30"/>
    <w:rsid w:val="00384876"/>
    <w:rsid w:val="0038549F"/>
    <w:rsid w:val="003857C5"/>
    <w:rsid w:val="00386149"/>
    <w:rsid w:val="00386767"/>
    <w:rsid w:val="00386E90"/>
    <w:rsid w:val="00387955"/>
    <w:rsid w:val="00390BC6"/>
    <w:rsid w:val="00391EF4"/>
    <w:rsid w:val="003929D8"/>
    <w:rsid w:val="003933F2"/>
    <w:rsid w:val="0039411B"/>
    <w:rsid w:val="003953F3"/>
    <w:rsid w:val="003957BE"/>
    <w:rsid w:val="00396AB9"/>
    <w:rsid w:val="00396DED"/>
    <w:rsid w:val="003971E7"/>
    <w:rsid w:val="00397565"/>
    <w:rsid w:val="003977DB"/>
    <w:rsid w:val="00397C2F"/>
    <w:rsid w:val="003A0EA1"/>
    <w:rsid w:val="003A148E"/>
    <w:rsid w:val="003A1875"/>
    <w:rsid w:val="003A1A14"/>
    <w:rsid w:val="003A2814"/>
    <w:rsid w:val="003A2CA2"/>
    <w:rsid w:val="003A2FF9"/>
    <w:rsid w:val="003A33F6"/>
    <w:rsid w:val="003A34C8"/>
    <w:rsid w:val="003A4227"/>
    <w:rsid w:val="003A4C5A"/>
    <w:rsid w:val="003A5032"/>
    <w:rsid w:val="003A50AB"/>
    <w:rsid w:val="003A5AB5"/>
    <w:rsid w:val="003A5B7D"/>
    <w:rsid w:val="003A5FA3"/>
    <w:rsid w:val="003A7CE1"/>
    <w:rsid w:val="003B0DF5"/>
    <w:rsid w:val="003B1FA3"/>
    <w:rsid w:val="003B234F"/>
    <w:rsid w:val="003B2401"/>
    <w:rsid w:val="003B416D"/>
    <w:rsid w:val="003B471F"/>
    <w:rsid w:val="003B4FF4"/>
    <w:rsid w:val="003B5975"/>
    <w:rsid w:val="003B5B30"/>
    <w:rsid w:val="003B6235"/>
    <w:rsid w:val="003B65FD"/>
    <w:rsid w:val="003B79C4"/>
    <w:rsid w:val="003C0F76"/>
    <w:rsid w:val="003C27BE"/>
    <w:rsid w:val="003C2DF8"/>
    <w:rsid w:val="003C36AF"/>
    <w:rsid w:val="003C3A51"/>
    <w:rsid w:val="003C3F08"/>
    <w:rsid w:val="003C3F8B"/>
    <w:rsid w:val="003C4271"/>
    <w:rsid w:val="003C719D"/>
    <w:rsid w:val="003C7478"/>
    <w:rsid w:val="003C79D0"/>
    <w:rsid w:val="003D047D"/>
    <w:rsid w:val="003D04CA"/>
    <w:rsid w:val="003D07D2"/>
    <w:rsid w:val="003D0B74"/>
    <w:rsid w:val="003D11C6"/>
    <w:rsid w:val="003D12C8"/>
    <w:rsid w:val="003D17FC"/>
    <w:rsid w:val="003D1B4C"/>
    <w:rsid w:val="003D24D8"/>
    <w:rsid w:val="003D347E"/>
    <w:rsid w:val="003D4222"/>
    <w:rsid w:val="003D4C4A"/>
    <w:rsid w:val="003D585F"/>
    <w:rsid w:val="003D7091"/>
    <w:rsid w:val="003D7780"/>
    <w:rsid w:val="003E01AF"/>
    <w:rsid w:val="003E0B82"/>
    <w:rsid w:val="003E0CD0"/>
    <w:rsid w:val="003E1414"/>
    <w:rsid w:val="003E23F3"/>
    <w:rsid w:val="003E2C3C"/>
    <w:rsid w:val="003E3444"/>
    <w:rsid w:val="003E3499"/>
    <w:rsid w:val="003E3BAE"/>
    <w:rsid w:val="003E3D7F"/>
    <w:rsid w:val="003E4B26"/>
    <w:rsid w:val="003F0353"/>
    <w:rsid w:val="003F06A4"/>
    <w:rsid w:val="003F0ACA"/>
    <w:rsid w:val="003F0E71"/>
    <w:rsid w:val="003F10C9"/>
    <w:rsid w:val="003F112D"/>
    <w:rsid w:val="003F14C2"/>
    <w:rsid w:val="003F18DC"/>
    <w:rsid w:val="003F1D5F"/>
    <w:rsid w:val="003F2231"/>
    <w:rsid w:val="003F232E"/>
    <w:rsid w:val="003F3E50"/>
    <w:rsid w:val="003F57D5"/>
    <w:rsid w:val="003F58B5"/>
    <w:rsid w:val="003F5A45"/>
    <w:rsid w:val="003F5D2C"/>
    <w:rsid w:val="003F5E0A"/>
    <w:rsid w:val="003F64D5"/>
    <w:rsid w:val="003F6DB3"/>
    <w:rsid w:val="004018CB"/>
    <w:rsid w:val="00401B5E"/>
    <w:rsid w:val="00401BA2"/>
    <w:rsid w:val="00402E54"/>
    <w:rsid w:val="004032D9"/>
    <w:rsid w:val="00403742"/>
    <w:rsid w:val="00403AD5"/>
    <w:rsid w:val="00403BEE"/>
    <w:rsid w:val="004046B9"/>
    <w:rsid w:val="0040507A"/>
    <w:rsid w:val="004055E6"/>
    <w:rsid w:val="004057E6"/>
    <w:rsid w:val="004060DA"/>
    <w:rsid w:val="00407392"/>
    <w:rsid w:val="0040794C"/>
    <w:rsid w:val="00410435"/>
    <w:rsid w:val="004107EB"/>
    <w:rsid w:val="00410845"/>
    <w:rsid w:val="00410CD8"/>
    <w:rsid w:val="00412D4A"/>
    <w:rsid w:val="004133C1"/>
    <w:rsid w:val="004133DF"/>
    <w:rsid w:val="00413983"/>
    <w:rsid w:val="00414216"/>
    <w:rsid w:val="004151D5"/>
    <w:rsid w:val="00415CBD"/>
    <w:rsid w:val="00415F19"/>
    <w:rsid w:val="00417D22"/>
    <w:rsid w:val="00421152"/>
    <w:rsid w:val="00421292"/>
    <w:rsid w:val="00421BC4"/>
    <w:rsid w:val="0042253C"/>
    <w:rsid w:val="0042272E"/>
    <w:rsid w:val="00422AE8"/>
    <w:rsid w:val="00423300"/>
    <w:rsid w:val="00423436"/>
    <w:rsid w:val="00423900"/>
    <w:rsid w:val="00424A4A"/>
    <w:rsid w:val="00425BFD"/>
    <w:rsid w:val="00425D13"/>
    <w:rsid w:val="00427232"/>
    <w:rsid w:val="00427B06"/>
    <w:rsid w:val="00427C63"/>
    <w:rsid w:val="00427E37"/>
    <w:rsid w:val="00430083"/>
    <w:rsid w:val="00430928"/>
    <w:rsid w:val="00430FBA"/>
    <w:rsid w:val="00431596"/>
    <w:rsid w:val="0043201F"/>
    <w:rsid w:val="0043217E"/>
    <w:rsid w:val="00432538"/>
    <w:rsid w:val="00433E5B"/>
    <w:rsid w:val="00433F31"/>
    <w:rsid w:val="004340D3"/>
    <w:rsid w:val="004369BE"/>
    <w:rsid w:val="0043716B"/>
    <w:rsid w:val="004376D6"/>
    <w:rsid w:val="004400D2"/>
    <w:rsid w:val="004403CD"/>
    <w:rsid w:val="00441352"/>
    <w:rsid w:val="00441433"/>
    <w:rsid w:val="00441521"/>
    <w:rsid w:val="00441E19"/>
    <w:rsid w:val="00442445"/>
    <w:rsid w:val="0044423F"/>
    <w:rsid w:val="004451C6"/>
    <w:rsid w:val="0044597E"/>
    <w:rsid w:val="00445D3A"/>
    <w:rsid w:val="00445FE8"/>
    <w:rsid w:val="004461E5"/>
    <w:rsid w:val="004465B9"/>
    <w:rsid w:val="004466CF"/>
    <w:rsid w:val="004505F4"/>
    <w:rsid w:val="00451C1E"/>
    <w:rsid w:val="0045252B"/>
    <w:rsid w:val="00452BC8"/>
    <w:rsid w:val="00452FF4"/>
    <w:rsid w:val="0045352E"/>
    <w:rsid w:val="004545B7"/>
    <w:rsid w:val="0045463E"/>
    <w:rsid w:val="004547AD"/>
    <w:rsid w:val="004548BD"/>
    <w:rsid w:val="00455F8D"/>
    <w:rsid w:val="00457571"/>
    <w:rsid w:val="00457D1B"/>
    <w:rsid w:val="004600F1"/>
    <w:rsid w:val="00460E0B"/>
    <w:rsid w:val="0046118D"/>
    <w:rsid w:val="00461205"/>
    <w:rsid w:val="004617CD"/>
    <w:rsid w:val="00462A99"/>
    <w:rsid w:val="0046306A"/>
    <w:rsid w:val="004641D7"/>
    <w:rsid w:val="0046430B"/>
    <w:rsid w:val="00464DF0"/>
    <w:rsid w:val="00465C24"/>
    <w:rsid w:val="00466F11"/>
    <w:rsid w:val="00467222"/>
    <w:rsid w:val="0046791D"/>
    <w:rsid w:val="00470022"/>
    <w:rsid w:val="004705E4"/>
    <w:rsid w:val="00470711"/>
    <w:rsid w:val="00470721"/>
    <w:rsid w:val="00470A3F"/>
    <w:rsid w:val="00470AB3"/>
    <w:rsid w:val="00470B15"/>
    <w:rsid w:val="00471579"/>
    <w:rsid w:val="00472912"/>
    <w:rsid w:val="0047383C"/>
    <w:rsid w:val="00474BB8"/>
    <w:rsid w:val="00474FF1"/>
    <w:rsid w:val="00475D1B"/>
    <w:rsid w:val="00475E73"/>
    <w:rsid w:val="00476702"/>
    <w:rsid w:val="0048040B"/>
    <w:rsid w:val="00480739"/>
    <w:rsid w:val="00480BC6"/>
    <w:rsid w:val="0048111B"/>
    <w:rsid w:val="00481FA2"/>
    <w:rsid w:val="00482342"/>
    <w:rsid w:val="004830EB"/>
    <w:rsid w:val="004833A5"/>
    <w:rsid w:val="0048348D"/>
    <w:rsid w:val="0048410A"/>
    <w:rsid w:val="004842F3"/>
    <w:rsid w:val="004852E2"/>
    <w:rsid w:val="004858DF"/>
    <w:rsid w:val="00485A3C"/>
    <w:rsid w:val="00486593"/>
    <w:rsid w:val="00486D56"/>
    <w:rsid w:val="00487447"/>
    <w:rsid w:val="00490072"/>
    <w:rsid w:val="0049008A"/>
    <w:rsid w:val="004901A5"/>
    <w:rsid w:val="00492002"/>
    <w:rsid w:val="0049278A"/>
    <w:rsid w:val="004930A6"/>
    <w:rsid w:val="00493869"/>
    <w:rsid w:val="004957D9"/>
    <w:rsid w:val="00495A3E"/>
    <w:rsid w:val="00495F69"/>
    <w:rsid w:val="004A03CE"/>
    <w:rsid w:val="004A1476"/>
    <w:rsid w:val="004A2D02"/>
    <w:rsid w:val="004A3547"/>
    <w:rsid w:val="004A3871"/>
    <w:rsid w:val="004A3BB3"/>
    <w:rsid w:val="004A4269"/>
    <w:rsid w:val="004A44F4"/>
    <w:rsid w:val="004A458C"/>
    <w:rsid w:val="004A488E"/>
    <w:rsid w:val="004A4FA5"/>
    <w:rsid w:val="004A518B"/>
    <w:rsid w:val="004A5640"/>
    <w:rsid w:val="004A5676"/>
    <w:rsid w:val="004A5850"/>
    <w:rsid w:val="004A5E37"/>
    <w:rsid w:val="004A6340"/>
    <w:rsid w:val="004A6430"/>
    <w:rsid w:val="004A665A"/>
    <w:rsid w:val="004A66CF"/>
    <w:rsid w:val="004A7866"/>
    <w:rsid w:val="004A7B20"/>
    <w:rsid w:val="004A7CDF"/>
    <w:rsid w:val="004A7E33"/>
    <w:rsid w:val="004B0016"/>
    <w:rsid w:val="004B0489"/>
    <w:rsid w:val="004B0968"/>
    <w:rsid w:val="004B1239"/>
    <w:rsid w:val="004B32E5"/>
    <w:rsid w:val="004B3574"/>
    <w:rsid w:val="004B52C1"/>
    <w:rsid w:val="004B5958"/>
    <w:rsid w:val="004B5F6C"/>
    <w:rsid w:val="004B6566"/>
    <w:rsid w:val="004B71EA"/>
    <w:rsid w:val="004B7525"/>
    <w:rsid w:val="004C0384"/>
    <w:rsid w:val="004C0C73"/>
    <w:rsid w:val="004C0CF0"/>
    <w:rsid w:val="004C0E5E"/>
    <w:rsid w:val="004C184C"/>
    <w:rsid w:val="004C1988"/>
    <w:rsid w:val="004C2790"/>
    <w:rsid w:val="004C4667"/>
    <w:rsid w:val="004C4702"/>
    <w:rsid w:val="004C4775"/>
    <w:rsid w:val="004C62EC"/>
    <w:rsid w:val="004C7694"/>
    <w:rsid w:val="004D0311"/>
    <w:rsid w:val="004D0533"/>
    <w:rsid w:val="004D0C7C"/>
    <w:rsid w:val="004D0EF0"/>
    <w:rsid w:val="004D20A7"/>
    <w:rsid w:val="004D25D8"/>
    <w:rsid w:val="004D270F"/>
    <w:rsid w:val="004D2954"/>
    <w:rsid w:val="004D2A9F"/>
    <w:rsid w:val="004D2D26"/>
    <w:rsid w:val="004D371D"/>
    <w:rsid w:val="004D3E91"/>
    <w:rsid w:val="004D3EC4"/>
    <w:rsid w:val="004D4211"/>
    <w:rsid w:val="004D4334"/>
    <w:rsid w:val="004D6555"/>
    <w:rsid w:val="004D675A"/>
    <w:rsid w:val="004D6DB0"/>
    <w:rsid w:val="004E000D"/>
    <w:rsid w:val="004E01E7"/>
    <w:rsid w:val="004E138C"/>
    <w:rsid w:val="004E172C"/>
    <w:rsid w:val="004E17C9"/>
    <w:rsid w:val="004E19E0"/>
    <w:rsid w:val="004E19F0"/>
    <w:rsid w:val="004E1DC7"/>
    <w:rsid w:val="004E2156"/>
    <w:rsid w:val="004E2E4D"/>
    <w:rsid w:val="004E2EF7"/>
    <w:rsid w:val="004E2F49"/>
    <w:rsid w:val="004E3605"/>
    <w:rsid w:val="004E42F5"/>
    <w:rsid w:val="004E469E"/>
    <w:rsid w:val="004E4D0F"/>
    <w:rsid w:val="004E518D"/>
    <w:rsid w:val="004E7123"/>
    <w:rsid w:val="004E7C81"/>
    <w:rsid w:val="004E7EDA"/>
    <w:rsid w:val="004E7F92"/>
    <w:rsid w:val="004F02BD"/>
    <w:rsid w:val="004F04F7"/>
    <w:rsid w:val="004F115F"/>
    <w:rsid w:val="004F16F4"/>
    <w:rsid w:val="004F2682"/>
    <w:rsid w:val="004F336F"/>
    <w:rsid w:val="004F34A3"/>
    <w:rsid w:val="004F3ACF"/>
    <w:rsid w:val="004F3D13"/>
    <w:rsid w:val="004F3F57"/>
    <w:rsid w:val="004F481A"/>
    <w:rsid w:val="004F5157"/>
    <w:rsid w:val="004F6D25"/>
    <w:rsid w:val="004F7E0C"/>
    <w:rsid w:val="00500A09"/>
    <w:rsid w:val="00502030"/>
    <w:rsid w:val="00502AB6"/>
    <w:rsid w:val="0050358E"/>
    <w:rsid w:val="005037C8"/>
    <w:rsid w:val="00503CC6"/>
    <w:rsid w:val="00504557"/>
    <w:rsid w:val="00504918"/>
    <w:rsid w:val="00504BBB"/>
    <w:rsid w:val="00505240"/>
    <w:rsid w:val="00505660"/>
    <w:rsid w:val="00505AC3"/>
    <w:rsid w:val="00506A39"/>
    <w:rsid w:val="00506AE3"/>
    <w:rsid w:val="00506F93"/>
    <w:rsid w:val="00507BD8"/>
    <w:rsid w:val="005102E2"/>
    <w:rsid w:val="00510AEA"/>
    <w:rsid w:val="00510B24"/>
    <w:rsid w:val="00511748"/>
    <w:rsid w:val="00512084"/>
    <w:rsid w:val="005120BE"/>
    <w:rsid w:val="0051221E"/>
    <w:rsid w:val="005124F7"/>
    <w:rsid w:val="00512A96"/>
    <w:rsid w:val="00512EEA"/>
    <w:rsid w:val="0051322C"/>
    <w:rsid w:val="005138AC"/>
    <w:rsid w:val="0051468B"/>
    <w:rsid w:val="00514865"/>
    <w:rsid w:val="00514E56"/>
    <w:rsid w:val="0051658C"/>
    <w:rsid w:val="005170B5"/>
    <w:rsid w:val="0051774C"/>
    <w:rsid w:val="00517CE5"/>
    <w:rsid w:val="00517F3D"/>
    <w:rsid w:val="005203E4"/>
    <w:rsid w:val="0052101B"/>
    <w:rsid w:val="00521374"/>
    <w:rsid w:val="00521569"/>
    <w:rsid w:val="005223A3"/>
    <w:rsid w:val="005224CF"/>
    <w:rsid w:val="005226CE"/>
    <w:rsid w:val="00522DB9"/>
    <w:rsid w:val="00522E91"/>
    <w:rsid w:val="00523B62"/>
    <w:rsid w:val="00523D20"/>
    <w:rsid w:val="0052449A"/>
    <w:rsid w:val="005252E0"/>
    <w:rsid w:val="00525307"/>
    <w:rsid w:val="00525558"/>
    <w:rsid w:val="00525F11"/>
    <w:rsid w:val="00526025"/>
    <w:rsid w:val="00526C66"/>
    <w:rsid w:val="00527E67"/>
    <w:rsid w:val="00527E69"/>
    <w:rsid w:val="005315AA"/>
    <w:rsid w:val="00531DDB"/>
    <w:rsid w:val="00532A5D"/>
    <w:rsid w:val="005330CE"/>
    <w:rsid w:val="00533578"/>
    <w:rsid w:val="00533DEE"/>
    <w:rsid w:val="00534585"/>
    <w:rsid w:val="00536426"/>
    <w:rsid w:val="005376B0"/>
    <w:rsid w:val="00537D30"/>
    <w:rsid w:val="0054067C"/>
    <w:rsid w:val="005415BC"/>
    <w:rsid w:val="00541FF3"/>
    <w:rsid w:val="00542364"/>
    <w:rsid w:val="005423CF"/>
    <w:rsid w:val="00543A42"/>
    <w:rsid w:val="00544031"/>
    <w:rsid w:val="00544626"/>
    <w:rsid w:val="0054500F"/>
    <w:rsid w:val="00545284"/>
    <w:rsid w:val="00545F4F"/>
    <w:rsid w:val="00546143"/>
    <w:rsid w:val="005462B1"/>
    <w:rsid w:val="005464E1"/>
    <w:rsid w:val="005472C1"/>
    <w:rsid w:val="0054786F"/>
    <w:rsid w:val="00547BEA"/>
    <w:rsid w:val="00547C2F"/>
    <w:rsid w:val="00551465"/>
    <w:rsid w:val="00552DD6"/>
    <w:rsid w:val="00553174"/>
    <w:rsid w:val="00553BC8"/>
    <w:rsid w:val="00553D52"/>
    <w:rsid w:val="00554A15"/>
    <w:rsid w:val="00554B14"/>
    <w:rsid w:val="00554C51"/>
    <w:rsid w:val="00555E52"/>
    <w:rsid w:val="00555FDA"/>
    <w:rsid w:val="00556B8D"/>
    <w:rsid w:val="00557800"/>
    <w:rsid w:val="0056068E"/>
    <w:rsid w:val="005613DC"/>
    <w:rsid w:val="0056153C"/>
    <w:rsid w:val="005619A3"/>
    <w:rsid w:val="00561D6F"/>
    <w:rsid w:val="00562B68"/>
    <w:rsid w:val="00563108"/>
    <w:rsid w:val="005632DD"/>
    <w:rsid w:val="00563D9F"/>
    <w:rsid w:val="005642BD"/>
    <w:rsid w:val="00564974"/>
    <w:rsid w:val="00565668"/>
    <w:rsid w:val="00565672"/>
    <w:rsid w:val="00565CC6"/>
    <w:rsid w:val="00565D6A"/>
    <w:rsid w:val="005666B7"/>
    <w:rsid w:val="00566B7A"/>
    <w:rsid w:val="00566C90"/>
    <w:rsid w:val="00566D94"/>
    <w:rsid w:val="005672E7"/>
    <w:rsid w:val="00567A4F"/>
    <w:rsid w:val="005713BE"/>
    <w:rsid w:val="00571578"/>
    <w:rsid w:val="00571D85"/>
    <w:rsid w:val="00572B5F"/>
    <w:rsid w:val="00573469"/>
    <w:rsid w:val="00573778"/>
    <w:rsid w:val="005749BB"/>
    <w:rsid w:val="00574B27"/>
    <w:rsid w:val="00574B36"/>
    <w:rsid w:val="005754E8"/>
    <w:rsid w:val="0057662B"/>
    <w:rsid w:val="00576A3D"/>
    <w:rsid w:val="005772A6"/>
    <w:rsid w:val="005774D4"/>
    <w:rsid w:val="005779F0"/>
    <w:rsid w:val="00581189"/>
    <w:rsid w:val="00582731"/>
    <w:rsid w:val="005841C7"/>
    <w:rsid w:val="00584B9F"/>
    <w:rsid w:val="00584D2C"/>
    <w:rsid w:val="00585638"/>
    <w:rsid w:val="00586E94"/>
    <w:rsid w:val="0058720C"/>
    <w:rsid w:val="005879FA"/>
    <w:rsid w:val="00587C16"/>
    <w:rsid w:val="0059065F"/>
    <w:rsid w:val="005911BA"/>
    <w:rsid w:val="0059139D"/>
    <w:rsid w:val="00591B9D"/>
    <w:rsid w:val="00591EB1"/>
    <w:rsid w:val="0059232A"/>
    <w:rsid w:val="00592A91"/>
    <w:rsid w:val="00593313"/>
    <w:rsid w:val="00593CD7"/>
    <w:rsid w:val="00593F40"/>
    <w:rsid w:val="00594335"/>
    <w:rsid w:val="005943D5"/>
    <w:rsid w:val="00595059"/>
    <w:rsid w:val="00595743"/>
    <w:rsid w:val="00596B72"/>
    <w:rsid w:val="005976F9"/>
    <w:rsid w:val="00597FCE"/>
    <w:rsid w:val="005A062B"/>
    <w:rsid w:val="005A0821"/>
    <w:rsid w:val="005A1628"/>
    <w:rsid w:val="005A17C8"/>
    <w:rsid w:val="005A19D9"/>
    <w:rsid w:val="005A2D88"/>
    <w:rsid w:val="005A2E3C"/>
    <w:rsid w:val="005A31E9"/>
    <w:rsid w:val="005A3E89"/>
    <w:rsid w:val="005A4FBD"/>
    <w:rsid w:val="005A55AC"/>
    <w:rsid w:val="005A5A98"/>
    <w:rsid w:val="005A650E"/>
    <w:rsid w:val="005A705F"/>
    <w:rsid w:val="005A7EC9"/>
    <w:rsid w:val="005B087B"/>
    <w:rsid w:val="005B0E5F"/>
    <w:rsid w:val="005B110E"/>
    <w:rsid w:val="005B2AF7"/>
    <w:rsid w:val="005B2E33"/>
    <w:rsid w:val="005B308A"/>
    <w:rsid w:val="005B367E"/>
    <w:rsid w:val="005B44B1"/>
    <w:rsid w:val="005B4A70"/>
    <w:rsid w:val="005B4BCE"/>
    <w:rsid w:val="005B553A"/>
    <w:rsid w:val="005B5A5B"/>
    <w:rsid w:val="005B6ACB"/>
    <w:rsid w:val="005B760E"/>
    <w:rsid w:val="005B78F9"/>
    <w:rsid w:val="005C0428"/>
    <w:rsid w:val="005C085C"/>
    <w:rsid w:val="005C0A94"/>
    <w:rsid w:val="005C0CC4"/>
    <w:rsid w:val="005C1A6D"/>
    <w:rsid w:val="005C20E5"/>
    <w:rsid w:val="005C2553"/>
    <w:rsid w:val="005C278A"/>
    <w:rsid w:val="005C38D6"/>
    <w:rsid w:val="005C524A"/>
    <w:rsid w:val="005C52FF"/>
    <w:rsid w:val="005C57D5"/>
    <w:rsid w:val="005C5C74"/>
    <w:rsid w:val="005C671B"/>
    <w:rsid w:val="005C7D5A"/>
    <w:rsid w:val="005D051D"/>
    <w:rsid w:val="005D1262"/>
    <w:rsid w:val="005D131B"/>
    <w:rsid w:val="005D1CDD"/>
    <w:rsid w:val="005D44F8"/>
    <w:rsid w:val="005D61DF"/>
    <w:rsid w:val="005D62BA"/>
    <w:rsid w:val="005D63F1"/>
    <w:rsid w:val="005D6C06"/>
    <w:rsid w:val="005D6C1A"/>
    <w:rsid w:val="005D79B8"/>
    <w:rsid w:val="005E02A8"/>
    <w:rsid w:val="005E270E"/>
    <w:rsid w:val="005E3305"/>
    <w:rsid w:val="005E3568"/>
    <w:rsid w:val="005E377B"/>
    <w:rsid w:val="005E499F"/>
    <w:rsid w:val="005E4FA1"/>
    <w:rsid w:val="005E52EA"/>
    <w:rsid w:val="005E606E"/>
    <w:rsid w:val="005E6087"/>
    <w:rsid w:val="005E61D2"/>
    <w:rsid w:val="005E678E"/>
    <w:rsid w:val="005F045D"/>
    <w:rsid w:val="005F0763"/>
    <w:rsid w:val="005F1211"/>
    <w:rsid w:val="005F1564"/>
    <w:rsid w:val="005F15A7"/>
    <w:rsid w:val="005F2020"/>
    <w:rsid w:val="005F373D"/>
    <w:rsid w:val="005F4343"/>
    <w:rsid w:val="005F539D"/>
    <w:rsid w:val="005F552D"/>
    <w:rsid w:val="005F5567"/>
    <w:rsid w:val="005F5986"/>
    <w:rsid w:val="005F5EA7"/>
    <w:rsid w:val="005F634F"/>
    <w:rsid w:val="005F6742"/>
    <w:rsid w:val="005F7874"/>
    <w:rsid w:val="00600520"/>
    <w:rsid w:val="00600F5E"/>
    <w:rsid w:val="006023DE"/>
    <w:rsid w:val="00602504"/>
    <w:rsid w:val="00602618"/>
    <w:rsid w:val="00602D01"/>
    <w:rsid w:val="00602ED0"/>
    <w:rsid w:val="00603C5C"/>
    <w:rsid w:val="0060466F"/>
    <w:rsid w:val="006055A6"/>
    <w:rsid w:val="00606040"/>
    <w:rsid w:val="00606109"/>
    <w:rsid w:val="006068C6"/>
    <w:rsid w:val="006068F2"/>
    <w:rsid w:val="00607CDA"/>
    <w:rsid w:val="0061132E"/>
    <w:rsid w:val="00611499"/>
    <w:rsid w:val="00612161"/>
    <w:rsid w:val="006130DF"/>
    <w:rsid w:val="00613113"/>
    <w:rsid w:val="00613CDC"/>
    <w:rsid w:val="00613F6F"/>
    <w:rsid w:val="00614F1C"/>
    <w:rsid w:val="0061505A"/>
    <w:rsid w:val="00615620"/>
    <w:rsid w:val="006163D1"/>
    <w:rsid w:val="00616A85"/>
    <w:rsid w:val="00617E6E"/>
    <w:rsid w:val="00620545"/>
    <w:rsid w:val="00621AAB"/>
    <w:rsid w:val="00621C3F"/>
    <w:rsid w:val="00622710"/>
    <w:rsid w:val="00622F62"/>
    <w:rsid w:val="00623E07"/>
    <w:rsid w:val="006247D3"/>
    <w:rsid w:val="00625F2E"/>
    <w:rsid w:val="00626FF5"/>
    <w:rsid w:val="00630458"/>
    <w:rsid w:val="006305E0"/>
    <w:rsid w:val="006309D7"/>
    <w:rsid w:val="00630B0C"/>
    <w:rsid w:val="00630F8C"/>
    <w:rsid w:val="006316DD"/>
    <w:rsid w:val="00632419"/>
    <w:rsid w:val="006333B9"/>
    <w:rsid w:val="006333F8"/>
    <w:rsid w:val="0063341E"/>
    <w:rsid w:val="00633733"/>
    <w:rsid w:val="00633F2C"/>
    <w:rsid w:val="006343EE"/>
    <w:rsid w:val="006365EF"/>
    <w:rsid w:val="00636A41"/>
    <w:rsid w:val="00636F22"/>
    <w:rsid w:val="006375E6"/>
    <w:rsid w:val="00637856"/>
    <w:rsid w:val="0063796F"/>
    <w:rsid w:val="00637C11"/>
    <w:rsid w:val="00640D18"/>
    <w:rsid w:val="00641028"/>
    <w:rsid w:val="0064108C"/>
    <w:rsid w:val="006411DB"/>
    <w:rsid w:val="006412FE"/>
    <w:rsid w:val="00641E55"/>
    <w:rsid w:val="00641E60"/>
    <w:rsid w:val="00641EBB"/>
    <w:rsid w:val="006427FF"/>
    <w:rsid w:val="006428DE"/>
    <w:rsid w:val="006435ED"/>
    <w:rsid w:val="006439A6"/>
    <w:rsid w:val="0064440D"/>
    <w:rsid w:val="00644A95"/>
    <w:rsid w:val="00644D54"/>
    <w:rsid w:val="00645308"/>
    <w:rsid w:val="00645513"/>
    <w:rsid w:val="00645AFC"/>
    <w:rsid w:val="00646181"/>
    <w:rsid w:val="006462EA"/>
    <w:rsid w:val="0064654B"/>
    <w:rsid w:val="00646BBC"/>
    <w:rsid w:val="0064722D"/>
    <w:rsid w:val="0064757F"/>
    <w:rsid w:val="00650A90"/>
    <w:rsid w:val="0065105E"/>
    <w:rsid w:val="006519FD"/>
    <w:rsid w:val="00652B5E"/>
    <w:rsid w:val="00652CA2"/>
    <w:rsid w:val="006544DD"/>
    <w:rsid w:val="00654807"/>
    <w:rsid w:val="00654C34"/>
    <w:rsid w:val="006553E5"/>
    <w:rsid w:val="00655435"/>
    <w:rsid w:val="006557DC"/>
    <w:rsid w:val="00656C27"/>
    <w:rsid w:val="00657207"/>
    <w:rsid w:val="0065778E"/>
    <w:rsid w:val="006578C8"/>
    <w:rsid w:val="0066104D"/>
    <w:rsid w:val="00661C21"/>
    <w:rsid w:val="00661F0A"/>
    <w:rsid w:val="0066232A"/>
    <w:rsid w:val="00662759"/>
    <w:rsid w:val="006627FA"/>
    <w:rsid w:val="00662830"/>
    <w:rsid w:val="00662E5F"/>
    <w:rsid w:val="006631AB"/>
    <w:rsid w:val="00663C10"/>
    <w:rsid w:val="00663EBA"/>
    <w:rsid w:val="00663F6D"/>
    <w:rsid w:val="00664B41"/>
    <w:rsid w:val="00664D5C"/>
    <w:rsid w:val="00665821"/>
    <w:rsid w:val="00665E4F"/>
    <w:rsid w:val="00666439"/>
    <w:rsid w:val="00666572"/>
    <w:rsid w:val="00666810"/>
    <w:rsid w:val="00671072"/>
    <w:rsid w:val="00671539"/>
    <w:rsid w:val="00671FCC"/>
    <w:rsid w:val="00672A23"/>
    <w:rsid w:val="00673314"/>
    <w:rsid w:val="0067352F"/>
    <w:rsid w:val="00675370"/>
    <w:rsid w:val="00675F45"/>
    <w:rsid w:val="006764BD"/>
    <w:rsid w:val="00677EE4"/>
    <w:rsid w:val="006805C1"/>
    <w:rsid w:val="006806EC"/>
    <w:rsid w:val="006807B8"/>
    <w:rsid w:val="006818F7"/>
    <w:rsid w:val="00681C3D"/>
    <w:rsid w:val="00682052"/>
    <w:rsid w:val="00682524"/>
    <w:rsid w:val="00682C31"/>
    <w:rsid w:val="00683B67"/>
    <w:rsid w:val="0068406C"/>
    <w:rsid w:val="00686527"/>
    <w:rsid w:val="006877DA"/>
    <w:rsid w:val="00687879"/>
    <w:rsid w:val="00687E44"/>
    <w:rsid w:val="00690021"/>
    <w:rsid w:val="0069025B"/>
    <w:rsid w:val="00690A26"/>
    <w:rsid w:val="006913CD"/>
    <w:rsid w:val="006921C9"/>
    <w:rsid w:val="0069228F"/>
    <w:rsid w:val="00692346"/>
    <w:rsid w:val="00692384"/>
    <w:rsid w:val="006927A0"/>
    <w:rsid w:val="00692B18"/>
    <w:rsid w:val="00692ECC"/>
    <w:rsid w:val="00693B03"/>
    <w:rsid w:val="00693E8B"/>
    <w:rsid w:val="00694032"/>
    <w:rsid w:val="006941B8"/>
    <w:rsid w:val="006944B7"/>
    <w:rsid w:val="006947A2"/>
    <w:rsid w:val="00695321"/>
    <w:rsid w:val="0069559A"/>
    <w:rsid w:val="0069567A"/>
    <w:rsid w:val="00695F18"/>
    <w:rsid w:val="006960EC"/>
    <w:rsid w:val="00696307"/>
    <w:rsid w:val="0069664C"/>
    <w:rsid w:val="00696DB3"/>
    <w:rsid w:val="00696E35"/>
    <w:rsid w:val="006A03DE"/>
    <w:rsid w:val="006A0E44"/>
    <w:rsid w:val="006A12CF"/>
    <w:rsid w:val="006A14F3"/>
    <w:rsid w:val="006A17C6"/>
    <w:rsid w:val="006A18D0"/>
    <w:rsid w:val="006A1A6F"/>
    <w:rsid w:val="006A1C8B"/>
    <w:rsid w:val="006A3293"/>
    <w:rsid w:val="006A3427"/>
    <w:rsid w:val="006A4628"/>
    <w:rsid w:val="006A5CDF"/>
    <w:rsid w:val="006A5CEA"/>
    <w:rsid w:val="006A7463"/>
    <w:rsid w:val="006A7C57"/>
    <w:rsid w:val="006B0228"/>
    <w:rsid w:val="006B0391"/>
    <w:rsid w:val="006B0FA7"/>
    <w:rsid w:val="006B17E7"/>
    <w:rsid w:val="006B1AB7"/>
    <w:rsid w:val="006B1F5D"/>
    <w:rsid w:val="006B1FFC"/>
    <w:rsid w:val="006B2EC5"/>
    <w:rsid w:val="006B33D3"/>
    <w:rsid w:val="006B36FF"/>
    <w:rsid w:val="006B3A51"/>
    <w:rsid w:val="006B466E"/>
    <w:rsid w:val="006B5922"/>
    <w:rsid w:val="006B5E5C"/>
    <w:rsid w:val="006B5FE4"/>
    <w:rsid w:val="006B61DB"/>
    <w:rsid w:val="006B6754"/>
    <w:rsid w:val="006C0828"/>
    <w:rsid w:val="006C0AA7"/>
    <w:rsid w:val="006C0CAA"/>
    <w:rsid w:val="006C10F7"/>
    <w:rsid w:val="006C18DE"/>
    <w:rsid w:val="006C2390"/>
    <w:rsid w:val="006C2AE4"/>
    <w:rsid w:val="006C3414"/>
    <w:rsid w:val="006C3650"/>
    <w:rsid w:val="006C3D03"/>
    <w:rsid w:val="006C402A"/>
    <w:rsid w:val="006C4B8A"/>
    <w:rsid w:val="006C65A8"/>
    <w:rsid w:val="006C678C"/>
    <w:rsid w:val="006C7673"/>
    <w:rsid w:val="006C79A4"/>
    <w:rsid w:val="006C7CE2"/>
    <w:rsid w:val="006D128F"/>
    <w:rsid w:val="006D12CD"/>
    <w:rsid w:val="006D17DA"/>
    <w:rsid w:val="006D2292"/>
    <w:rsid w:val="006D3761"/>
    <w:rsid w:val="006D42A4"/>
    <w:rsid w:val="006D608F"/>
    <w:rsid w:val="006D6A74"/>
    <w:rsid w:val="006D6F8C"/>
    <w:rsid w:val="006D7B99"/>
    <w:rsid w:val="006D7F08"/>
    <w:rsid w:val="006E1033"/>
    <w:rsid w:val="006E1409"/>
    <w:rsid w:val="006E1C3C"/>
    <w:rsid w:val="006E2AC9"/>
    <w:rsid w:val="006E2D01"/>
    <w:rsid w:val="006E3003"/>
    <w:rsid w:val="006E41F9"/>
    <w:rsid w:val="006E42D3"/>
    <w:rsid w:val="006E5F6B"/>
    <w:rsid w:val="006E7023"/>
    <w:rsid w:val="006E716F"/>
    <w:rsid w:val="006E7C39"/>
    <w:rsid w:val="006E7F95"/>
    <w:rsid w:val="006F0661"/>
    <w:rsid w:val="006F0A19"/>
    <w:rsid w:val="006F0D43"/>
    <w:rsid w:val="006F21BC"/>
    <w:rsid w:val="006F2771"/>
    <w:rsid w:val="006F2BA9"/>
    <w:rsid w:val="006F4285"/>
    <w:rsid w:val="006F5297"/>
    <w:rsid w:val="006F6992"/>
    <w:rsid w:val="006F7511"/>
    <w:rsid w:val="006F797A"/>
    <w:rsid w:val="006F7EAE"/>
    <w:rsid w:val="007000A7"/>
    <w:rsid w:val="00700829"/>
    <w:rsid w:val="00700E40"/>
    <w:rsid w:val="007016E1"/>
    <w:rsid w:val="007033C1"/>
    <w:rsid w:val="0070354F"/>
    <w:rsid w:val="00704281"/>
    <w:rsid w:val="007045B0"/>
    <w:rsid w:val="007049DD"/>
    <w:rsid w:val="007050F4"/>
    <w:rsid w:val="00706CAF"/>
    <w:rsid w:val="00706D20"/>
    <w:rsid w:val="00707CB9"/>
    <w:rsid w:val="00707E13"/>
    <w:rsid w:val="00711277"/>
    <w:rsid w:val="00711B8B"/>
    <w:rsid w:val="007125C7"/>
    <w:rsid w:val="00712A6A"/>
    <w:rsid w:val="00712AFE"/>
    <w:rsid w:val="00713030"/>
    <w:rsid w:val="00714921"/>
    <w:rsid w:val="007161A6"/>
    <w:rsid w:val="00716564"/>
    <w:rsid w:val="00716A48"/>
    <w:rsid w:val="00717705"/>
    <w:rsid w:val="00720091"/>
    <w:rsid w:val="00722707"/>
    <w:rsid w:val="00722B74"/>
    <w:rsid w:val="00722E0B"/>
    <w:rsid w:val="007239FD"/>
    <w:rsid w:val="00724185"/>
    <w:rsid w:val="007247E6"/>
    <w:rsid w:val="007247F0"/>
    <w:rsid w:val="00724B5F"/>
    <w:rsid w:val="00724DB0"/>
    <w:rsid w:val="007259A0"/>
    <w:rsid w:val="00725D5D"/>
    <w:rsid w:val="0072626B"/>
    <w:rsid w:val="00726529"/>
    <w:rsid w:val="007272D8"/>
    <w:rsid w:val="00727557"/>
    <w:rsid w:val="00727968"/>
    <w:rsid w:val="00727AAF"/>
    <w:rsid w:val="0073120B"/>
    <w:rsid w:val="007312A2"/>
    <w:rsid w:val="00731A92"/>
    <w:rsid w:val="007330B4"/>
    <w:rsid w:val="00733C9F"/>
    <w:rsid w:val="007341A3"/>
    <w:rsid w:val="00734E42"/>
    <w:rsid w:val="007360C0"/>
    <w:rsid w:val="0073659E"/>
    <w:rsid w:val="007366C0"/>
    <w:rsid w:val="007372E1"/>
    <w:rsid w:val="00737DD3"/>
    <w:rsid w:val="007401BA"/>
    <w:rsid w:val="0074048F"/>
    <w:rsid w:val="00740629"/>
    <w:rsid w:val="007408F6"/>
    <w:rsid w:val="00740AC8"/>
    <w:rsid w:val="007412D7"/>
    <w:rsid w:val="007415E7"/>
    <w:rsid w:val="00742257"/>
    <w:rsid w:val="00743249"/>
    <w:rsid w:val="007441CD"/>
    <w:rsid w:val="00744272"/>
    <w:rsid w:val="00744854"/>
    <w:rsid w:val="00744C93"/>
    <w:rsid w:val="00744FE2"/>
    <w:rsid w:val="0074534B"/>
    <w:rsid w:val="0074609F"/>
    <w:rsid w:val="00747D6A"/>
    <w:rsid w:val="00750228"/>
    <w:rsid w:val="007504AD"/>
    <w:rsid w:val="007506B6"/>
    <w:rsid w:val="00750D85"/>
    <w:rsid w:val="00750F9E"/>
    <w:rsid w:val="00751668"/>
    <w:rsid w:val="00751E5A"/>
    <w:rsid w:val="007522BD"/>
    <w:rsid w:val="007528B2"/>
    <w:rsid w:val="00752BA6"/>
    <w:rsid w:val="00752EE8"/>
    <w:rsid w:val="00752FF7"/>
    <w:rsid w:val="00753069"/>
    <w:rsid w:val="00753255"/>
    <w:rsid w:val="00753BE2"/>
    <w:rsid w:val="007548F1"/>
    <w:rsid w:val="00754FDB"/>
    <w:rsid w:val="007557FF"/>
    <w:rsid w:val="00756DF2"/>
    <w:rsid w:val="007579C7"/>
    <w:rsid w:val="007602E1"/>
    <w:rsid w:val="00761B7C"/>
    <w:rsid w:val="0076314B"/>
    <w:rsid w:val="00763742"/>
    <w:rsid w:val="00763790"/>
    <w:rsid w:val="00763AA1"/>
    <w:rsid w:val="00763CEC"/>
    <w:rsid w:val="00764BAE"/>
    <w:rsid w:val="00764BC3"/>
    <w:rsid w:val="00764D28"/>
    <w:rsid w:val="00764EBB"/>
    <w:rsid w:val="00765997"/>
    <w:rsid w:val="00766652"/>
    <w:rsid w:val="007666F4"/>
    <w:rsid w:val="00766EB4"/>
    <w:rsid w:val="00767461"/>
    <w:rsid w:val="00767B40"/>
    <w:rsid w:val="007704AC"/>
    <w:rsid w:val="00771E60"/>
    <w:rsid w:val="007721F5"/>
    <w:rsid w:val="00772A1B"/>
    <w:rsid w:val="00772CEF"/>
    <w:rsid w:val="00772DD8"/>
    <w:rsid w:val="00773594"/>
    <w:rsid w:val="00773A9E"/>
    <w:rsid w:val="0077468B"/>
    <w:rsid w:val="00774BED"/>
    <w:rsid w:val="00774C2A"/>
    <w:rsid w:val="00774EE0"/>
    <w:rsid w:val="007751F3"/>
    <w:rsid w:val="00775278"/>
    <w:rsid w:val="007752BB"/>
    <w:rsid w:val="00775BCA"/>
    <w:rsid w:val="00777891"/>
    <w:rsid w:val="00780055"/>
    <w:rsid w:val="00781822"/>
    <w:rsid w:val="00781A1F"/>
    <w:rsid w:val="00781B60"/>
    <w:rsid w:val="00781E5E"/>
    <w:rsid w:val="0078252B"/>
    <w:rsid w:val="00782819"/>
    <w:rsid w:val="00782F78"/>
    <w:rsid w:val="00783C1D"/>
    <w:rsid w:val="00783D67"/>
    <w:rsid w:val="007840AD"/>
    <w:rsid w:val="00784289"/>
    <w:rsid w:val="00784695"/>
    <w:rsid w:val="00784B34"/>
    <w:rsid w:val="007864DD"/>
    <w:rsid w:val="0078678B"/>
    <w:rsid w:val="007868AA"/>
    <w:rsid w:val="00786BFA"/>
    <w:rsid w:val="00787BC7"/>
    <w:rsid w:val="00787F95"/>
    <w:rsid w:val="00790389"/>
    <w:rsid w:val="00790612"/>
    <w:rsid w:val="007917EC"/>
    <w:rsid w:val="00791E15"/>
    <w:rsid w:val="0079236D"/>
    <w:rsid w:val="00792474"/>
    <w:rsid w:val="00792C04"/>
    <w:rsid w:val="007939A9"/>
    <w:rsid w:val="00794708"/>
    <w:rsid w:val="007949B2"/>
    <w:rsid w:val="00794E69"/>
    <w:rsid w:val="00795292"/>
    <w:rsid w:val="00795D6E"/>
    <w:rsid w:val="00795D97"/>
    <w:rsid w:val="00796016"/>
    <w:rsid w:val="007961BB"/>
    <w:rsid w:val="007962E7"/>
    <w:rsid w:val="00796355"/>
    <w:rsid w:val="007967E3"/>
    <w:rsid w:val="007968A5"/>
    <w:rsid w:val="00797103"/>
    <w:rsid w:val="007973E0"/>
    <w:rsid w:val="00797DD5"/>
    <w:rsid w:val="007A0C02"/>
    <w:rsid w:val="007A1F3A"/>
    <w:rsid w:val="007A21F9"/>
    <w:rsid w:val="007A2765"/>
    <w:rsid w:val="007A307E"/>
    <w:rsid w:val="007A3716"/>
    <w:rsid w:val="007A3A6C"/>
    <w:rsid w:val="007A3B33"/>
    <w:rsid w:val="007A3D7C"/>
    <w:rsid w:val="007A41EB"/>
    <w:rsid w:val="007A4D54"/>
    <w:rsid w:val="007A6065"/>
    <w:rsid w:val="007A68E4"/>
    <w:rsid w:val="007A6961"/>
    <w:rsid w:val="007A6DE0"/>
    <w:rsid w:val="007B1108"/>
    <w:rsid w:val="007B186F"/>
    <w:rsid w:val="007B2317"/>
    <w:rsid w:val="007B2CBA"/>
    <w:rsid w:val="007B2DE5"/>
    <w:rsid w:val="007B392D"/>
    <w:rsid w:val="007B3BBE"/>
    <w:rsid w:val="007B417C"/>
    <w:rsid w:val="007B4B3E"/>
    <w:rsid w:val="007B4F22"/>
    <w:rsid w:val="007B5557"/>
    <w:rsid w:val="007B5CC7"/>
    <w:rsid w:val="007B63A1"/>
    <w:rsid w:val="007C0B6A"/>
    <w:rsid w:val="007C1358"/>
    <w:rsid w:val="007C232D"/>
    <w:rsid w:val="007C2653"/>
    <w:rsid w:val="007C43DD"/>
    <w:rsid w:val="007C4E1C"/>
    <w:rsid w:val="007C57F5"/>
    <w:rsid w:val="007C6BFE"/>
    <w:rsid w:val="007C6F5E"/>
    <w:rsid w:val="007C70C9"/>
    <w:rsid w:val="007C73DA"/>
    <w:rsid w:val="007C7B5E"/>
    <w:rsid w:val="007D1513"/>
    <w:rsid w:val="007D1D28"/>
    <w:rsid w:val="007D1D90"/>
    <w:rsid w:val="007D2F05"/>
    <w:rsid w:val="007D3888"/>
    <w:rsid w:val="007D3DFD"/>
    <w:rsid w:val="007D3F54"/>
    <w:rsid w:val="007D41FB"/>
    <w:rsid w:val="007D548C"/>
    <w:rsid w:val="007D554E"/>
    <w:rsid w:val="007D559A"/>
    <w:rsid w:val="007D5A02"/>
    <w:rsid w:val="007D5DD5"/>
    <w:rsid w:val="007D66C3"/>
    <w:rsid w:val="007E0174"/>
    <w:rsid w:val="007E0896"/>
    <w:rsid w:val="007E18FE"/>
    <w:rsid w:val="007E1CC8"/>
    <w:rsid w:val="007E1D4D"/>
    <w:rsid w:val="007E2176"/>
    <w:rsid w:val="007E224A"/>
    <w:rsid w:val="007E23B1"/>
    <w:rsid w:val="007E3E43"/>
    <w:rsid w:val="007E4DD7"/>
    <w:rsid w:val="007E6715"/>
    <w:rsid w:val="007E68A6"/>
    <w:rsid w:val="007E68F4"/>
    <w:rsid w:val="007F00BD"/>
    <w:rsid w:val="007F20E9"/>
    <w:rsid w:val="007F23B7"/>
    <w:rsid w:val="007F2485"/>
    <w:rsid w:val="007F24D0"/>
    <w:rsid w:val="007F2772"/>
    <w:rsid w:val="007F2AA8"/>
    <w:rsid w:val="007F339C"/>
    <w:rsid w:val="007F3C36"/>
    <w:rsid w:val="007F3CBC"/>
    <w:rsid w:val="007F3EF6"/>
    <w:rsid w:val="007F5640"/>
    <w:rsid w:val="007F5B97"/>
    <w:rsid w:val="007F6AED"/>
    <w:rsid w:val="007F712E"/>
    <w:rsid w:val="007F7ACB"/>
    <w:rsid w:val="007F7E7A"/>
    <w:rsid w:val="007F7FA1"/>
    <w:rsid w:val="007F7FC0"/>
    <w:rsid w:val="00800481"/>
    <w:rsid w:val="00800667"/>
    <w:rsid w:val="0080093E"/>
    <w:rsid w:val="00800F20"/>
    <w:rsid w:val="008018FC"/>
    <w:rsid w:val="00801D19"/>
    <w:rsid w:val="008038FD"/>
    <w:rsid w:val="008040D4"/>
    <w:rsid w:val="00804A41"/>
    <w:rsid w:val="008051AC"/>
    <w:rsid w:val="00806308"/>
    <w:rsid w:val="008074DC"/>
    <w:rsid w:val="008076CA"/>
    <w:rsid w:val="00807782"/>
    <w:rsid w:val="00807B1F"/>
    <w:rsid w:val="00810122"/>
    <w:rsid w:val="00810851"/>
    <w:rsid w:val="00810B2B"/>
    <w:rsid w:val="00810BAB"/>
    <w:rsid w:val="0081167B"/>
    <w:rsid w:val="00811A46"/>
    <w:rsid w:val="00813791"/>
    <w:rsid w:val="00814573"/>
    <w:rsid w:val="008145B4"/>
    <w:rsid w:val="00814845"/>
    <w:rsid w:val="00815FA1"/>
    <w:rsid w:val="00816188"/>
    <w:rsid w:val="00816CC4"/>
    <w:rsid w:val="00817013"/>
    <w:rsid w:val="00817076"/>
    <w:rsid w:val="00817A9F"/>
    <w:rsid w:val="00817B3C"/>
    <w:rsid w:val="00820354"/>
    <w:rsid w:val="00820B44"/>
    <w:rsid w:val="008212C0"/>
    <w:rsid w:val="00822843"/>
    <w:rsid w:val="00823411"/>
    <w:rsid w:val="00823AC4"/>
    <w:rsid w:val="00823DF6"/>
    <w:rsid w:val="0082546B"/>
    <w:rsid w:val="008259C7"/>
    <w:rsid w:val="00825F17"/>
    <w:rsid w:val="00826C9F"/>
    <w:rsid w:val="008271AA"/>
    <w:rsid w:val="008271B3"/>
    <w:rsid w:val="00830482"/>
    <w:rsid w:val="00830571"/>
    <w:rsid w:val="008306E0"/>
    <w:rsid w:val="0083177F"/>
    <w:rsid w:val="00831966"/>
    <w:rsid w:val="00831BB7"/>
    <w:rsid w:val="00831E2C"/>
    <w:rsid w:val="008336B2"/>
    <w:rsid w:val="008341FB"/>
    <w:rsid w:val="00834FE6"/>
    <w:rsid w:val="008350C2"/>
    <w:rsid w:val="0083551E"/>
    <w:rsid w:val="0083575E"/>
    <w:rsid w:val="00835C7E"/>
    <w:rsid w:val="00835FCA"/>
    <w:rsid w:val="0083605D"/>
    <w:rsid w:val="008366EB"/>
    <w:rsid w:val="00836DD8"/>
    <w:rsid w:val="00837462"/>
    <w:rsid w:val="00837A17"/>
    <w:rsid w:val="00840563"/>
    <w:rsid w:val="008405CE"/>
    <w:rsid w:val="00840989"/>
    <w:rsid w:val="008409FB"/>
    <w:rsid w:val="00840A0A"/>
    <w:rsid w:val="00841DA1"/>
    <w:rsid w:val="00843531"/>
    <w:rsid w:val="008436D9"/>
    <w:rsid w:val="00843A1C"/>
    <w:rsid w:val="00844E5C"/>
    <w:rsid w:val="00844F0A"/>
    <w:rsid w:val="00846B45"/>
    <w:rsid w:val="00846E0A"/>
    <w:rsid w:val="008476A3"/>
    <w:rsid w:val="008479B3"/>
    <w:rsid w:val="00850C4E"/>
    <w:rsid w:val="00850D4D"/>
    <w:rsid w:val="00851912"/>
    <w:rsid w:val="00852512"/>
    <w:rsid w:val="0085378E"/>
    <w:rsid w:val="00854002"/>
    <w:rsid w:val="0085408A"/>
    <w:rsid w:val="008544F6"/>
    <w:rsid w:val="00854AB2"/>
    <w:rsid w:val="00855201"/>
    <w:rsid w:val="0085583D"/>
    <w:rsid w:val="00855BBB"/>
    <w:rsid w:val="008560E2"/>
    <w:rsid w:val="008566AA"/>
    <w:rsid w:val="008568CB"/>
    <w:rsid w:val="00856DCA"/>
    <w:rsid w:val="0085765A"/>
    <w:rsid w:val="0085792D"/>
    <w:rsid w:val="00857DF0"/>
    <w:rsid w:val="0086036B"/>
    <w:rsid w:val="0086067B"/>
    <w:rsid w:val="00860E7B"/>
    <w:rsid w:val="00861BC9"/>
    <w:rsid w:val="00862ADB"/>
    <w:rsid w:val="00862D80"/>
    <w:rsid w:val="00862EFC"/>
    <w:rsid w:val="00863693"/>
    <w:rsid w:val="00863E8B"/>
    <w:rsid w:val="008643F2"/>
    <w:rsid w:val="008646E6"/>
    <w:rsid w:val="008650B3"/>
    <w:rsid w:val="008650B4"/>
    <w:rsid w:val="00865100"/>
    <w:rsid w:val="0086529E"/>
    <w:rsid w:val="00866587"/>
    <w:rsid w:val="00867240"/>
    <w:rsid w:val="00867C45"/>
    <w:rsid w:val="00870771"/>
    <w:rsid w:val="00871321"/>
    <w:rsid w:val="008714E6"/>
    <w:rsid w:val="00871B91"/>
    <w:rsid w:val="0087234B"/>
    <w:rsid w:val="008725AF"/>
    <w:rsid w:val="008727F1"/>
    <w:rsid w:val="00873C79"/>
    <w:rsid w:val="00874B8B"/>
    <w:rsid w:val="00876D26"/>
    <w:rsid w:val="00877589"/>
    <w:rsid w:val="00880FBB"/>
    <w:rsid w:val="00881205"/>
    <w:rsid w:val="00881C28"/>
    <w:rsid w:val="0088211A"/>
    <w:rsid w:val="00883171"/>
    <w:rsid w:val="00883E41"/>
    <w:rsid w:val="008850DE"/>
    <w:rsid w:val="00886144"/>
    <w:rsid w:val="008866CB"/>
    <w:rsid w:val="0088764A"/>
    <w:rsid w:val="008879D0"/>
    <w:rsid w:val="00887E0A"/>
    <w:rsid w:val="008905FD"/>
    <w:rsid w:val="00890EAE"/>
    <w:rsid w:val="00891B2A"/>
    <w:rsid w:val="00892234"/>
    <w:rsid w:val="008925BE"/>
    <w:rsid w:val="00892693"/>
    <w:rsid w:val="00892810"/>
    <w:rsid w:val="00892B42"/>
    <w:rsid w:val="00892D1B"/>
    <w:rsid w:val="0089339E"/>
    <w:rsid w:val="00893D2B"/>
    <w:rsid w:val="00893E9F"/>
    <w:rsid w:val="00894B57"/>
    <w:rsid w:val="008951B3"/>
    <w:rsid w:val="008954FD"/>
    <w:rsid w:val="008967F1"/>
    <w:rsid w:val="00896B26"/>
    <w:rsid w:val="00896FC5"/>
    <w:rsid w:val="00897D85"/>
    <w:rsid w:val="008A0842"/>
    <w:rsid w:val="008A0D63"/>
    <w:rsid w:val="008A1313"/>
    <w:rsid w:val="008A1BE9"/>
    <w:rsid w:val="008A265C"/>
    <w:rsid w:val="008A2E7C"/>
    <w:rsid w:val="008A395E"/>
    <w:rsid w:val="008A40C5"/>
    <w:rsid w:val="008A4301"/>
    <w:rsid w:val="008A4380"/>
    <w:rsid w:val="008A5162"/>
    <w:rsid w:val="008A51E6"/>
    <w:rsid w:val="008A521B"/>
    <w:rsid w:val="008A561D"/>
    <w:rsid w:val="008A5735"/>
    <w:rsid w:val="008A733B"/>
    <w:rsid w:val="008B0F24"/>
    <w:rsid w:val="008B0FDB"/>
    <w:rsid w:val="008B1B18"/>
    <w:rsid w:val="008B285C"/>
    <w:rsid w:val="008B297E"/>
    <w:rsid w:val="008B7E38"/>
    <w:rsid w:val="008C0089"/>
    <w:rsid w:val="008C120F"/>
    <w:rsid w:val="008C1616"/>
    <w:rsid w:val="008C1CE9"/>
    <w:rsid w:val="008C2D72"/>
    <w:rsid w:val="008C4433"/>
    <w:rsid w:val="008C44F4"/>
    <w:rsid w:val="008C473B"/>
    <w:rsid w:val="008C50D5"/>
    <w:rsid w:val="008C55E9"/>
    <w:rsid w:val="008C5FAB"/>
    <w:rsid w:val="008C61FB"/>
    <w:rsid w:val="008C65B9"/>
    <w:rsid w:val="008C6984"/>
    <w:rsid w:val="008C72A6"/>
    <w:rsid w:val="008C76A8"/>
    <w:rsid w:val="008C79A3"/>
    <w:rsid w:val="008D0502"/>
    <w:rsid w:val="008D05AE"/>
    <w:rsid w:val="008D106A"/>
    <w:rsid w:val="008D199A"/>
    <w:rsid w:val="008D1ADC"/>
    <w:rsid w:val="008D1E0C"/>
    <w:rsid w:val="008D22D1"/>
    <w:rsid w:val="008D3260"/>
    <w:rsid w:val="008D3DF6"/>
    <w:rsid w:val="008D4DD2"/>
    <w:rsid w:val="008D53CA"/>
    <w:rsid w:val="008D5D6B"/>
    <w:rsid w:val="008D5ED7"/>
    <w:rsid w:val="008D651B"/>
    <w:rsid w:val="008D76B1"/>
    <w:rsid w:val="008D7DA8"/>
    <w:rsid w:val="008E0A32"/>
    <w:rsid w:val="008E13D9"/>
    <w:rsid w:val="008E1F1E"/>
    <w:rsid w:val="008E20DE"/>
    <w:rsid w:val="008E2BAB"/>
    <w:rsid w:val="008E36BB"/>
    <w:rsid w:val="008E36D5"/>
    <w:rsid w:val="008E3E80"/>
    <w:rsid w:val="008E521B"/>
    <w:rsid w:val="008E589A"/>
    <w:rsid w:val="008E6ECB"/>
    <w:rsid w:val="008E6FF0"/>
    <w:rsid w:val="008E710E"/>
    <w:rsid w:val="008E7A3C"/>
    <w:rsid w:val="008E7C6F"/>
    <w:rsid w:val="008E7D54"/>
    <w:rsid w:val="008F0322"/>
    <w:rsid w:val="008F06B9"/>
    <w:rsid w:val="008F1481"/>
    <w:rsid w:val="008F1A92"/>
    <w:rsid w:val="008F2164"/>
    <w:rsid w:val="008F2B5F"/>
    <w:rsid w:val="008F2CA5"/>
    <w:rsid w:val="008F346A"/>
    <w:rsid w:val="008F39F8"/>
    <w:rsid w:val="008F3D7E"/>
    <w:rsid w:val="008F3DF8"/>
    <w:rsid w:val="008F3F69"/>
    <w:rsid w:val="008F5A61"/>
    <w:rsid w:val="008F622C"/>
    <w:rsid w:val="008F6AD9"/>
    <w:rsid w:val="008F75F8"/>
    <w:rsid w:val="008F778C"/>
    <w:rsid w:val="008F79B9"/>
    <w:rsid w:val="008F7A55"/>
    <w:rsid w:val="00900391"/>
    <w:rsid w:val="0090081F"/>
    <w:rsid w:val="00901A4D"/>
    <w:rsid w:val="00901AFF"/>
    <w:rsid w:val="00902055"/>
    <w:rsid w:val="00903012"/>
    <w:rsid w:val="00903292"/>
    <w:rsid w:val="00903624"/>
    <w:rsid w:val="00903E5C"/>
    <w:rsid w:val="00905393"/>
    <w:rsid w:val="009053FE"/>
    <w:rsid w:val="009056CF"/>
    <w:rsid w:val="00905C57"/>
    <w:rsid w:val="009064E1"/>
    <w:rsid w:val="00910057"/>
    <w:rsid w:val="00910750"/>
    <w:rsid w:val="00910798"/>
    <w:rsid w:val="00910AB9"/>
    <w:rsid w:val="00910E0D"/>
    <w:rsid w:val="009114E0"/>
    <w:rsid w:val="009118E0"/>
    <w:rsid w:val="00912704"/>
    <w:rsid w:val="0091297E"/>
    <w:rsid w:val="00912D38"/>
    <w:rsid w:val="00912F4F"/>
    <w:rsid w:val="00914243"/>
    <w:rsid w:val="00914976"/>
    <w:rsid w:val="00914CB1"/>
    <w:rsid w:val="0091556E"/>
    <w:rsid w:val="0091576A"/>
    <w:rsid w:val="009159E1"/>
    <w:rsid w:val="00917FEA"/>
    <w:rsid w:val="0092003F"/>
    <w:rsid w:val="00920B66"/>
    <w:rsid w:val="00920BA4"/>
    <w:rsid w:val="00920C4C"/>
    <w:rsid w:val="00922014"/>
    <w:rsid w:val="00922359"/>
    <w:rsid w:val="00922C45"/>
    <w:rsid w:val="00922CD0"/>
    <w:rsid w:val="00922ED2"/>
    <w:rsid w:val="009235D8"/>
    <w:rsid w:val="00923898"/>
    <w:rsid w:val="00924373"/>
    <w:rsid w:val="00925333"/>
    <w:rsid w:val="00925D8B"/>
    <w:rsid w:val="00926661"/>
    <w:rsid w:val="00927985"/>
    <w:rsid w:val="009303D0"/>
    <w:rsid w:val="009303E7"/>
    <w:rsid w:val="009304A4"/>
    <w:rsid w:val="00930876"/>
    <w:rsid w:val="00930D1B"/>
    <w:rsid w:val="00931301"/>
    <w:rsid w:val="00931651"/>
    <w:rsid w:val="00931E27"/>
    <w:rsid w:val="00932F1B"/>
    <w:rsid w:val="00933C31"/>
    <w:rsid w:val="0093476B"/>
    <w:rsid w:val="00935F8F"/>
    <w:rsid w:val="009362FA"/>
    <w:rsid w:val="0093697C"/>
    <w:rsid w:val="00936982"/>
    <w:rsid w:val="00936F09"/>
    <w:rsid w:val="00937F4B"/>
    <w:rsid w:val="00940C01"/>
    <w:rsid w:val="00940EB7"/>
    <w:rsid w:val="00940FB1"/>
    <w:rsid w:val="009410A3"/>
    <w:rsid w:val="009412C4"/>
    <w:rsid w:val="009413EE"/>
    <w:rsid w:val="00941BDF"/>
    <w:rsid w:val="00941EFF"/>
    <w:rsid w:val="00941F4C"/>
    <w:rsid w:val="00942D57"/>
    <w:rsid w:val="0094380E"/>
    <w:rsid w:val="00943DA7"/>
    <w:rsid w:val="0094448B"/>
    <w:rsid w:val="00944596"/>
    <w:rsid w:val="0094463C"/>
    <w:rsid w:val="0094550C"/>
    <w:rsid w:val="00945D61"/>
    <w:rsid w:val="00946AFA"/>
    <w:rsid w:val="00946E5B"/>
    <w:rsid w:val="0095034F"/>
    <w:rsid w:val="0095066A"/>
    <w:rsid w:val="00950BE2"/>
    <w:rsid w:val="00950D01"/>
    <w:rsid w:val="009511FE"/>
    <w:rsid w:val="00951685"/>
    <w:rsid w:val="00951E97"/>
    <w:rsid w:val="00952DE7"/>
    <w:rsid w:val="009532EF"/>
    <w:rsid w:val="0095384D"/>
    <w:rsid w:val="00953D5B"/>
    <w:rsid w:val="00954347"/>
    <w:rsid w:val="009546F9"/>
    <w:rsid w:val="0095511F"/>
    <w:rsid w:val="0095643C"/>
    <w:rsid w:val="009564BD"/>
    <w:rsid w:val="00956BDA"/>
    <w:rsid w:val="00956CFA"/>
    <w:rsid w:val="00957294"/>
    <w:rsid w:val="00957AA4"/>
    <w:rsid w:val="009608FD"/>
    <w:rsid w:val="00960B7B"/>
    <w:rsid w:val="00960FFE"/>
    <w:rsid w:val="0096113D"/>
    <w:rsid w:val="00961272"/>
    <w:rsid w:val="00961290"/>
    <w:rsid w:val="00961578"/>
    <w:rsid w:val="009618EB"/>
    <w:rsid w:val="00961DE6"/>
    <w:rsid w:val="009628E7"/>
    <w:rsid w:val="00962BFE"/>
    <w:rsid w:val="00962CD8"/>
    <w:rsid w:val="009634C3"/>
    <w:rsid w:val="0096369F"/>
    <w:rsid w:val="00963B4E"/>
    <w:rsid w:val="00963B52"/>
    <w:rsid w:val="00963F6D"/>
    <w:rsid w:val="009643CB"/>
    <w:rsid w:val="00964985"/>
    <w:rsid w:val="00964B07"/>
    <w:rsid w:val="00965E0E"/>
    <w:rsid w:val="00967291"/>
    <w:rsid w:val="0096769F"/>
    <w:rsid w:val="00967777"/>
    <w:rsid w:val="009677A5"/>
    <w:rsid w:val="00967C22"/>
    <w:rsid w:val="00967C85"/>
    <w:rsid w:val="00967DC1"/>
    <w:rsid w:val="00970083"/>
    <w:rsid w:val="009703EE"/>
    <w:rsid w:val="00970C6B"/>
    <w:rsid w:val="0097191F"/>
    <w:rsid w:val="009722C9"/>
    <w:rsid w:val="0097283D"/>
    <w:rsid w:val="00972870"/>
    <w:rsid w:val="00972ACD"/>
    <w:rsid w:val="00973303"/>
    <w:rsid w:val="00973817"/>
    <w:rsid w:val="00974488"/>
    <w:rsid w:val="00975C21"/>
    <w:rsid w:val="00976086"/>
    <w:rsid w:val="00977C3B"/>
    <w:rsid w:val="00980521"/>
    <w:rsid w:val="009806A1"/>
    <w:rsid w:val="00980A12"/>
    <w:rsid w:val="00980FA1"/>
    <w:rsid w:val="00981D0E"/>
    <w:rsid w:val="00981D9A"/>
    <w:rsid w:val="00984331"/>
    <w:rsid w:val="00984440"/>
    <w:rsid w:val="00985235"/>
    <w:rsid w:val="009863E1"/>
    <w:rsid w:val="0098647C"/>
    <w:rsid w:val="009874CC"/>
    <w:rsid w:val="00987909"/>
    <w:rsid w:val="00987FB2"/>
    <w:rsid w:val="00990A02"/>
    <w:rsid w:val="00991649"/>
    <w:rsid w:val="00991CC1"/>
    <w:rsid w:val="00992D70"/>
    <w:rsid w:val="009947C0"/>
    <w:rsid w:val="00995D10"/>
    <w:rsid w:val="009960D3"/>
    <w:rsid w:val="009967FD"/>
    <w:rsid w:val="00996BC7"/>
    <w:rsid w:val="00997740"/>
    <w:rsid w:val="00997CE1"/>
    <w:rsid w:val="00997E4A"/>
    <w:rsid w:val="009A02D5"/>
    <w:rsid w:val="009A0839"/>
    <w:rsid w:val="009A1349"/>
    <w:rsid w:val="009A16F5"/>
    <w:rsid w:val="009A1FE6"/>
    <w:rsid w:val="009A29C3"/>
    <w:rsid w:val="009A2AE6"/>
    <w:rsid w:val="009A37F9"/>
    <w:rsid w:val="009A386F"/>
    <w:rsid w:val="009A440C"/>
    <w:rsid w:val="009A596A"/>
    <w:rsid w:val="009A5CFC"/>
    <w:rsid w:val="009A643C"/>
    <w:rsid w:val="009A6DAC"/>
    <w:rsid w:val="009A6FED"/>
    <w:rsid w:val="009B0684"/>
    <w:rsid w:val="009B09CA"/>
    <w:rsid w:val="009B0D6C"/>
    <w:rsid w:val="009B15F4"/>
    <w:rsid w:val="009B2430"/>
    <w:rsid w:val="009B2434"/>
    <w:rsid w:val="009B25AB"/>
    <w:rsid w:val="009B2C4B"/>
    <w:rsid w:val="009B30D9"/>
    <w:rsid w:val="009B3291"/>
    <w:rsid w:val="009B377A"/>
    <w:rsid w:val="009B3E9A"/>
    <w:rsid w:val="009B4116"/>
    <w:rsid w:val="009B6017"/>
    <w:rsid w:val="009B6A11"/>
    <w:rsid w:val="009B6AAF"/>
    <w:rsid w:val="009B6B7A"/>
    <w:rsid w:val="009B7495"/>
    <w:rsid w:val="009B7585"/>
    <w:rsid w:val="009B766D"/>
    <w:rsid w:val="009B7CC2"/>
    <w:rsid w:val="009B7E0C"/>
    <w:rsid w:val="009C053E"/>
    <w:rsid w:val="009C0770"/>
    <w:rsid w:val="009C2334"/>
    <w:rsid w:val="009C26CA"/>
    <w:rsid w:val="009C2DA5"/>
    <w:rsid w:val="009C3A29"/>
    <w:rsid w:val="009C3FEF"/>
    <w:rsid w:val="009C4B3D"/>
    <w:rsid w:val="009C5F4E"/>
    <w:rsid w:val="009C63DE"/>
    <w:rsid w:val="009C6606"/>
    <w:rsid w:val="009C7EE2"/>
    <w:rsid w:val="009C7F6B"/>
    <w:rsid w:val="009D0226"/>
    <w:rsid w:val="009D03D1"/>
    <w:rsid w:val="009D0590"/>
    <w:rsid w:val="009D0F2B"/>
    <w:rsid w:val="009D0FC0"/>
    <w:rsid w:val="009D1387"/>
    <w:rsid w:val="009D1916"/>
    <w:rsid w:val="009D1A9B"/>
    <w:rsid w:val="009D237B"/>
    <w:rsid w:val="009D260B"/>
    <w:rsid w:val="009D363A"/>
    <w:rsid w:val="009D3940"/>
    <w:rsid w:val="009D4434"/>
    <w:rsid w:val="009D470C"/>
    <w:rsid w:val="009D5BFB"/>
    <w:rsid w:val="009D655F"/>
    <w:rsid w:val="009D73BD"/>
    <w:rsid w:val="009D79F7"/>
    <w:rsid w:val="009D7C5B"/>
    <w:rsid w:val="009E00CA"/>
    <w:rsid w:val="009E0136"/>
    <w:rsid w:val="009E0991"/>
    <w:rsid w:val="009E09AE"/>
    <w:rsid w:val="009E1038"/>
    <w:rsid w:val="009E16AA"/>
    <w:rsid w:val="009E1A17"/>
    <w:rsid w:val="009E23EB"/>
    <w:rsid w:val="009E3B4E"/>
    <w:rsid w:val="009E420D"/>
    <w:rsid w:val="009E470F"/>
    <w:rsid w:val="009E4C5F"/>
    <w:rsid w:val="009E5824"/>
    <w:rsid w:val="009E58AD"/>
    <w:rsid w:val="009E5983"/>
    <w:rsid w:val="009E62A6"/>
    <w:rsid w:val="009E6637"/>
    <w:rsid w:val="009E7378"/>
    <w:rsid w:val="009E77D1"/>
    <w:rsid w:val="009F0146"/>
    <w:rsid w:val="009F0F1D"/>
    <w:rsid w:val="009F0FB5"/>
    <w:rsid w:val="009F12D0"/>
    <w:rsid w:val="009F1AC5"/>
    <w:rsid w:val="009F2106"/>
    <w:rsid w:val="009F23B7"/>
    <w:rsid w:val="009F34DE"/>
    <w:rsid w:val="009F3719"/>
    <w:rsid w:val="009F3776"/>
    <w:rsid w:val="009F3F17"/>
    <w:rsid w:val="009F425C"/>
    <w:rsid w:val="009F46EA"/>
    <w:rsid w:val="009F4B12"/>
    <w:rsid w:val="009F4E6F"/>
    <w:rsid w:val="009F577D"/>
    <w:rsid w:val="009F585D"/>
    <w:rsid w:val="009F593A"/>
    <w:rsid w:val="009F6550"/>
    <w:rsid w:val="009F71E1"/>
    <w:rsid w:val="009F7246"/>
    <w:rsid w:val="009F74B9"/>
    <w:rsid w:val="009F7578"/>
    <w:rsid w:val="009F77A2"/>
    <w:rsid w:val="009F7BEB"/>
    <w:rsid w:val="009F7CF7"/>
    <w:rsid w:val="00A0091A"/>
    <w:rsid w:val="00A0134C"/>
    <w:rsid w:val="00A01622"/>
    <w:rsid w:val="00A0268A"/>
    <w:rsid w:val="00A02A8B"/>
    <w:rsid w:val="00A03CF9"/>
    <w:rsid w:val="00A045AB"/>
    <w:rsid w:val="00A04DDE"/>
    <w:rsid w:val="00A06073"/>
    <w:rsid w:val="00A0664A"/>
    <w:rsid w:val="00A067A0"/>
    <w:rsid w:val="00A06C04"/>
    <w:rsid w:val="00A0740E"/>
    <w:rsid w:val="00A07E47"/>
    <w:rsid w:val="00A07E90"/>
    <w:rsid w:val="00A100FA"/>
    <w:rsid w:val="00A10AEC"/>
    <w:rsid w:val="00A10C31"/>
    <w:rsid w:val="00A11697"/>
    <w:rsid w:val="00A12770"/>
    <w:rsid w:val="00A12A4F"/>
    <w:rsid w:val="00A13C41"/>
    <w:rsid w:val="00A14D4E"/>
    <w:rsid w:val="00A150DC"/>
    <w:rsid w:val="00A15858"/>
    <w:rsid w:val="00A163F8"/>
    <w:rsid w:val="00A16BD5"/>
    <w:rsid w:val="00A17342"/>
    <w:rsid w:val="00A1772A"/>
    <w:rsid w:val="00A17AC1"/>
    <w:rsid w:val="00A17C08"/>
    <w:rsid w:val="00A17EC7"/>
    <w:rsid w:val="00A17FEF"/>
    <w:rsid w:val="00A20413"/>
    <w:rsid w:val="00A20650"/>
    <w:rsid w:val="00A20FDD"/>
    <w:rsid w:val="00A214E9"/>
    <w:rsid w:val="00A215B9"/>
    <w:rsid w:val="00A21D90"/>
    <w:rsid w:val="00A22616"/>
    <w:rsid w:val="00A22685"/>
    <w:rsid w:val="00A22A9A"/>
    <w:rsid w:val="00A22E2F"/>
    <w:rsid w:val="00A22F81"/>
    <w:rsid w:val="00A231F0"/>
    <w:rsid w:val="00A2322D"/>
    <w:rsid w:val="00A2454A"/>
    <w:rsid w:val="00A2517E"/>
    <w:rsid w:val="00A25387"/>
    <w:rsid w:val="00A263B1"/>
    <w:rsid w:val="00A2652C"/>
    <w:rsid w:val="00A26C0D"/>
    <w:rsid w:val="00A26DF0"/>
    <w:rsid w:val="00A27344"/>
    <w:rsid w:val="00A27408"/>
    <w:rsid w:val="00A3038A"/>
    <w:rsid w:val="00A3040B"/>
    <w:rsid w:val="00A30C7F"/>
    <w:rsid w:val="00A314FD"/>
    <w:rsid w:val="00A317E0"/>
    <w:rsid w:val="00A31AAE"/>
    <w:rsid w:val="00A32762"/>
    <w:rsid w:val="00A32DB9"/>
    <w:rsid w:val="00A33052"/>
    <w:rsid w:val="00A335D6"/>
    <w:rsid w:val="00A33CA8"/>
    <w:rsid w:val="00A33F60"/>
    <w:rsid w:val="00A3411C"/>
    <w:rsid w:val="00A347B5"/>
    <w:rsid w:val="00A35AA3"/>
    <w:rsid w:val="00A362B2"/>
    <w:rsid w:val="00A3659F"/>
    <w:rsid w:val="00A3673F"/>
    <w:rsid w:val="00A3685A"/>
    <w:rsid w:val="00A36A15"/>
    <w:rsid w:val="00A37105"/>
    <w:rsid w:val="00A3783C"/>
    <w:rsid w:val="00A40784"/>
    <w:rsid w:val="00A409E7"/>
    <w:rsid w:val="00A4154A"/>
    <w:rsid w:val="00A417DC"/>
    <w:rsid w:val="00A41B43"/>
    <w:rsid w:val="00A41DA8"/>
    <w:rsid w:val="00A426D8"/>
    <w:rsid w:val="00A427FB"/>
    <w:rsid w:val="00A4333E"/>
    <w:rsid w:val="00A43417"/>
    <w:rsid w:val="00A434BF"/>
    <w:rsid w:val="00A435F1"/>
    <w:rsid w:val="00A4466E"/>
    <w:rsid w:val="00A44B3C"/>
    <w:rsid w:val="00A451DB"/>
    <w:rsid w:val="00A46BD6"/>
    <w:rsid w:val="00A46FB7"/>
    <w:rsid w:val="00A5035D"/>
    <w:rsid w:val="00A507C5"/>
    <w:rsid w:val="00A507F3"/>
    <w:rsid w:val="00A50A89"/>
    <w:rsid w:val="00A50DB8"/>
    <w:rsid w:val="00A51974"/>
    <w:rsid w:val="00A52240"/>
    <w:rsid w:val="00A529B7"/>
    <w:rsid w:val="00A52D66"/>
    <w:rsid w:val="00A5325B"/>
    <w:rsid w:val="00A534B0"/>
    <w:rsid w:val="00A54ABC"/>
    <w:rsid w:val="00A558F1"/>
    <w:rsid w:val="00A55D83"/>
    <w:rsid w:val="00A56485"/>
    <w:rsid w:val="00A5663C"/>
    <w:rsid w:val="00A566D1"/>
    <w:rsid w:val="00A57188"/>
    <w:rsid w:val="00A60644"/>
    <w:rsid w:val="00A60889"/>
    <w:rsid w:val="00A609E8"/>
    <w:rsid w:val="00A61DAD"/>
    <w:rsid w:val="00A6336D"/>
    <w:rsid w:val="00A63610"/>
    <w:rsid w:val="00A63F0E"/>
    <w:rsid w:val="00A64215"/>
    <w:rsid w:val="00A64E68"/>
    <w:rsid w:val="00A64E9D"/>
    <w:rsid w:val="00A64F59"/>
    <w:rsid w:val="00A65428"/>
    <w:rsid w:val="00A6690E"/>
    <w:rsid w:val="00A66BFA"/>
    <w:rsid w:val="00A66F20"/>
    <w:rsid w:val="00A673A5"/>
    <w:rsid w:val="00A6750C"/>
    <w:rsid w:val="00A67CC1"/>
    <w:rsid w:val="00A67F93"/>
    <w:rsid w:val="00A702BA"/>
    <w:rsid w:val="00A706E9"/>
    <w:rsid w:val="00A7089C"/>
    <w:rsid w:val="00A7153B"/>
    <w:rsid w:val="00A716FD"/>
    <w:rsid w:val="00A71AD1"/>
    <w:rsid w:val="00A72956"/>
    <w:rsid w:val="00A72C41"/>
    <w:rsid w:val="00A731D4"/>
    <w:rsid w:val="00A73608"/>
    <w:rsid w:val="00A73D61"/>
    <w:rsid w:val="00A741CE"/>
    <w:rsid w:val="00A74396"/>
    <w:rsid w:val="00A754AF"/>
    <w:rsid w:val="00A75654"/>
    <w:rsid w:val="00A7568C"/>
    <w:rsid w:val="00A7616C"/>
    <w:rsid w:val="00A77F06"/>
    <w:rsid w:val="00A80151"/>
    <w:rsid w:val="00A802CD"/>
    <w:rsid w:val="00A80512"/>
    <w:rsid w:val="00A810A6"/>
    <w:rsid w:val="00A82FCC"/>
    <w:rsid w:val="00A83921"/>
    <w:rsid w:val="00A83A12"/>
    <w:rsid w:val="00A83EEE"/>
    <w:rsid w:val="00A84531"/>
    <w:rsid w:val="00A847AC"/>
    <w:rsid w:val="00A858F3"/>
    <w:rsid w:val="00A8598F"/>
    <w:rsid w:val="00A85C07"/>
    <w:rsid w:val="00A85F0E"/>
    <w:rsid w:val="00A8656B"/>
    <w:rsid w:val="00A86F30"/>
    <w:rsid w:val="00A8702A"/>
    <w:rsid w:val="00A904AA"/>
    <w:rsid w:val="00A91329"/>
    <w:rsid w:val="00A919BB"/>
    <w:rsid w:val="00A91FE4"/>
    <w:rsid w:val="00A921CD"/>
    <w:rsid w:val="00A92A33"/>
    <w:rsid w:val="00A92BFA"/>
    <w:rsid w:val="00A93168"/>
    <w:rsid w:val="00A93767"/>
    <w:rsid w:val="00A93B07"/>
    <w:rsid w:val="00A93B77"/>
    <w:rsid w:val="00A94F18"/>
    <w:rsid w:val="00A95097"/>
    <w:rsid w:val="00A95FBF"/>
    <w:rsid w:val="00A96EE2"/>
    <w:rsid w:val="00A97821"/>
    <w:rsid w:val="00AA0970"/>
    <w:rsid w:val="00AA0D23"/>
    <w:rsid w:val="00AA186B"/>
    <w:rsid w:val="00AA2831"/>
    <w:rsid w:val="00AA2959"/>
    <w:rsid w:val="00AA2C6B"/>
    <w:rsid w:val="00AA43CF"/>
    <w:rsid w:val="00AA50EF"/>
    <w:rsid w:val="00AA656A"/>
    <w:rsid w:val="00AA680B"/>
    <w:rsid w:val="00AA7C7E"/>
    <w:rsid w:val="00AA7E0A"/>
    <w:rsid w:val="00AB0BDD"/>
    <w:rsid w:val="00AB153F"/>
    <w:rsid w:val="00AB1D2B"/>
    <w:rsid w:val="00AB1D50"/>
    <w:rsid w:val="00AB1EAB"/>
    <w:rsid w:val="00AB23A8"/>
    <w:rsid w:val="00AB2795"/>
    <w:rsid w:val="00AB2E06"/>
    <w:rsid w:val="00AB3410"/>
    <w:rsid w:val="00AB374E"/>
    <w:rsid w:val="00AB3925"/>
    <w:rsid w:val="00AB478E"/>
    <w:rsid w:val="00AB4B6C"/>
    <w:rsid w:val="00AB4BE4"/>
    <w:rsid w:val="00AB5986"/>
    <w:rsid w:val="00AB5B3A"/>
    <w:rsid w:val="00AB67D4"/>
    <w:rsid w:val="00AB75D1"/>
    <w:rsid w:val="00AC046B"/>
    <w:rsid w:val="00AC0B36"/>
    <w:rsid w:val="00AC128E"/>
    <w:rsid w:val="00AC1FB5"/>
    <w:rsid w:val="00AC2686"/>
    <w:rsid w:val="00AC2ADC"/>
    <w:rsid w:val="00AC393C"/>
    <w:rsid w:val="00AC3BCB"/>
    <w:rsid w:val="00AC3D93"/>
    <w:rsid w:val="00AC4587"/>
    <w:rsid w:val="00AC52B2"/>
    <w:rsid w:val="00AC5CD3"/>
    <w:rsid w:val="00AC5CFB"/>
    <w:rsid w:val="00AC627D"/>
    <w:rsid w:val="00AC7296"/>
    <w:rsid w:val="00AC7461"/>
    <w:rsid w:val="00AD1CE6"/>
    <w:rsid w:val="00AD200B"/>
    <w:rsid w:val="00AD24B1"/>
    <w:rsid w:val="00AD33F9"/>
    <w:rsid w:val="00AD34EF"/>
    <w:rsid w:val="00AD3615"/>
    <w:rsid w:val="00AD3A8B"/>
    <w:rsid w:val="00AD44C9"/>
    <w:rsid w:val="00AD4AE8"/>
    <w:rsid w:val="00AD4D1B"/>
    <w:rsid w:val="00AD66A3"/>
    <w:rsid w:val="00AD69F0"/>
    <w:rsid w:val="00AD7180"/>
    <w:rsid w:val="00AD7ED2"/>
    <w:rsid w:val="00AE19B8"/>
    <w:rsid w:val="00AE2809"/>
    <w:rsid w:val="00AE3A65"/>
    <w:rsid w:val="00AE4581"/>
    <w:rsid w:val="00AE5DAA"/>
    <w:rsid w:val="00AE6B59"/>
    <w:rsid w:val="00AE78A4"/>
    <w:rsid w:val="00AE79B7"/>
    <w:rsid w:val="00AF05A6"/>
    <w:rsid w:val="00AF06F1"/>
    <w:rsid w:val="00AF08CF"/>
    <w:rsid w:val="00AF0A1F"/>
    <w:rsid w:val="00AF17A5"/>
    <w:rsid w:val="00AF1911"/>
    <w:rsid w:val="00AF1F33"/>
    <w:rsid w:val="00AF3913"/>
    <w:rsid w:val="00AF3ABD"/>
    <w:rsid w:val="00AF46A2"/>
    <w:rsid w:val="00AF4DDA"/>
    <w:rsid w:val="00AF5887"/>
    <w:rsid w:val="00AF7C9B"/>
    <w:rsid w:val="00B014EB"/>
    <w:rsid w:val="00B0178C"/>
    <w:rsid w:val="00B01DC4"/>
    <w:rsid w:val="00B03FC5"/>
    <w:rsid w:val="00B04824"/>
    <w:rsid w:val="00B048A7"/>
    <w:rsid w:val="00B0511E"/>
    <w:rsid w:val="00B060EA"/>
    <w:rsid w:val="00B066E7"/>
    <w:rsid w:val="00B06860"/>
    <w:rsid w:val="00B07664"/>
    <w:rsid w:val="00B10C54"/>
    <w:rsid w:val="00B10DC4"/>
    <w:rsid w:val="00B12CB1"/>
    <w:rsid w:val="00B130B5"/>
    <w:rsid w:val="00B135AB"/>
    <w:rsid w:val="00B13C24"/>
    <w:rsid w:val="00B1411B"/>
    <w:rsid w:val="00B142C2"/>
    <w:rsid w:val="00B14537"/>
    <w:rsid w:val="00B14D12"/>
    <w:rsid w:val="00B15534"/>
    <w:rsid w:val="00B167F2"/>
    <w:rsid w:val="00B16CE9"/>
    <w:rsid w:val="00B17AA0"/>
    <w:rsid w:val="00B207B8"/>
    <w:rsid w:val="00B208FB"/>
    <w:rsid w:val="00B21820"/>
    <w:rsid w:val="00B21976"/>
    <w:rsid w:val="00B21BB0"/>
    <w:rsid w:val="00B22294"/>
    <w:rsid w:val="00B239A9"/>
    <w:rsid w:val="00B2446B"/>
    <w:rsid w:val="00B2456C"/>
    <w:rsid w:val="00B24836"/>
    <w:rsid w:val="00B24B27"/>
    <w:rsid w:val="00B24D29"/>
    <w:rsid w:val="00B254FF"/>
    <w:rsid w:val="00B25FEF"/>
    <w:rsid w:val="00B261B4"/>
    <w:rsid w:val="00B276B7"/>
    <w:rsid w:val="00B27898"/>
    <w:rsid w:val="00B30766"/>
    <w:rsid w:val="00B30D09"/>
    <w:rsid w:val="00B31528"/>
    <w:rsid w:val="00B317FA"/>
    <w:rsid w:val="00B3314E"/>
    <w:rsid w:val="00B33834"/>
    <w:rsid w:val="00B33FBC"/>
    <w:rsid w:val="00B33FE4"/>
    <w:rsid w:val="00B358BE"/>
    <w:rsid w:val="00B35CC8"/>
    <w:rsid w:val="00B360B0"/>
    <w:rsid w:val="00B36BCF"/>
    <w:rsid w:val="00B370FA"/>
    <w:rsid w:val="00B37769"/>
    <w:rsid w:val="00B4039B"/>
    <w:rsid w:val="00B40433"/>
    <w:rsid w:val="00B4098E"/>
    <w:rsid w:val="00B4110D"/>
    <w:rsid w:val="00B41112"/>
    <w:rsid w:val="00B41DD1"/>
    <w:rsid w:val="00B42AA1"/>
    <w:rsid w:val="00B430D8"/>
    <w:rsid w:val="00B43401"/>
    <w:rsid w:val="00B439D2"/>
    <w:rsid w:val="00B43FD1"/>
    <w:rsid w:val="00B452AA"/>
    <w:rsid w:val="00B4594A"/>
    <w:rsid w:val="00B45A62"/>
    <w:rsid w:val="00B45ABC"/>
    <w:rsid w:val="00B4609D"/>
    <w:rsid w:val="00B465C9"/>
    <w:rsid w:val="00B46789"/>
    <w:rsid w:val="00B46BEF"/>
    <w:rsid w:val="00B4779E"/>
    <w:rsid w:val="00B47ED9"/>
    <w:rsid w:val="00B50853"/>
    <w:rsid w:val="00B51BFB"/>
    <w:rsid w:val="00B5248B"/>
    <w:rsid w:val="00B5256F"/>
    <w:rsid w:val="00B53194"/>
    <w:rsid w:val="00B54CEB"/>
    <w:rsid w:val="00B54D37"/>
    <w:rsid w:val="00B54E0F"/>
    <w:rsid w:val="00B556FD"/>
    <w:rsid w:val="00B5616C"/>
    <w:rsid w:val="00B563B8"/>
    <w:rsid w:val="00B566C1"/>
    <w:rsid w:val="00B56FE6"/>
    <w:rsid w:val="00B57C1B"/>
    <w:rsid w:val="00B60657"/>
    <w:rsid w:val="00B613FD"/>
    <w:rsid w:val="00B61E5C"/>
    <w:rsid w:val="00B630E1"/>
    <w:rsid w:val="00B636E9"/>
    <w:rsid w:val="00B64E65"/>
    <w:rsid w:val="00B6623A"/>
    <w:rsid w:val="00B66407"/>
    <w:rsid w:val="00B666D0"/>
    <w:rsid w:val="00B67DF4"/>
    <w:rsid w:val="00B701DF"/>
    <w:rsid w:val="00B707E3"/>
    <w:rsid w:val="00B71F7E"/>
    <w:rsid w:val="00B7261F"/>
    <w:rsid w:val="00B72A80"/>
    <w:rsid w:val="00B72C61"/>
    <w:rsid w:val="00B73314"/>
    <w:rsid w:val="00B74952"/>
    <w:rsid w:val="00B74E2B"/>
    <w:rsid w:val="00B74E6C"/>
    <w:rsid w:val="00B7518C"/>
    <w:rsid w:val="00B75A7F"/>
    <w:rsid w:val="00B7611E"/>
    <w:rsid w:val="00B76BFD"/>
    <w:rsid w:val="00B774EF"/>
    <w:rsid w:val="00B7760D"/>
    <w:rsid w:val="00B778EC"/>
    <w:rsid w:val="00B80C7C"/>
    <w:rsid w:val="00B81246"/>
    <w:rsid w:val="00B815BC"/>
    <w:rsid w:val="00B81CED"/>
    <w:rsid w:val="00B82541"/>
    <w:rsid w:val="00B8255B"/>
    <w:rsid w:val="00B82DFB"/>
    <w:rsid w:val="00B84502"/>
    <w:rsid w:val="00B8482F"/>
    <w:rsid w:val="00B84934"/>
    <w:rsid w:val="00B84B24"/>
    <w:rsid w:val="00B86AF9"/>
    <w:rsid w:val="00B86D66"/>
    <w:rsid w:val="00B87558"/>
    <w:rsid w:val="00B906D6"/>
    <w:rsid w:val="00B91E05"/>
    <w:rsid w:val="00B91E72"/>
    <w:rsid w:val="00B93948"/>
    <w:rsid w:val="00B949A5"/>
    <w:rsid w:val="00B94E4E"/>
    <w:rsid w:val="00B9537D"/>
    <w:rsid w:val="00B95443"/>
    <w:rsid w:val="00B96763"/>
    <w:rsid w:val="00B96D32"/>
    <w:rsid w:val="00BA05EB"/>
    <w:rsid w:val="00BA0C70"/>
    <w:rsid w:val="00BA14C6"/>
    <w:rsid w:val="00BA1C6C"/>
    <w:rsid w:val="00BA2850"/>
    <w:rsid w:val="00BA3FF3"/>
    <w:rsid w:val="00BA4C3A"/>
    <w:rsid w:val="00BA53D8"/>
    <w:rsid w:val="00BA54E9"/>
    <w:rsid w:val="00BA7CC3"/>
    <w:rsid w:val="00BA7F7F"/>
    <w:rsid w:val="00BB025D"/>
    <w:rsid w:val="00BB042E"/>
    <w:rsid w:val="00BB090B"/>
    <w:rsid w:val="00BB132E"/>
    <w:rsid w:val="00BB1BFB"/>
    <w:rsid w:val="00BB238B"/>
    <w:rsid w:val="00BB2B62"/>
    <w:rsid w:val="00BB35A8"/>
    <w:rsid w:val="00BB62C4"/>
    <w:rsid w:val="00BB7FDE"/>
    <w:rsid w:val="00BC0588"/>
    <w:rsid w:val="00BC1010"/>
    <w:rsid w:val="00BC39FC"/>
    <w:rsid w:val="00BC3E35"/>
    <w:rsid w:val="00BC4249"/>
    <w:rsid w:val="00BC489F"/>
    <w:rsid w:val="00BC5710"/>
    <w:rsid w:val="00BC615E"/>
    <w:rsid w:val="00BC6823"/>
    <w:rsid w:val="00BC6902"/>
    <w:rsid w:val="00BC7012"/>
    <w:rsid w:val="00BD037E"/>
    <w:rsid w:val="00BD0CBA"/>
    <w:rsid w:val="00BD0E71"/>
    <w:rsid w:val="00BD10CD"/>
    <w:rsid w:val="00BD11DB"/>
    <w:rsid w:val="00BD16CE"/>
    <w:rsid w:val="00BD4369"/>
    <w:rsid w:val="00BD4ABB"/>
    <w:rsid w:val="00BD68FB"/>
    <w:rsid w:val="00BD6F5C"/>
    <w:rsid w:val="00BD75B5"/>
    <w:rsid w:val="00BD775C"/>
    <w:rsid w:val="00BD7B3C"/>
    <w:rsid w:val="00BE177C"/>
    <w:rsid w:val="00BE1B8C"/>
    <w:rsid w:val="00BE2A0D"/>
    <w:rsid w:val="00BE2C9A"/>
    <w:rsid w:val="00BE340A"/>
    <w:rsid w:val="00BE34D2"/>
    <w:rsid w:val="00BE365F"/>
    <w:rsid w:val="00BE39E9"/>
    <w:rsid w:val="00BE3A69"/>
    <w:rsid w:val="00BE4E9B"/>
    <w:rsid w:val="00BE507F"/>
    <w:rsid w:val="00BE52DB"/>
    <w:rsid w:val="00BE5C81"/>
    <w:rsid w:val="00BE5D03"/>
    <w:rsid w:val="00BE5E06"/>
    <w:rsid w:val="00BE632C"/>
    <w:rsid w:val="00BE64BB"/>
    <w:rsid w:val="00BE658D"/>
    <w:rsid w:val="00BE691C"/>
    <w:rsid w:val="00BE7F14"/>
    <w:rsid w:val="00BE7F66"/>
    <w:rsid w:val="00BF0592"/>
    <w:rsid w:val="00BF1530"/>
    <w:rsid w:val="00BF16D7"/>
    <w:rsid w:val="00BF23E1"/>
    <w:rsid w:val="00BF27BE"/>
    <w:rsid w:val="00BF2AA1"/>
    <w:rsid w:val="00BF2E8D"/>
    <w:rsid w:val="00BF35B1"/>
    <w:rsid w:val="00BF3965"/>
    <w:rsid w:val="00BF4B7E"/>
    <w:rsid w:val="00BF57AF"/>
    <w:rsid w:val="00BF5A81"/>
    <w:rsid w:val="00BF5E20"/>
    <w:rsid w:val="00BF6687"/>
    <w:rsid w:val="00BF6D8A"/>
    <w:rsid w:val="00BF7077"/>
    <w:rsid w:val="00BF777C"/>
    <w:rsid w:val="00BF797F"/>
    <w:rsid w:val="00BF7F63"/>
    <w:rsid w:val="00BF7FBA"/>
    <w:rsid w:val="00C0024F"/>
    <w:rsid w:val="00C00871"/>
    <w:rsid w:val="00C01147"/>
    <w:rsid w:val="00C01228"/>
    <w:rsid w:val="00C022D8"/>
    <w:rsid w:val="00C02417"/>
    <w:rsid w:val="00C0258C"/>
    <w:rsid w:val="00C02E27"/>
    <w:rsid w:val="00C034C9"/>
    <w:rsid w:val="00C03B55"/>
    <w:rsid w:val="00C0417D"/>
    <w:rsid w:val="00C04281"/>
    <w:rsid w:val="00C0549E"/>
    <w:rsid w:val="00C05BA9"/>
    <w:rsid w:val="00C05FEE"/>
    <w:rsid w:val="00C06621"/>
    <w:rsid w:val="00C06DBD"/>
    <w:rsid w:val="00C0716C"/>
    <w:rsid w:val="00C07769"/>
    <w:rsid w:val="00C07BF6"/>
    <w:rsid w:val="00C07C28"/>
    <w:rsid w:val="00C100DA"/>
    <w:rsid w:val="00C10241"/>
    <w:rsid w:val="00C1142A"/>
    <w:rsid w:val="00C11B94"/>
    <w:rsid w:val="00C1281F"/>
    <w:rsid w:val="00C1324A"/>
    <w:rsid w:val="00C13540"/>
    <w:rsid w:val="00C13A7E"/>
    <w:rsid w:val="00C13F97"/>
    <w:rsid w:val="00C14179"/>
    <w:rsid w:val="00C14483"/>
    <w:rsid w:val="00C15B47"/>
    <w:rsid w:val="00C16149"/>
    <w:rsid w:val="00C1689A"/>
    <w:rsid w:val="00C17509"/>
    <w:rsid w:val="00C17555"/>
    <w:rsid w:val="00C1781A"/>
    <w:rsid w:val="00C1781C"/>
    <w:rsid w:val="00C17AC0"/>
    <w:rsid w:val="00C204B0"/>
    <w:rsid w:val="00C213CD"/>
    <w:rsid w:val="00C2191F"/>
    <w:rsid w:val="00C21922"/>
    <w:rsid w:val="00C21ED6"/>
    <w:rsid w:val="00C228C1"/>
    <w:rsid w:val="00C22F94"/>
    <w:rsid w:val="00C2324F"/>
    <w:rsid w:val="00C2369F"/>
    <w:rsid w:val="00C23804"/>
    <w:rsid w:val="00C23C7F"/>
    <w:rsid w:val="00C24F5E"/>
    <w:rsid w:val="00C250B7"/>
    <w:rsid w:val="00C2578D"/>
    <w:rsid w:val="00C25CEA"/>
    <w:rsid w:val="00C26CF8"/>
    <w:rsid w:val="00C279C4"/>
    <w:rsid w:val="00C27ACF"/>
    <w:rsid w:val="00C27C3E"/>
    <w:rsid w:val="00C30C9D"/>
    <w:rsid w:val="00C31874"/>
    <w:rsid w:val="00C31D3C"/>
    <w:rsid w:val="00C32092"/>
    <w:rsid w:val="00C32A58"/>
    <w:rsid w:val="00C35431"/>
    <w:rsid w:val="00C357C5"/>
    <w:rsid w:val="00C35C6A"/>
    <w:rsid w:val="00C35D5A"/>
    <w:rsid w:val="00C3687D"/>
    <w:rsid w:val="00C36F80"/>
    <w:rsid w:val="00C370DE"/>
    <w:rsid w:val="00C37381"/>
    <w:rsid w:val="00C376DE"/>
    <w:rsid w:val="00C379C2"/>
    <w:rsid w:val="00C4027A"/>
    <w:rsid w:val="00C40C22"/>
    <w:rsid w:val="00C40C4A"/>
    <w:rsid w:val="00C414A0"/>
    <w:rsid w:val="00C41C14"/>
    <w:rsid w:val="00C41C23"/>
    <w:rsid w:val="00C41D8C"/>
    <w:rsid w:val="00C41F2A"/>
    <w:rsid w:val="00C4363A"/>
    <w:rsid w:val="00C436E0"/>
    <w:rsid w:val="00C43D28"/>
    <w:rsid w:val="00C43E1C"/>
    <w:rsid w:val="00C43F43"/>
    <w:rsid w:val="00C440F1"/>
    <w:rsid w:val="00C44775"/>
    <w:rsid w:val="00C4492A"/>
    <w:rsid w:val="00C455D7"/>
    <w:rsid w:val="00C45726"/>
    <w:rsid w:val="00C45E5A"/>
    <w:rsid w:val="00C4770E"/>
    <w:rsid w:val="00C47C18"/>
    <w:rsid w:val="00C47DA4"/>
    <w:rsid w:val="00C523B8"/>
    <w:rsid w:val="00C53123"/>
    <w:rsid w:val="00C538F9"/>
    <w:rsid w:val="00C539C9"/>
    <w:rsid w:val="00C53B6B"/>
    <w:rsid w:val="00C542B0"/>
    <w:rsid w:val="00C552CB"/>
    <w:rsid w:val="00C55A48"/>
    <w:rsid w:val="00C55A85"/>
    <w:rsid w:val="00C55C55"/>
    <w:rsid w:val="00C55F60"/>
    <w:rsid w:val="00C56C4A"/>
    <w:rsid w:val="00C57A47"/>
    <w:rsid w:val="00C6110C"/>
    <w:rsid w:val="00C613F1"/>
    <w:rsid w:val="00C619D6"/>
    <w:rsid w:val="00C61D4C"/>
    <w:rsid w:val="00C62BD6"/>
    <w:rsid w:val="00C63668"/>
    <w:rsid w:val="00C6431E"/>
    <w:rsid w:val="00C643E4"/>
    <w:rsid w:val="00C64B09"/>
    <w:rsid w:val="00C65E39"/>
    <w:rsid w:val="00C67127"/>
    <w:rsid w:val="00C679FF"/>
    <w:rsid w:val="00C67BE6"/>
    <w:rsid w:val="00C67E66"/>
    <w:rsid w:val="00C70E12"/>
    <w:rsid w:val="00C73D0E"/>
    <w:rsid w:val="00C747A7"/>
    <w:rsid w:val="00C74927"/>
    <w:rsid w:val="00C74C17"/>
    <w:rsid w:val="00C75ABB"/>
    <w:rsid w:val="00C77BEA"/>
    <w:rsid w:val="00C80DD5"/>
    <w:rsid w:val="00C81C48"/>
    <w:rsid w:val="00C81D74"/>
    <w:rsid w:val="00C82F55"/>
    <w:rsid w:val="00C84223"/>
    <w:rsid w:val="00C84BB2"/>
    <w:rsid w:val="00C84FA4"/>
    <w:rsid w:val="00C850B0"/>
    <w:rsid w:val="00C85288"/>
    <w:rsid w:val="00C859B4"/>
    <w:rsid w:val="00C85A12"/>
    <w:rsid w:val="00C861F2"/>
    <w:rsid w:val="00C86A9C"/>
    <w:rsid w:val="00C870E6"/>
    <w:rsid w:val="00C876BD"/>
    <w:rsid w:val="00C9152E"/>
    <w:rsid w:val="00C91D7B"/>
    <w:rsid w:val="00C91F07"/>
    <w:rsid w:val="00C91FC5"/>
    <w:rsid w:val="00C924E4"/>
    <w:rsid w:val="00C92559"/>
    <w:rsid w:val="00C92993"/>
    <w:rsid w:val="00C93632"/>
    <w:rsid w:val="00C9391E"/>
    <w:rsid w:val="00C93A72"/>
    <w:rsid w:val="00C94C41"/>
    <w:rsid w:val="00C95101"/>
    <w:rsid w:val="00C95545"/>
    <w:rsid w:val="00C957DD"/>
    <w:rsid w:val="00C9673B"/>
    <w:rsid w:val="00C97B5B"/>
    <w:rsid w:val="00C97E6C"/>
    <w:rsid w:val="00CA0376"/>
    <w:rsid w:val="00CA0DD4"/>
    <w:rsid w:val="00CA168B"/>
    <w:rsid w:val="00CA2876"/>
    <w:rsid w:val="00CA3BC3"/>
    <w:rsid w:val="00CA486A"/>
    <w:rsid w:val="00CA4AA9"/>
    <w:rsid w:val="00CA4DC3"/>
    <w:rsid w:val="00CA502F"/>
    <w:rsid w:val="00CA534D"/>
    <w:rsid w:val="00CA553A"/>
    <w:rsid w:val="00CA639B"/>
    <w:rsid w:val="00CA65DE"/>
    <w:rsid w:val="00CA66C4"/>
    <w:rsid w:val="00CA6A0A"/>
    <w:rsid w:val="00CA72C0"/>
    <w:rsid w:val="00CA72D3"/>
    <w:rsid w:val="00CA787D"/>
    <w:rsid w:val="00CB02BE"/>
    <w:rsid w:val="00CB0354"/>
    <w:rsid w:val="00CB03EC"/>
    <w:rsid w:val="00CB0546"/>
    <w:rsid w:val="00CB08B8"/>
    <w:rsid w:val="00CB118C"/>
    <w:rsid w:val="00CB1C57"/>
    <w:rsid w:val="00CB1F55"/>
    <w:rsid w:val="00CB34E4"/>
    <w:rsid w:val="00CB3923"/>
    <w:rsid w:val="00CB3BF5"/>
    <w:rsid w:val="00CB52C4"/>
    <w:rsid w:val="00CB77D7"/>
    <w:rsid w:val="00CC030A"/>
    <w:rsid w:val="00CC0AF8"/>
    <w:rsid w:val="00CC109A"/>
    <w:rsid w:val="00CC11AD"/>
    <w:rsid w:val="00CC1D34"/>
    <w:rsid w:val="00CC2ADD"/>
    <w:rsid w:val="00CC3B40"/>
    <w:rsid w:val="00CC514B"/>
    <w:rsid w:val="00CC52A9"/>
    <w:rsid w:val="00CC61B1"/>
    <w:rsid w:val="00CC68B3"/>
    <w:rsid w:val="00CC6B4B"/>
    <w:rsid w:val="00CC6C18"/>
    <w:rsid w:val="00CC74B4"/>
    <w:rsid w:val="00CC772D"/>
    <w:rsid w:val="00CD03E5"/>
    <w:rsid w:val="00CD0453"/>
    <w:rsid w:val="00CD0535"/>
    <w:rsid w:val="00CD0946"/>
    <w:rsid w:val="00CD1B2E"/>
    <w:rsid w:val="00CD21A5"/>
    <w:rsid w:val="00CD22BF"/>
    <w:rsid w:val="00CD243B"/>
    <w:rsid w:val="00CD2C07"/>
    <w:rsid w:val="00CD2E39"/>
    <w:rsid w:val="00CD4754"/>
    <w:rsid w:val="00CD4A66"/>
    <w:rsid w:val="00CD521F"/>
    <w:rsid w:val="00CD6759"/>
    <w:rsid w:val="00CD6937"/>
    <w:rsid w:val="00CD6AE2"/>
    <w:rsid w:val="00CD7553"/>
    <w:rsid w:val="00CD7CBB"/>
    <w:rsid w:val="00CD7CF1"/>
    <w:rsid w:val="00CE0AAD"/>
    <w:rsid w:val="00CE0D3A"/>
    <w:rsid w:val="00CE0D3B"/>
    <w:rsid w:val="00CE1C48"/>
    <w:rsid w:val="00CE266C"/>
    <w:rsid w:val="00CE29E0"/>
    <w:rsid w:val="00CE3C17"/>
    <w:rsid w:val="00CE4009"/>
    <w:rsid w:val="00CE55CE"/>
    <w:rsid w:val="00CE5973"/>
    <w:rsid w:val="00CE61F6"/>
    <w:rsid w:val="00CE6378"/>
    <w:rsid w:val="00CE74E1"/>
    <w:rsid w:val="00CF07B9"/>
    <w:rsid w:val="00CF145C"/>
    <w:rsid w:val="00CF1D2C"/>
    <w:rsid w:val="00CF33E9"/>
    <w:rsid w:val="00CF4669"/>
    <w:rsid w:val="00CF52B0"/>
    <w:rsid w:val="00CF6CAB"/>
    <w:rsid w:val="00CF704B"/>
    <w:rsid w:val="00D007EA"/>
    <w:rsid w:val="00D018CF"/>
    <w:rsid w:val="00D02BBF"/>
    <w:rsid w:val="00D03AD9"/>
    <w:rsid w:val="00D03C15"/>
    <w:rsid w:val="00D03FDB"/>
    <w:rsid w:val="00D051D6"/>
    <w:rsid w:val="00D063CF"/>
    <w:rsid w:val="00D065AC"/>
    <w:rsid w:val="00D07BC4"/>
    <w:rsid w:val="00D112B3"/>
    <w:rsid w:val="00D1168C"/>
    <w:rsid w:val="00D12C2A"/>
    <w:rsid w:val="00D131BC"/>
    <w:rsid w:val="00D14128"/>
    <w:rsid w:val="00D146B6"/>
    <w:rsid w:val="00D14E44"/>
    <w:rsid w:val="00D152BC"/>
    <w:rsid w:val="00D162A0"/>
    <w:rsid w:val="00D166F1"/>
    <w:rsid w:val="00D168DB"/>
    <w:rsid w:val="00D17B91"/>
    <w:rsid w:val="00D20C69"/>
    <w:rsid w:val="00D20D44"/>
    <w:rsid w:val="00D2110D"/>
    <w:rsid w:val="00D213BC"/>
    <w:rsid w:val="00D21EA2"/>
    <w:rsid w:val="00D22809"/>
    <w:rsid w:val="00D2324F"/>
    <w:rsid w:val="00D23479"/>
    <w:rsid w:val="00D24420"/>
    <w:rsid w:val="00D248F1"/>
    <w:rsid w:val="00D258FF"/>
    <w:rsid w:val="00D25A1D"/>
    <w:rsid w:val="00D25D68"/>
    <w:rsid w:val="00D27831"/>
    <w:rsid w:val="00D308FC"/>
    <w:rsid w:val="00D311FD"/>
    <w:rsid w:val="00D3127A"/>
    <w:rsid w:val="00D312D9"/>
    <w:rsid w:val="00D315FA"/>
    <w:rsid w:val="00D31CB5"/>
    <w:rsid w:val="00D31DC0"/>
    <w:rsid w:val="00D31DCF"/>
    <w:rsid w:val="00D32437"/>
    <w:rsid w:val="00D33061"/>
    <w:rsid w:val="00D33D32"/>
    <w:rsid w:val="00D33FEC"/>
    <w:rsid w:val="00D371BE"/>
    <w:rsid w:val="00D375A0"/>
    <w:rsid w:val="00D375BA"/>
    <w:rsid w:val="00D4052B"/>
    <w:rsid w:val="00D4063C"/>
    <w:rsid w:val="00D40729"/>
    <w:rsid w:val="00D40AFF"/>
    <w:rsid w:val="00D4144E"/>
    <w:rsid w:val="00D4184B"/>
    <w:rsid w:val="00D41C0F"/>
    <w:rsid w:val="00D421D3"/>
    <w:rsid w:val="00D43298"/>
    <w:rsid w:val="00D43B6E"/>
    <w:rsid w:val="00D442B3"/>
    <w:rsid w:val="00D455AD"/>
    <w:rsid w:val="00D4599F"/>
    <w:rsid w:val="00D45B40"/>
    <w:rsid w:val="00D45E77"/>
    <w:rsid w:val="00D46319"/>
    <w:rsid w:val="00D4757A"/>
    <w:rsid w:val="00D50003"/>
    <w:rsid w:val="00D502EC"/>
    <w:rsid w:val="00D503AE"/>
    <w:rsid w:val="00D520FE"/>
    <w:rsid w:val="00D52839"/>
    <w:rsid w:val="00D52B85"/>
    <w:rsid w:val="00D541CD"/>
    <w:rsid w:val="00D544F3"/>
    <w:rsid w:val="00D54868"/>
    <w:rsid w:val="00D54AC7"/>
    <w:rsid w:val="00D54AE8"/>
    <w:rsid w:val="00D5613A"/>
    <w:rsid w:val="00D5650A"/>
    <w:rsid w:val="00D57A2B"/>
    <w:rsid w:val="00D61F3B"/>
    <w:rsid w:val="00D62105"/>
    <w:rsid w:val="00D62664"/>
    <w:rsid w:val="00D62D26"/>
    <w:rsid w:val="00D632A7"/>
    <w:rsid w:val="00D63EC6"/>
    <w:rsid w:val="00D63EF5"/>
    <w:rsid w:val="00D63FB6"/>
    <w:rsid w:val="00D647BC"/>
    <w:rsid w:val="00D6487E"/>
    <w:rsid w:val="00D649DA"/>
    <w:rsid w:val="00D64BE8"/>
    <w:rsid w:val="00D66C26"/>
    <w:rsid w:val="00D67019"/>
    <w:rsid w:val="00D67E7E"/>
    <w:rsid w:val="00D70915"/>
    <w:rsid w:val="00D71315"/>
    <w:rsid w:val="00D71363"/>
    <w:rsid w:val="00D71ABC"/>
    <w:rsid w:val="00D7221B"/>
    <w:rsid w:val="00D7275C"/>
    <w:rsid w:val="00D72C55"/>
    <w:rsid w:val="00D72C67"/>
    <w:rsid w:val="00D73151"/>
    <w:rsid w:val="00D73664"/>
    <w:rsid w:val="00D73DAD"/>
    <w:rsid w:val="00D7494B"/>
    <w:rsid w:val="00D756C1"/>
    <w:rsid w:val="00D75A72"/>
    <w:rsid w:val="00D75B12"/>
    <w:rsid w:val="00D7678E"/>
    <w:rsid w:val="00D775B7"/>
    <w:rsid w:val="00D77A3A"/>
    <w:rsid w:val="00D77CF5"/>
    <w:rsid w:val="00D800D5"/>
    <w:rsid w:val="00D80641"/>
    <w:rsid w:val="00D80A47"/>
    <w:rsid w:val="00D80C62"/>
    <w:rsid w:val="00D80DB7"/>
    <w:rsid w:val="00D80EA5"/>
    <w:rsid w:val="00D80FB7"/>
    <w:rsid w:val="00D81981"/>
    <w:rsid w:val="00D81C56"/>
    <w:rsid w:val="00D82401"/>
    <w:rsid w:val="00D824F8"/>
    <w:rsid w:val="00D828CB"/>
    <w:rsid w:val="00D82C34"/>
    <w:rsid w:val="00D82DCB"/>
    <w:rsid w:val="00D82FBC"/>
    <w:rsid w:val="00D83272"/>
    <w:rsid w:val="00D835EC"/>
    <w:rsid w:val="00D83950"/>
    <w:rsid w:val="00D839EB"/>
    <w:rsid w:val="00D83E04"/>
    <w:rsid w:val="00D83EDB"/>
    <w:rsid w:val="00D83FC9"/>
    <w:rsid w:val="00D84284"/>
    <w:rsid w:val="00D84754"/>
    <w:rsid w:val="00D852D1"/>
    <w:rsid w:val="00D860F6"/>
    <w:rsid w:val="00D8637D"/>
    <w:rsid w:val="00D86A25"/>
    <w:rsid w:val="00D86B4C"/>
    <w:rsid w:val="00D87224"/>
    <w:rsid w:val="00D8758A"/>
    <w:rsid w:val="00D87ED8"/>
    <w:rsid w:val="00D902E8"/>
    <w:rsid w:val="00D907DE"/>
    <w:rsid w:val="00D90AFE"/>
    <w:rsid w:val="00D90CC2"/>
    <w:rsid w:val="00D921DF"/>
    <w:rsid w:val="00D92371"/>
    <w:rsid w:val="00D9361C"/>
    <w:rsid w:val="00D940E8"/>
    <w:rsid w:val="00D94EAF"/>
    <w:rsid w:val="00D96195"/>
    <w:rsid w:val="00D96210"/>
    <w:rsid w:val="00D96ADD"/>
    <w:rsid w:val="00D96D5B"/>
    <w:rsid w:val="00D96F82"/>
    <w:rsid w:val="00D9791B"/>
    <w:rsid w:val="00DA08B0"/>
    <w:rsid w:val="00DA10FA"/>
    <w:rsid w:val="00DA12D2"/>
    <w:rsid w:val="00DA1A7C"/>
    <w:rsid w:val="00DA1B0B"/>
    <w:rsid w:val="00DA1FA6"/>
    <w:rsid w:val="00DA2068"/>
    <w:rsid w:val="00DA2748"/>
    <w:rsid w:val="00DA2C28"/>
    <w:rsid w:val="00DA2EB0"/>
    <w:rsid w:val="00DA331B"/>
    <w:rsid w:val="00DA398C"/>
    <w:rsid w:val="00DA6456"/>
    <w:rsid w:val="00DA7824"/>
    <w:rsid w:val="00DA78E9"/>
    <w:rsid w:val="00DA7D2A"/>
    <w:rsid w:val="00DB00C1"/>
    <w:rsid w:val="00DB113F"/>
    <w:rsid w:val="00DB1208"/>
    <w:rsid w:val="00DB1431"/>
    <w:rsid w:val="00DB1D0A"/>
    <w:rsid w:val="00DB271A"/>
    <w:rsid w:val="00DB5682"/>
    <w:rsid w:val="00DB58CE"/>
    <w:rsid w:val="00DB60F3"/>
    <w:rsid w:val="00DB632B"/>
    <w:rsid w:val="00DB634B"/>
    <w:rsid w:val="00DB687D"/>
    <w:rsid w:val="00DB6B13"/>
    <w:rsid w:val="00DB6B27"/>
    <w:rsid w:val="00DB6EB5"/>
    <w:rsid w:val="00DB71EB"/>
    <w:rsid w:val="00DB7682"/>
    <w:rsid w:val="00DC081E"/>
    <w:rsid w:val="00DC08DC"/>
    <w:rsid w:val="00DC0995"/>
    <w:rsid w:val="00DC0ADC"/>
    <w:rsid w:val="00DC12D2"/>
    <w:rsid w:val="00DC188B"/>
    <w:rsid w:val="00DC2F64"/>
    <w:rsid w:val="00DC36E1"/>
    <w:rsid w:val="00DC3774"/>
    <w:rsid w:val="00DC3906"/>
    <w:rsid w:val="00DC43D7"/>
    <w:rsid w:val="00DC4473"/>
    <w:rsid w:val="00DC45D9"/>
    <w:rsid w:val="00DC4622"/>
    <w:rsid w:val="00DC5A64"/>
    <w:rsid w:val="00DC5AF4"/>
    <w:rsid w:val="00DC5E48"/>
    <w:rsid w:val="00DC6625"/>
    <w:rsid w:val="00DC6AE7"/>
    <w:rsid w:val="00DC6FD1"/>
    <w:rsid w:val="00DC7521"/>
    <w:rsid w:val="00DC7776"/>
    <w:rsid w:val="00DD0EC5"/>
    <w:rsid w:val="00DD175E"/>
    <w:rsid w:val="00DD20FD"/>
    <w:rsid w:val="00DD2335"/>
    <w:rsid w:val="00DD2735"/>
    <w:rsid w:val="00DD2C0B"/>
    <w:rsid w:val="00DD2FA0"/>
    <w:rsid w:val="00DD3719"/>
    <w:rsid w:val="00DD4D34"/>
    <w:rsid w:val="00DD4F61"/>
    <w:rsid w:val="00DD519B"/>
    <w:rsid w:val="00DD587B"/>
    <w:rsid w:val="00DD613F"/>
    <w:rsid w:val="00DD65DF"/>
    <w:rsid w:val="00DD6A64"/>
    <w:rsid w:val="00DE03A5"/>
    <w:rsid w:val="00DE0420"/>
    <w:rsid w:val="00DE0F64"/>
    <w:rsid w:val="00DE19A0"/>
    <w:rsid w:val="00DE2975"/>
    <w:rsid w:val="00DE3016"/>
    <w:rsid w:val="00DE304B"/>
    <w:rsid w:val="00DE40A8"/>
    <w:rsid w:val="00DE4EBB"/>
    <w:rsid w:val="00DE5ED3"/>
    <w:rsid w:val="00DE7954"/>
    <w:rsid w:val="00DE7B45"/>
    <w:rsid w:val="00DF0455"/>
    <w:rsid w:val="00DF0492"/>
    <w:rsid w:val="00DF0C3D"/>
    <w:rsid w:val="00DF1356"/>
    <w:rsid w:val="00DF167B"/>
    <w:rsid w:val="00DF1F6F"/>
    <w:rsid w:val="00DF34D6"/>
    <w:rsid w:val="00DF35DA"/>
    <w:rsid w:val="00DF36C6"/>
    <w:rsid w:val="00DF46A8"/>
    <w:rsid w:val="00DF46F3"/>
    <w:rsid w:val="00DF4B9A"/>
    <w:rsid w:val="00DF4CC3"/>
    <w:rsid w:val="00DF561E"/>
    <w:rsid w:val="00DF65CB"/>
    <w:rsid w:val="00DF6BFC"/>
    <w:rsid w:val="00DF6D79"/>
    <w:rsid w:val="00DF7D50"/>
    <w:rsid w:val="00E00C45"/>
    <w:rsid w:val="00E011DB"/>
    <w:rsid w:val="00E02C68"/>
    <w:rsid w:val="00E03A3E"/>
    <w:rsid w:val="00E079B9"/>
    <w:rsid w:val="00E07E66"/>
    <w:rsid w:val="00E1025A"/>
    <w:rsid w:val="00E10338"/>
    <w:rsid w:val="00E103E4"/>
    <w:rsid w:val="00E10742"/>
    <w:rsid w:val="00E11574"/>
    <w:rsid w:val="00E1231B"/>
    <w:rsid w:val="00E1236F"/>
    <w:rsid w:val="00E129DB"/>
    <w:rsid w:val="00E139BF"/>
    <w:rsid w:val="00E13E1D"/>
    <w:rsid w:val="00E1427B"/>
    <w:rsid w:val="00E14AB5"/>
    <w:rsid w:val="00E14B1C"/>
    <w:rsid w:val="00E14B76"/>
    <w:rsid w:val="00E14BBA"/>
    <w:rsid w:val="00E14D3C"/>
    <w:rsid w:val="00E150A7"/>
    <w:rsid w:val="00E15477"/>
    <w:rsid w:val="00E15522"/>
    <w:rsid w:val="00E157C8"/>
    <w:rsid w:val="00E15B4A"/>
    <w:rsid w:val="00E16050"/>
    <w:rsid w:val="00E16606"/>
    <w:rsid w:val="00E169FF"/>
    <w:rsid w:val="00E201C4"/>
    <w:rsid w:val="00E212D9"/>
    <w:rsid w:val="00E21828"/>
    <w:rsid w:val="00E22E67"/>
    <w:rsid w:val="00E23429"/>
    <w:rsid w:val="00E236AF"/>
    <w:rsid w:val="00E24A81"/>
    <w:rsid w:val="00E24CCA"/>
    <w:rsid w:val="00E2516B"/>
    <w:rsid w:val="00E254B9"/>
    <w:rsid w:val="00E2621A"/>
    <w:rsid w:val="00E262B7"/>
    <w:rsid w:val="00E26974"/>
    <w:rsid w:val="00E27203"/>
    <w:rsid w:val="00E27DE3"/>
    <w:rsid w:val="00E3001C"/>
    <w:rsid w:val="00E30858"/>
    <w:rsid w:val="00E31CEE"/>
    <w:rsid w:val="00E31E3C"/>
    <w:rsid w:val="00E32150"/>
    <w:rsid w:val="00E32FBB"/>
    <w:rsid w:val="00E3310C"/>
    <w:rsid w:val="00E3358F"/>
    <w:rsid w:val="00E34002"/>
    <w:rsid w:val="00E34A5D"/>
    <w:rsid w:val="00E34C04"/>
    <w:rsid w:val="00E35114"/>
    <w:rsid w:val="00E35324"/>
    <w:rsid w:val="00E35399"/>
    <w:rsid w:val="00E36706"/>
    <w:rsid w:val="00E3737A"/>
    <w:rsid w:val="00E37409"/>
    <w:rsid w:val="00E3741D"/>
    <w:rsid w:val="00E374E9"/>
    <w:rsid w:val="00E37928"/>
    <w:rsid w:val="00E37E6C"/>
    <w:rsid w:val="00E37FE2"/>
    <w:rsid w:val="00E406B4"/>
    <w:rsid w:val="00E40977"/>
    <w:rsid w:val="00E41306"/>
    <w:rsid w:val="00E41DF5"/>
    <w:rsid w:val="00E41E8F"/>
    <w:rsid w:val="00E42128"/>
    <w:rsid w:val="00E42289"/>
    <w:rsid w:val="00E42C37"/>
    <w:rsid w:val="00E434BA"/>
    <w:rsid w:val="00E435A6"/>
    <w:rsid w:val="00E436AD"/>
    <w:rsid w:val="00E43CB4"/>
    <w:rsid w:val="00E43EC3"/>
    <w:rsid w:val="00E44597"/>
    <w:rsid w:val="00E44B23"/>
    <w:rsid w:val="00E44F9B"/>
    <w:rsid w:val="00E45065"/>
    <w:rsid w:val="00E451E5"/>
    <w:rsid w:val="00E45852"/>
    <w:rsid w:val="00E460A2"/>
    <w:rsid w:val="00E47A86"/>
    <w:rsid w:val="00E5040C"/>
    <w:rsid w:val="00E50C0F"/>
    <w:rsid w:val="00E5161B"/>
    <w:rsid w:val="00E52B6E"/>
    <w:rsid w:val="00E52DDF"/>
    <w:rsid w:val="00E5329F"/>
    <w:rsid w:val="00E540C0"/>
    <w:rsid w:val="00E54147"/>
    <w:rsid w:val="00E54EA9"/>
    <w:rsid w:val="00E54F6F"/>
    <w:rsid w:val="00E553AE"/>
    <w:rsid w:val="00E55F59"/>
    <w:rsid w:val="00E56AB1"/>
    <w:rsid w:val="00E575BB"/>
    <w:rsid w:val="00E57839"/>
    <w:rsid w:val="00E57993"/>
    <w:rsid w:val="00E57AFA"/>
    <w:rsid w:val="00E61047"/>
    <w:rsid w:val="00E61233"/>
    <w:rsid w:val="00E61A62"/>
    <w:rsid w:val="00E61B27"/>
    <w:rsid w:val="00E62185"/>
    <w:rsid w:val="00E62256"/>
    <w:rsid w:val="00E62297"/>
    <w:rsid w:val="00E624D6"/>
    <w:rsid w:val="00E62A8E"/>
    <w:rsid w:val="00E634F2"/>
    <w:rsid w:val="00E6365C"/>
    <w:rsid w:val="00E63DB8"/>
    <w:rsid w:val="00E64190"/>
    <w:rsid w:val="00E655FA"/>
    <w:rsid w:val="00E65733"/>
    <w:rsid w:val="00E65B3E"/>
    <w:rsid w:val="00E6614D"/>
    <w:rsid w:val="00E662C1"/>
    <w:rsid w:val="00E668FE"/>
    <w:rsid w:val="00E70726"/>
    <w:rsid w:val="00E71155"/>
    <w:rsid w:val="00E71FA0"/>
    <w:rsid w:val="00E721D7"/>
    <w:rsid w:val="00E727A3"/>
    <w:rsid w:val="00E72A03"/>
    <w:rsid w:val="00E733EC"/>
    <w:rsid w:val="00E73521"/>
    <w:rsid w:val="00E73527"/>
    <w:rsid w:val="00E735A6"/>
    <w:rsid w:val="00E744E9"/>
    <w:rsid w:val="00E744FC"/>
    <w:rsid w:val="00E74D89"/>
    <w:rsid w:val="00E7763A"/>
    <w:rsid w:val="00E803F5"/>
    <w:rsid w:val="00E80556"/>
    <w:rsid w:val="00E805DB"/>
    <w:rsid w:val="00E808D0"/>
    <w:rsid w:val="00E80F10"/>
    <w:rsid w:val="00E8105F"/>
    <w:rsid w:val="00E810CA"/>
    <w:rsid w:val="00E81790"/>
    <w:rsid w:val="00E817CD"/>
    <w:rsid w:val="00E81F13"/>
    <w:rsid w:val="00E81F48"/>
    <w:rsid w:val="00E82AD2"/>
    <w:rsid w:val="00E82E5E"/>
    <w:rsid w:val="00E82F8C"/>
    <w:rsid w:val="00E84113"/>
    <w:rsid w:val="00E84481"/>
    <w:rsid w:val="00E85958"/>
    <w:rsid w:val="00E85F1B"/>
    <w:rsid w:val="00E86207"/>
    <w:rsid w:val="00E865A2"/>
    <w:rsid w:val="00E867D4"/>
    <w:rsid w:val="00E86DCF"/>
    <w:rsid w:val="00E87428"/>
    <w:rsid w:val="00E87CAD"/>
    <w:rsid w:val="00E900F9"/>
    <w:rsid w:val="00E90ADD"/>
    <w:rsid w:val="00E90CF4"/>
    <w:rsid w:val="00E90D0A"/>
    <w:rsid w:val="00E9270B"/>
    <w:rsid w:val="00E93E46"/>
    <w:rsid w:val="00E95115"/>
    <w:rsid w:val="00E95359"/>
    <w:rsid w:val="00E95886"/>
    <w:rsid w:val="00E96251"/>
    <w:rsid w:val="00EA05B9"/>
    <w:rsid w:val="00EA0617"/>
    <w:rsid w:val="00EA066D"/>
    <w:rsid w:val="00EA0881"/>
    <w:rsid w:val="00EA0C11"/>
    <w:rsid w:val="00EA1387"/>
    <w:rsid w:val="00EA1644"/>
    <w:rsid w:val="00EA1986"/>
    <w:rsid w:val="00EA19BC"/>
    <w:rsid w:val="00EA1DE0"/>
    <w:rsid w:val="00EA2A38"/>
    <w:rsid w:val="00EA2E88"/>
    <w:rsid w:val="00EA4C43"/>
    <w:rsid w:val="00EA56C7"/>
    <w:rsid w:val="00EA64F5"/>
    <w:rsid w:val="00EA6B4D"/>
    <w:rsid w:val="00EA6C72"/>
    <w:rsid w:val="00EB012B"/>
    <w:rsid w:val="00EB1245"/>
    <w:rsid w:val="00EB172D"/>
    <w:rsid w:val="00EB2134"/>
    <w:rsid w:val="00EB261C"/>
    <w:rsid w:val="00EB28B2"/>
    <w:rsid w:val="00EB3EE0"/>
    <w:rsid w:val="00EB44DB"/>
    <w:rsid w:val="00EB51BC"/>
    <w:rsid w:val="00EB5A30"/>
    <w:rsid w:val="00EB5C7C"/>
    <w:rsid w:val="00EB6299"/>
    <w:rsid w:val="00EB6400"/>
    <w:rsid w:val="00EB694D"/>
    <w:rsid w:val="00EB6B96"/>
    <w:rsid w:val="00EB7576"/>
    <w:rsid w:val="00EB7A9C"/>
    <w:rsid w:val="00EC07F4"/>
    <w:rsid w:val="00EC142C"/>
    <w:rsid w:val="00EC1DF0"/>
    <w:rsid w:val="00EC296C"/>
    <w:rsid w:val="00EC3360"/>
    <w:rsid w:val="00EC4A52"/>
    <w:rsid w:val="00EC572C"/>
    <w:rsid w:val="00EC664C"/>
    <w:rsid w:val="00EC6C82"/>
    <w:rsid w:val="00ED0490"/>
    <w:rsid w:val="00ED04F5"/>
    <w:rsid w:val="00ED0BF3"/>
    <w:rsid w:val="00ED14FD"/>
    <w:rsid w:val="00ED16BD"/>
    <w:rsid w:val="00ED3004"/>
    <w:rsid w:val="00ED34F1"/>
    <w:rsid w:val="00ED3667"/>
    <w:rsid w:val="00ED40C6"/>
    <w:rsid w:val="00ED4508"/>
    <w:rsid w:val="00ED4817"/>
    <w:rsid w:val="00ED4D6C"/>
    <w:rsid w:val="00ED5566"/>
    <w:rsid w:val="00ED5966"/>
    <w:rsid w:val="00ED5DA6"/>
    <w:rsid w:val="00ED5DCF"/>
    <w:rsid w:val="00ED61E8"/>
    <w:rsid w:val="00ED6551"/>
    <w:rsid w:val="00ED65A0"/>
    <w:rsid w:val="00ED6FF2"/>
    <w:rsid w:val="00ED78BA"/>
    <w:rsid w:val="00EE01FD"/>
    <w:rsid w:val="00EE041F"/>
    <w:rsid w:val="00EE08A4"/>
    <w:rsid w:val="00EE08E2"/>
    <w:rsid w:val="00EE0947"/>
    <w:rsid w:val="00EE0E29"/>
    <w:rsid w:val="00EE116F"/>
    <w:rsid w:val="00EE25FB"/>
    <w:rsid w:val="00EE3520"/>
    <w:rsid w:val="00EE37F0"/>
    <w:rsid w:val="00EE4583"/>
    <w:rsid w:val="00EE57EE"/>
    <w:rsid w:val="00EE58A7"/>
    <w:rsid w:val="00EE5B5A"/>
    <w:rsid w:val="00EE603F"/>
    <w:rsid w:val="00EE690B"/>
    <w:rsid w:val="00EE766B"/>
    <w:rsid w:val="00EE7E69"/>
    <w:rsid w:val="00EF08C7"/>
    <w:rsid w:val="00EF1D2E"/>
    <w:rsid w:val="00EF2446"/>
    <w:rsid w:val="00EF3029"/>
    <w:rsid w:val="00EF31BD"/>
    <w:rsid w:val="00EF3554"/>
    <w:rsid w:val="00EF3806"/>
    <w:rsid w:val="00EF3C47"/>
    <w:rsid w:val="00EF416A"/>
    <w:rsid w:val="00EF5798"/>
    <w:rsid w:val="00EF61AA"/>
    <w:rsid w:val="00EF7BB6"/>
    <w:rsid w:val="00EF7E55"/>
    <w:rsid w:val="00F015C3"/>
    <w:rsid w:val="00F019BE"/>
    <w:rsid w:val="00F01BAC"/>
    <w:rsid w:val="00F01F79"/>
    <w:rsid w:val="00F038AA"/>
    <w:rsid w:val="00F04164"/>
    <w:rsid w:val="00F054DD"/>
    <w:rsid w:val="00F06AE6"/>
    <w:rsid w:val="00F070AA"/>
    <w:rsid w:val="00F0775E"/>
    <w:rsid w:val="00F07A10"/>
    <w:rsid w:val="00F07F3A"/>
    <w:rsid w:val="00F10763"/>
    <w:rsid w:val="00F10E46"/>
    <w:rsid w:val="00F11175"/>
    <w:rsid w:val="00F12045"/>
    <w:rsid w:val="00F1415B"/>
    <w:rsid w:val="00F14550"/>
    <w:rsid w:val="00F14C4E"/>
    <w:rsid w:val="00F14D18"/>
    <w:rsid w:val="00F158F1"/>
    <w:rsid w:val="00F15E9E"/>
    <w:rsid w:val="00F15F74"/>
    <w:rsid w:val="00F1705C"/>
    <w:rsid w:val="00F179EA"/>
    <w:rsid w:val="00F17B1E"/>
    <w:rsid w:val="00F20E70"/>
    <w:rsid w:val="00F21666"/>
    <w:rsid w:val="00F21D52"/>
    <w:rsid w:val="00F21FEF"/>
    <w:rsid w:val="00F223C7"/>
    <w:rsid w:val="00F22AC6"/>
    <w:rsid w:val="00F22B0E"/>
    <w:rsid w:val="00F2315B"/>
    <w:rsid w:val="00F2355F"/>
    <w:rsid w:val="00F236B4"/>
    <w:rsid w:val="00F23951"/>
    <w:rsid w:val="00F23B7D"/>
    <w:rsid w:val="00F23C8D"/>
    <w:rsid w:val="00F23F12"/>
    <w:rsid w:val="00F24B82"/>
    <w:rsid w:val="00F25290"/>
    <w:rsid w:val="00F25292"/>
    <w:rsid w:val="00F2724D"/>
    <w:rsid w:val="00F27370"/>
    <w:rsid w:val="00F27885"/>
    <w:rsid w:val="00F27F74"/>
    <w:rsid w:val="00F30590"/>
    <w:rsid w:val="00F30DC4"/>
    <w:rsid w:val="00F3142B"/>
    <w:rsid w:val="00F31A2F"/>
    <w:rsid w:val="00F31CA1"/>
    <w:rsid w:val="00F31DA9"/>
    <w:rsid w:val="00F32076"/>
    <w:rsid w:val="00F32424"/>
    <w:rsid w:val="00F32B8D"/>
    <w:rsid w:val="00F332E9"/>
    <w:rsid w:val="00F3393A"/>
    <w:rsid w:val="00F34125"/>
    <w:rsid w:val="00F34780"/>
    <w:rsid w:val="00F35CF5"/>
    <w:rsid w:val="00F35DFB"/>
    <w:rsid w:val="00F35E9B"/>
    <w:rsid w:val="00F36154"/>
    <w:rsid w:val="00F3762D"/>
    <w:rsid w:val="00F37CF3"/>
    <w:rsid w:val="00F40077"/>
    <w:rsid w:val="00F40215"/>
    <w:rsid w:val="00F40261"/>
    <w:rsid w:val="00F403FD"/>
    <w:rsid w:val="00F4049D"/>
    <w:rsid w:val="00F40621"/>
    <w:rsid w:val="00F40784"/>
    <w:rsid w:val="00F413D3"/>
    <w:rsid w:val="00F41487"/>
    <w:rsid w:val="00F414C3"/>
    <w:rsid w:val="00F41B6C"/>
    <w:rsid w:val="00F428BF"/>
    <w:rsid w:val="00F42EB8"/>
    <w:rsid w:val="00F437B5"/>
    <w:rsid w:val="00F43AB3"/>
    <w:rsid w:val="00F43E74"/>
    <w:rsid w:val="00F4443B"/>
    <w:rsid w:val="00F445B4"/>
    <w:rsid w:val="00F44A7A"/>
    <w:rsid w:val="00F44A99"/>
    <w:rsid w:val="00F44B26"/>
    <w:rsid w:val="00F45233"/>
    <w:rsid w:val="00F45B17"/>
    <w:rsid w:val="00F508B3"/>
    <w:rsid w:val="00F50C1F"/>
    <w:rsid w:val="00F50FB3"/>
    <w:rsid w:val="00F51770"/>
    <w:rsid w:val="00F52018"/>
    <w:rsid w:val="00F52C4F"/>
    <w:rsid w:val="00F5426F"/>
    <w:rsid w:val="00F546EF"/>
    <w:rsid w:val="00F54D46"/>
    <w:rsid w:val="00F554D3"/>
    <w:rsid w:val="00F555E4"/>
    <w:rsid w:val="00F55BEA"/>
    <w:rsid w:val="00F5620E"/>
    <w:rsid w:val="00F56884"/>
    <w:rsid w:val="00F56F78"/>
    <w:rsid w:val="00F60228"/>
    <w:rsid w:val="00F60337"/>
    <w:rsid w:val="00F6046F"/>
    <w:rsid w:val="00F60C7E"/>
    <w:rsid w:val="00F61639"/>
    <w:rsid w:val="00F62894"/>
    <w:rsid w:val="00F62D1F"/>
    <w:rsid w:val="00F6367D"/>
    <w:rsid w:val="00F64A5C"/>
    <w:rsid w:val="00F64C5D"/>
    <w:rsid w:val="00F652F1"/>
    <w:rsid w:val="00F65C36"/>
    <w:rsid w:val="00F66089"/>
    <w:rsid w:val="00F6610D"/>
    <w:rsid w:val="00F666AA"/>
    <w:rsid w:val="00F6776F"/>
    <w:rsid w:val="00F67B72"/>
    <w:rsid w:val="00F67DC8"/>
    <w:rsid w:val="00F7019B"/>
    <w:rsid w:val="00F72002"/>
    <w:rsid w:val="00F7255A"/>
    <w:rsid w:val="00F7359C"/>
    <w:rsid w:val="00F7385E"/>
    <w:rsid w:val="00F73E99"/>
    <w:rsid w:val="00F75A57"/>
    <w:rsid w:val="00F75E09"/>
    <w:rsid w:val="00F767D6"/>
    <w:rsid w:val="00F76846"/>
    <w:rsid w:val="00F76E52"/>
    <w:rsid w:val="00F76E56"/>
    <w:rsid w:val="00F770E3"/>
    <w:rsid w:val="00F7769B"/>
    <w:rsid w:val="00F77F8B"/>
    <w:rsid w:val="00F80A06"/>
    <w:rsid w:val="00F80AF0"/>
    <w:rsid w:val="00F815CA"/>
    <w:rsid w:val="00F815F8"/>
    <w:rsid w:val="00F81D14"/>
    <w:rsid w:val="00F81E90"/>
    <w:rsid w:val="00F81EF1"/>
    <w:rsid w:val="00F8211C"/>
    <w:rsid w:val="00F827C1"/>
    <w:rsid w:val="00F82A6B"/>
    <w:rsid w:val="00F8307C"/>
    <w:rsid w:val="00F832CC"/>
    <w:rsid w:val="00F83B10"/>
    <w:rsid w:val="00F83F41"/>
    <w:rsid w:val="00F84BF4"/>
    <w:rsid w:val="00F85255"/>
    <w:rsid w:val="00F8569D"/>
    <w:rsid w:val="00F864BB"/>
    <w:rsid w:val="00F86539"/>
    <w:rsid w:val="00F865CC"/>
    <w:rsid w:val="00F868A4"/>
    <w:rsid w:val="00F86B50"/>
    <w:rsid w:val="00F86C08"/>
    <w:rsid w:val="00F870A5"/>
    <w:rsid w:val="00F871D9"/>
    <w:rsid w:val="00F87C1A"/>
    <w:rsid w:val="00F9036B"/>
    <w:rsid w:val="00F903BC"/>
    <w:rsid w:val="00F90DC8"/>
    <w:rsid w:val="00F91FBC"/>
    <w:rsid w:val="00F9308D"/>
    <w:rsid w:val="00F93611"/>
    <w:rsid w:val="00F93701"/>
    <w:rsid w:val="00F94563"/>
    <w:rsid w:val="00F9509F"/>
    <w:rsid w:val="00F95839"/>
    <w:rsid w:val="00F95DB4"/>
    <w:rsid w:val="00F95EE1"/>
    <w:rsid w:val="00F96688"/>
    <w:rsid w:val="00F966E0"/>
    <w:rsid w:val="00F9797D"/>
    <w:rsid w:val="00F97B07"/>
    <w:rsid w:val="00FA09E5"/>
    <w:rsid w:val="00FA0DC6"/>
    <w:rsid w:val="00FA1A33"/>
    <w:rsid w:val="00FA1D81"/>
    <w:rsid w:val="00FA1F2A"/>
    <w:rsid w:val="00FA3559"/>
    <w:rsid w:val="00FA3CFC"/>
    <w:rsid w:val="00FA427F"/>
    <w:rsid w:val="00FA555A"/>
    <w:rsid w:val="00FA58C3"/>
    <w:rsid w:val="00FA5F92"/>
    <w:rsid w:val="00FA6216"/>
    <w:rsid w:val="00FA69EB"/>
    <w:rsid w:val="00FA7107"/>
    <w:rsid w:val="00FA7CD0"/>
    <w:rsid w:val="00FB0D17"/>
    <w:rsid w:val="00FB1058"/>
    <w:rsid w:val="00FB10CF"/>
    <w:rsid w:val="00FB1612"/>
    <w:rsid w:val="00FB1654"/>
    <w:rsid w:val="00FB241D"/>
    <w:rsid w:val="00FB298D"/>
    <w:rsid w:val="00FB3C6F"/>
    <w:rsid w:val="00FB3F9E"/>
    <w:rsid w:val="00FB41E4"/>
    <w:rsid w:val="00FB425F"/>
    <w:rsid w:val="00FB4A3E"/>
    <w:rsid w:val="00FB5C20"/>
    <w:rsid w:val="00FB630F"/>
    <w:rsid w:val="00FB6F3E"/>
    <w:rsid w:val="00FB6F8F"/>
    <w:rsid w:val="00FB717F"/>
    <w:rsid w:val="00FB7818"/>
    <w:rsid w:val="00FB7A55"/>
    <w:rsid w:val="00FB7C80"/>
    <w:rsid w:val="00FC0B6F"/>
    <w:rsid w:val="00FC1CA1"/>
    <w:rsid w:val="00FC1E4B"/>
    <w:rsid w:val="00FC2386"/>
    <w:rsid w:val="00FC2619"/>
    <w:rsid w:val="00FC2AC6"/>
    <w:rsid w:val="00FC337B"/>
    <w:rsid w:val="00FC343D"/>
    <w:rsid w:val="00FC37D7"/>
    <w:rsid w:val="00FC3A88"/>
    <w:rsid w:val="00FC41AA"/>
    <w:rsid w:val="00FC41EA"/>
    <w:rsid w:val="00FC4703"/>
    <w:rsid w:val="00FC4FC4"/>
    <w:rsid w:val="00FC592E"/>
    <w:rsid w:val="00FC5D73"/>
    <w:rsid w:val="00FC67D6"/>
    <w:rsid w:val="00FC6872"/>
    <w:rsid w:val="00FC73E7"/>
    <w:rsid w:val="00FC78F9"/>
    <w:rsid w:val="00FC7A29"/>
    <w:rsid w:val="00FD03C5"/>
    <w:rsid w:val="00FD0A17"/>
    <w:rsid w:val="00FD0B1A"/>
    <w:rsid w:val="00FD12BA"/>
    <w:rsid w:val="00FD1DE0"/>
    <w:rsid w:val="00FD30B4"/>
    <w:rsid w:val="00FD30DC"/>
    <w:rsid w:val="00FD35B6"/>
    <w:rsid w:val="00FD383F"/>
    <w:rsid w:val="00FD46EE"/>
    <w:rsid w:val="00FD4D91"/>
    <w:rsid w:val="00FD4F2E"/>
    <w:rsid w:val="00FD5DA5"/>
    <w:rsid w:val="00FD5F54"/>
    <w:rsid w:val="00FD6028"/>
    <w:rsid w:val="00FD6268"/>
    <w:rsid w:val="00FD6D7F"/>
    <w:rsid w:val="00FD77FD"/>
    <w:rsid w:val="00FD78E5"/>
    <w:rsid w:val="00FD7B3E"/>
    <w:rsid w:val="00FE0292"/>
    <w:rsid w:val="00FE0C08"/>
    <w:rsid w:val="00FE1126"/>
    <w:rsid w:val="00FE1586"/>
    <w:rsid w:val="00FE175A"/>
    <w:rsid w:val="00FE1C48"/>
    <w:rsid w:val="00FE1CF4"/>
    <w:rsid w:val="00FE37B8"/>
    <w:rsid w:val="00FE5081"/>
    <w:rsid w:val="00FE53F2"/>
    <w:rsid w:val="00FE5569"/>
    <w:rsid w:val="00FE564F"/>
    <w:rsid w:val="00FE63F7"/>
    <w:rsid w:val="00FE6C51"/>
    <w:rsid w:val="00FE6F6C"/>
    <w:rsid w:val="00FE7A58"/>
    <w:rsid w:val="00FF0017"/>
    <w:rsid w:val="00FF04C2"/>
    <w:rsid w:val="00FF08F7"/>
    <w:rsid w:val="00FF0C3E"/>
    <w:rsid w:val="00FF11FE"/>
    <w:rsid w:val="00FF1A41"/>
    <w:rsid w:val="00FF1AD1"/>
    <w:rsid w:val="00FF2DC5"/>
    <w:rsid w:val="00FF3881"/>
    <w:rsid w:val="00FF3C1E"/>
    <w:rsid w:val="00FF4623"/>
    <w:rsid w:val="00FF474A"/>
    <w:rsid w:val="00FF4D99"/>
    <w:rsid w:val="00FF4F40"/>
    <w:rsid w:val="00FF570F"/>
    <w:rsid w:val="00FF7116"/>
    <w:rsid w:val="00FF72D0"/>
    <w:rsid w:val="00FF78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154BA05"/>
  <w15:docId w15:val="{E0280429-F327-4CEF-B1B1-BA0BDDC79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Theme="minorHAnsi" w:hAnsi="Garamond"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garamond 12"/>
    <w:qFormat/>
    <w:rsid w:val="007F23B7"/>
    <w:pPr>
      <w:spacing w:line="340" w:lineRule="exact"/>
    </w:pPr>
    <w:rPr>
      <w:sz w:val="24"/>
    </w:rPr>
  </w:style>
  <w:style w:type="paragraph" w:styleId="Heading1">
    <w:name w:val="heading 1"/>
    <w:basedOn w:val="Normal"/>
    <w:next w:val="Normal"/>
    <w:link w:val="Heading1Char"/>
    <w:uiPriority w:val="9"/>
    <w:qFormat/>
    <w:rsid w:val="00262D42"/>
    <w:pPr>
      <w:keepNext/>
      <w:keepLines/>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4C5B"/>
    <w:pPr>
      <w:keepNext/>
      <w:keepLines/>
      <w:spacing w:before="200"/>
      <w:outlineLvl w:val="1"/>
    </w:pPr>
    <w:rPr>
      <w:rFonts w:asciiTheme="majorHAnsi" w:eastAsiaTheme="majorEastAsia" w:hAnsiTheme="majorHAnsi" w:cstheme="majorBidi"/>
      <w:b/>
      <w:bCs/>
      <w:color w:val="632423" w:themeColor="accent2" w:themeShade="80"/>
      <w:sz w:val="26"/>
      <w:szCs w:val="26"/>
    </w:rPr>
  </w:style>
  <w:style w:type="paragraph" w:styleId="Heading3">
    <w:name w:val="heading 3"/>
    <w:basedOn w:val="Normal"/>
    <w:next w:val="Normal"/>
    <w:link w:val="Heading3Char"/>
    <w:uiPriority w:val="9"/>
    <w:unhideWhenUsed/>
    <w:qFormat/>
    <w:rsid w:val="001B6245"/>
    <w:pPr>
      <w:keepNext/>
      <w:keepLines/>
      <w:spacing w:before="200"/>
      <w:outlineLvl w:val="2"/>
    </w:pPr>
    <w:rPr>
      <w:rFonts w:asciiTheme="majorHAnsi" w:eastAsiaTheme="majorEastAsia" w:hAnsiTheme="majorHAnsi" w:cstheme="majorBidi"/>
      <w:b/>
      <w:bCs/>
      <w:color w:val="215868" w:themeColor="accent5" w:themeShade="80"/>
      <w:sz w:val="22"/>
      <w:u w:val="single"/>
    </w:rPr>
  </w:style>
  <w:style w:type="paragraph" w:styleId="Heading4">
    <w:name w:val="heading 4"/>
    <w:basedOn w:val="Normal"/>
    <w:next w:val="Normal"/>
    <w:link w:val="Heading4Char"/>
    <w:uiPriority w:val="9"/>
    <w:unhideWhenUsed/>
    <w:qFormat/>
    <w:rsid w:val="000805B2"/>
    <w:pPr>
      <w:outlineLvl w:val="3"/>
    </w:pPr>
    <w:rPr>
      <w:rFonts w:asciiTheme="majorHAnsi" w:hAnsiTheme="majorHAns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2D42"/>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017E2E"/>
  </w:style>
  <w:style w:type="character" w:customStyle="1" w:styleId="Heading2Char">
    <w:name w:val="Heading 2 Char"/>
    <w:basedOn w:val="DefaultParagraphFont"/>
    <w:link w:val="Heading2"/>
    <w:uiPriority w:val="9"/>
    <w:rsid w:val="00094C5B"/>
    <w:rPr>
      <w:rFonts w:asciiTheme="majorHAnsi" w:eastAsiaTheme="majorEastAsia" w:hAnsiTheme="majorHAnsi" w:cstheme="majorBidi"/>
      <w:b/>
      <w:bCs/>
      <w:color w:val="632423" w:themeColor="accent2" w:themeShade="80"/>
      <w:sz w:val="26"/>
      <w:szCs w:val="26"/>
    </w:rPr>
  </w:style>
  <w:style w:type="paragraph" w:styleId="Header">
    <w:name w:val="header"/>
    <w:basedOn w:val="Normal"/>
    <w:link w:val="HeaderChar"/>
    <w:uiPriority w:val="99"/>
    <w:unhideWhenUsed/>
    <w:rsid w:val="00965E0E"/>
    <w:pPr>
      <w:tabs>
        <w:tab w:val="center" w:pos="4680"/>
        <w:tab w:val="right" w:pos="9360"/>
      </w:tabs>
      <w:spacing w:line="240" w:lineRule="auto"/>
    </w:pPr>
  </w:style>
  <w:style w:type="character" w:customStyle="1" w:styleId="HeaderChar">
    <w:name w:val="Header Char"/>
    <w:basedOn w:val="DefaultParagraphFont"/>
    <w:link w:val="Header"/>
    <w:uiPriority w:val="99"/>
    <w:rsid w:val="00965E0E"/>
  </w:style>
  <w:style w:type="paragraph" w:styleId="Footer">
    <w:name w:val="footer"/>
    <w:basedOn w:val="Normal"/>
    <w:link w:val="FooterChar"/>
    <w:uiPriority w:val="99"/>
    <w:unhideWhenUsed/>
    <w:rsid w:val="00965E0E"/>
    <w:pPr>
      <w:tabs>
        <w:tab w:val="center" w:pos="4680"/>
        <w:tab w:val="right" w:pos="9360"/>
      </w:tabs>
      <w:spacing w:line="240" w:lineRule="auto"/>
    </w:pPr>
  </w:style>
  <w:style w:type="character" w:customStyle="1" w:styleId="FooterChar">
    <w:name w:val="Footer Char"/>
    <w:basedOn w:val="DefaultParagraphFont"/>
    <w:link w:val="Footer"/>
    <w:uiPriority w:val="99"/>
    <w:rsid w:val="00965E0E"/>
  </w:style>
  <w:style w:type="character" w:customStyle="1" w:styleId="Heading3Char">
    <w:name w:val="Heading 3 Char"/>
    <w:basedOn w:val="DefaultParagraphFont"/>
    <w:link w:val="Heading3"/>
    <w:uiPriority w:val="9"/>
    <w:rsid w:val="001B6245"/>
    <w:rPr>
      <w:rFonts w:asciiTheme="majorHAnsi" w:eastAsiaTheme="majorEastAsia" w:hAnsiTheme="majorHAnsi" w:cstheme="majorBidi"/>
      <w:b/>
      <w:bCs/>
      <w:color w:val="215868" w:themeColor="accent5" w:themeShade="80"/>
      <w:u w:val="single"/>
    </w:rPr>
  </w:style>
  <w:style w:type="table" w:styleId="TableGrid">
    <w:name w:val="Table Grid"/>
    <w:basedOn w:val="TableNormal"/>
    <w:uiPriority w:val="59"/>
    <w:rsid w:val="004E46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C07769"/>
    <w:pPr>
      <w:spacing w:line="240" w:lineRule="auto"/>
    </w:pPr>
    <w:rPr>
      <w:sz w:val="20"/>
      <w:szCs w:val="20"/>
    </w:rPr>
  </w:style>
  <w:style w:type="character" w:customStyle="1" w:styleId="FootnoteTextChar">
    <w:name w:val="Footnote Text Char"/>
    <w:basedOn w:val="DefaultParagraphFont"/>
    <w:link w:val="FootnoteText"/>
    <w:uiPriority w:val="99"/>
    <w:semiHidden/>
    <w:rsid w:val="00C07769"/>
    <w:rPr>
      <w:sz w:val="20"/>
      <w:szCs w:val="20"/>
    </w:rPr>
  </w:style>
  <w:style w:type="character" w:styleId="FootnoteReference">
    <w:name w:val="footnote reference"/>
    <w:basedOn w:val="DefaultParagraphFont"/>
    <w:uiPriority w:val="99"/>
    <w:semiHidden/>
    <w:unhideWhenUsed/>
    <w:rsid w:val="00C07769"/>
    <w:rPr>
      <w:vertAlign w:val="superscript"/>
    </w:rPr>
  </w:style>
  <w:style w:type="character" w:styleId="Hyperlink">
    <w:name w:val="Hyperlink"/>
    <w:basedOn w:val="DefaultParagraphFont"/>
    <w:uiPriority w:val="99"/>
    <w:unhideWhenUsed/>
    <w:rsid w:val="00C07769"/>
    <w:rPr>
      <w:color w:val="0000FF" w:themeColor="hyperlink"/>
      <w:u w:val="single"/>
    </w:rPr>
  </w:style>
  <w:style w:type="paragraph" w:styleId="TOCHeading">
    <w:name w:val="TOC Heading"/>
    <w:basedOn w:val="Heading1"/>
    <w:next w:val="Normal"/>
    <w:uiPriority w:val="39"/>
    <w:unhideWhenUsed/>
    <w:qFormat/>
    <w:rsid w:val="00F30590"/>
    <w:pPr>
      <w:spacing w:line="276" w:lineRule="auto"/>
      <w:outlineLvl w:val="9"/>
    </w:pPr>
  </w:style>
  <w:style w:type="paragraph" w:styleId="TOC1">
    <w:name w:val="toc 1"/>
    <w:basedOn w:val="Normal"/>
    <w:next w:val="Normal"/>
    <w:autoRedefine/>
    <w:uiPriority w:val="39"/>
    <w:unhideWhenUsed/>
    <w:rsid w:val="00481FA2"/>
    <w:pPr>
      <w:tabs>
        <w:tab w:val="right" w:leader="dot" w:pos="9350"/>
      </w:tabs>
    </w:pPr>
  </w:style>
  <w:style w:type="paragraph" w:styleId="TOC2">
    <w:name w:val="toc 2"/>
    <w:basedOn w:val="Normal"/>
    <w:next w:val="Normal"/>
    <w:autoRedefine/>
    <w:uiPriority w:val="39"/>
    <w:unhideWhenUsed/>
    <w:rsid w:val="00F30590"/>
    <w:pPr>
      <w:spacing w:after="100"/>
      <w:ind w:left="220"/>
    </w:pPr>
  </w:style>
  <w:style w:type="paragraph" w:styleId="TOC3">
    <w:name w:val="toc 3"/>
    <w:basedOn w:val="Normal"/>
    <w:next w:val="Normal"/>
    <w:autoRedefine/>
    <w:uiPriority w:val="39"/>
    <w:unhideWhenUsed/>
    <w:rsid w:val="00F30590"/>
    <w:pPr>
      <w:spacing w:after="100"/>
      <w:ind w:left="440"/>
    </w:pPr>
  </w:style>
  <w:style w:type="paragraph" w:styleId="BalloonText">
    <w:name w:val="Balloon Text"/>
    <w:basedOn w:val="Normal"/>
    <w:link w:val="BalloonTextChar"/>
    <w:uiPriority w:val="99"/>
    <w:semiHidden/>
    <w:unhideWhenUsed/>
    <w:rsid w:val="00871B9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1B91"/>
    <w:rPr>
      <w:rFonts w:ascii="Tahoma" w:hAnsi="Tahoma" w:cs="Tahoma"/>
      <w:sz w:val="16"/>
      <w:szCs w:val="16"/>
    </w:rPr>
  </w:style>
  <w:style w:type="paragraph" w:styleId="ListParagraph">
    <w:name w:val="List Paragraph"/>
    <w:basedOn w:val="Normal"/>
    <w:uiPriority w:val="34"/>
    <w:qFormat/>
    <w:rsid w:val="00A3411C"/>
    <w:pPr>
      <w:ind w:left="720"/>
      <w:contextualSpacing/>
    </w:pPr>
  </w:style>
  <w:style w:type="character" w:styleId="CommentReference">
    <w:name w:val="annotation reference"/>
    <w:basedOn w:val="DefaultParagraphFont"/>
    <w:uiPriority w:val="99"/>
    <w:semiHidden/>
    <w:unhideWhenUsed/>
    <w:rsid w:val="00327B25"/>
    <w:rPr>
      <w:sz w:val="16"/>
      <w:szCs w:val="16"/>
    </w:rPr>
  </w:style>
  <w:style w:type="paragraph" w:styleId="CommentText">
    <w:name w:val="annotation text"/>
    <w:basedOn w:val="Normal"/>
    <w:link w:val="CommentTextChar"/>
    <w:uiPriority w:val="99"/>
    <w:semiHidden/>
    <w:unhideWhenUsed/>
    <w:rsid w:val="00327B25"/>
    <w:pPr>
      <w:spacing w:line="240" w:lineRule="auto"/>
    </w:pPr>
    <w:rPr>
      <w:sz w:val="20"/>
      <w:szCs w:val="20"/>
    </w:rPr>
  </w:style>
  <w:style w:type="character" w:customStyle="1" w:styleId="CommentTextChar">
    <w:name w:val="Comment Text Char"/>
    <w:basedOn w:val="DefaultParagraphFont"/>
    <w:link w:val="CommentText"/>
    <w:uiPriority w:val="99"/>
    <w:semiHidden/>
    <w:rsid w:val="00327B25"/>
    <w:rPr>
      <w:sz w:val="20"/>
      <w:szCs w:val="20"/>
    </w:rPr>
  </w:style>
  <w:style w:type="paragraph" w:styleId="CommentSubject">
    <w:name w:val="annotation subject"/>
    <w:basedOn w:val="CommentText"/>
    <w:next w:val="CommentText"/>
    <w:link w:val="CommentSubjectChar"/>
    <w:uiPriority w:val="99"/>
    <w:semiHidden/>
    <w:unhideWhenUsed/>
    <w:rsid w:val="00327B25"/>
    <w:rPr>
      <w:b/>
      <w:bCs/>
    </w:rPr>
  </w:style>
  <w:style w:type="character" w:customStyle="1" w:styleId="CommentSubjectChar">
    <w:name w:val="Comment Subject Char"/>
    <w:basedOn w:val="CommentTextChar"/>
    <w:link w:val="CommentSubject"/>
    <w:uiPriority w:val="99"/>
    <w:semiHidden/>
    <w:rsid w:val="00327B25"/>
    <w:rPr>
      <w:b/>
      <w:bCs/>
      <w:sz w:val="20"/>
      <w:szCs w:val="20"/>
    </w:rPr>
  </w:style>
  <w:style w:type="paragraph" w:styleId="Revision">
    <w:name w:val="Revision"/>
    <w:hidden/>
    <w:uiPriority w:val="99"/>
    <w:semiHidden/>
    <w:rsid w:val="00DF561E"/>
  </w:style>
  <w:style w:type="paragraph" w:customStyle="1" w:styleId="header2fgm14">
    <w:name w:val="header 2 fgm 14"/>
    <w:basedOn w:val="Heading2"/>
    <w:link w:val="header2fgm14Char"/>
    <w:qFormat/>
    <w:rsid w:val="002505CA"/>
    <w:pPr>
      <w:keepLines w:val="0"/>
      <w:spacing w:before="240" w:after="60" w:line="240" w:lineRule="auto"/>
    </w:pPr>
    <w:rPr>
      <w:rFonts w:ascii="Franklin Gothic Medium" w:eastAsia="Times New Roman" w:hAnsi="Franklin Gothic Medium" w:cs="Arial"/>
      <w:b w:val="0"/>
      <w:iCs/>
      <w:color w:val="000080"/>
      <w:kern w:val="32"/>
      <w:sz w:val="28"/>
      <w:szCs w:val="28"/>
    </w:rPr>
  </w:style>
  <w:style w:type="character" w:customStyle="1" w:styleId="header2fgm14Char">
    <w:name w:val="header 2 fgm 14 Char"/>
    <w:basedOn w:val="Heading2Char"/>
    <w:link w:val="header2fgm14"/>
    <w:rsid w:val="002505CA"/>
    <w:rPr>
      <w:rFonts w:ascii="Franklin Gothic Medium" w:eastAsia="Times New Roman" w:hAnsi="Franklin Gothic Medium" w:cs="Arial"/>
      <w:b/>
      <w:bCs/>
      <w:iCs/>
      <w:color w:val="000080"/>
      <w:kern w:val="32"/>
      <w:sz w:val="28"/>
      <w:szCs w:val="28"/>
    </w:rPr>
  </w:style>
  <w:style w:type="paragraph" w:styleId="EndnoteText">
    <w:name w:val="endnote text"/>
    <w:basedOn w:val="Normal"/>
    <w:link w:val="EndnoteTextChar"/>
    <w:uiPriority w:val="99"/>
    <w:semiHidden/>
    <w:unhideWhenUsed/>
    <w:rsid w:val="0080093E"/>
    <w:pPr>
      <w:spacing w:line="240" w:lineRule="auto"/>
    </w:pPr>
    <w:rPr>
      <w:sz w:val="20"/>
      <w:szCs w:val="20"/>
    </w:rPr>
  </w:style>
  <w:style w:type="character" w:customStyle="1" w:styleId="EndnoteTextChar">
    <w:name w:val="Endnote Text Char"/>
    <w:basedOn w:val="DefaultParagraphFont"/>
    <w:link w:val="EndnoteText"/>
    <w:uiPriority w:val="99"/>
    <w:semiHidden/>
    <w:rsid w:val="0080093E"/>
    <w:rPr>
      <w:sz w:val="20"/>
      <w:szCs w:val="20"/>
    </w:rPr>
  </w:style>
  <w:style w:type="character" w:styleId="EndnoteReference">
    <w:name w:val="endnote reference"/>
    <w:basedOn w:val="DefaultParagraphFont"/>
    <w:uiPriority w:val="99"/>
    <w:semiHidden/>
    <w:unhideWhenUsed/>
    <w:rsid w:val="0080093E"/>
    <w:rPr>
      <w:vertAlign w:val="superscript"/>
    </w:rPr>
  </w:style>
  <w:style w:type="paragraph" w:styleId="PlainText">
    <w:name w:val="Plain Text"/>
    <w:basedOn w:val="Normal"/>
    <w:link w:val="PlainTextChar"/>
    <w:uiPriority w:val="99"/>
    <w:unhideWhenUsed/>
    <w:rsid w:val="00AE79B7"/>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rsid w:val="00AE79B7"/>
    <w:rPr>
      <w:rFonts w:ascii="Consolas" w:hAnsi="Consolas"/>
      <w:sz w:val="21"/>
      <w:szCs w:val="21"/>
    </w:rPr>
  </w:style>
  <w:style w:type="paragraph" w:customStyle="1" w:styleId="Default">
    <w:name w:val="Default"/>
    <w:rsid w:val="00922C45"/>
    <w:pPr>
      <w:autoSpaceDE w:val="0"/>
      <w:autoSpaceDN w:val="0"/>
      <w:adjustRightInd w:val="0"/>
    </w:pPr>
    <w:rPr>
      <w:rFonts w:ascii="Calibri" w:eastAsia="Calibri" w:hAnsi="Calibri" w:cs="Calibri"/>
      <w:color w:val="000000"/>
      <w:sz w:val="24"/>
      <w:szCs w:val="24"/>
    </w:rPr>
  </w:style>
  <w:style w:type="paragraph" w:styleId="NormalWeb">
    <w:name w:val="Normal (Web)"/>
    <w:basedOn w:val="Normal"/>
    <w:uiPriority w:val="99"/>
    <w:unhideWhenUsed/>
    <w:rsid w:val="00BF7F63"/>
    <w:pPr>
      <w:spacing w:before="100" w:beforeAutospacing="1" w:after="100" w:afterAutospacing="1" w:line="240" w:lineRule="auto"/>
    </w:pPr>
    <w:rPr>
      <w:rFonts w:ascii="Times New Roman" w:eastAsia="Times New Roman" w:hAnsi="Times New Roman" w:cs="Times New Roman"/>
      <w:szCs w:val="24"/>
    </w:rPr>
  </w:style>
  <w:style w:type="table" w:styleId="LightShading">
    <w:name w:val="Light Shading"/>
    <w:basedOn w:val="TableNormal"/>
    <w:uiPriority w:val="60"/>
    <w:rsid w:val="00BF7F6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Grid1-Accent2">
    <w:name w:val="Medium Grid 1 Accent 2"/>
    <w:basedOn w:val="TableNormal"/>
    <w:uiPriority w:val="67"/>
    <w:rsid w:val="00BF7F63"/>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LightShading-Accent4">
    <w:name w:val="Light Shading Accent 4"/>
    <w:basedOn w:val="TableNormal"/>
    <w:uiPriority w:val="60"/>
    <w:rsid w:val="00BF7F63"/>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1">
    <w:name w:val="Light Shading Accent 1"/>
    <w:basedOn w:val="TableNormal"/>
    <w:uiPriority w:val="60"/>
    <w:rsid w:val="007522BD"/>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9F3F17"/>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9F3F17"/>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Shading-Accent6">
    <w:name w:val="Light Shading Accent 6"/>
    <w:basedOn w:val="TableNormal"/>
    <w:uiPriority w:val="60"/>
    <w:rsid w:val="009F3F17"/>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Shading1-Accent1">
    <w:name w:val="Medium Shading 1 Accent 1"/>
    <w:basedOn w:val="TableNormal"/>
    <w:uiPriority w:val="63"/>
    <w:rsid w:val="00A9132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BC6823"/>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List-Accent2">
    <w:name w:val="Light List Accent 2"/>
    <w:basedOn w:val="TableNormal"/>
    <w:uiPriority w:val="61"/>
    <w:rsid w:val="00BC6823"/>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MediumShading1-Accent2">
    <w:name w:val="Medium Shading 1 Accent 2"/>
    <w:basedOn w:val="TableNormal"/>
    <w:uiPriority w:val="63"/>
    <w:rsid w:val="009618E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
    <w:name w:val="Light List"/>
    <w:basedOn w:val="TableNormal"/>
    <w:uiPriority w:val="61"/>
    <w:rsid w:val="00B331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Caption">
    <w:name w:val="caption"/>
    <w:basedOn w:val="Normal"/>
    <w:next w:val="Normal"/>
    <w:uiPriority w:val="35"/>
    <w:unhideWhenUsed/>
    <w:qFormat/>
    <w:rsid w:val="009235D8"/>
    <w:pPr>
      <w:spacing w:after="200" w:line="240" w:lineRule="auto"/>
    </w:pPr>
    <w:rPr>
      <w:b/>
      <w:bCs/>
      <w:color w:val="4F81BD" w:themeColor="accent1"/>
      <w:sz w:val="18"/>
      <w:szCs w:val="18"/>
    </w:rPr>
  </w:style>
  <w:style w:type="table" w:styleId="MediumShading1">
    <w:name w:val="Medium Shading 1"/>
    <w:basedOn w:val="TableNormal"/>
    <w:uiPriority w:val="63"/>
    <w:rsid w:val="0012635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464DF0"/>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Style1">
    <w:name w:val="Style1"/>
    <w:basedOn w:val="TableGrid3"/>
    <w:uiPriority w:val="99"/>
    <w:rsid w:val="008C79A3"/>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8C79A3"/>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ableGrid3">
    <w:name w:val="Table Grid 3"/>
    <w:basedOn w:val="TableNormal"/>
    <w:uiPriority w:val="99"/>
    <w:semiHidden/>
    <w:unhideWhenUsed/>
    <w:rsid w:val="008C79A3"/>
    <w:pPr>
      <w:spacing w:line="34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774BED"/>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4">
    <w:name w:val="Light List Accent 4"/>
    <w:basedOn w:val="TableNormal"/>
    <w:uiPriority w:val="61"/>
    <w:rsid w:val="00AD7ED2"/>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Strong">
    <w:name w:val="Strong"/>
    <w:basedOn w:val="DefaultParagraphFont"/>
    <w:uiPriority w:val="22"/>
    <w:qFormat/>
    <w:rsid w:val="00DD3719"/>
    <w:rPr>
      <w:b/>
      <w:bCs/>
    </w:rPr>
  </w:style>
  <w:style w:type="character" w:customStyle="1" w:styleId="Heading4Char">
    <w:name w:val="Heading 4 Char"/>
    <w:basedOn w:val="DefaultParagraphFont"/>
    <w:link w:val="Heading4"/>
    <w:uiPriority w:val="9"/>
    <w:rsid w:val="000805B2"/>
    <w:rPr>
      <w:rFonts w:asciiTheme="majorHAnsi" w:hAnsiTheme="majorHAnsi"/>
      <w:b/>
      <w:sz w:val="20"/>
      <w:szCs w:val="20"/>
    </w:rPr>
  </w:style>
  <w:style w:type="paragraph" w:customStyle="1" w:styleId="style16">
    <w:name w:val="style16"/>
    <w:basedOn w:val="Normal"/>
    <w:rsid w:val="000C36B2"/>
    <w:pPr>
      <w:spacing w:before="100" w:beforeAutospacing="1" w:after="100" w:afterAutospacing="1" w:line="240" w:lineRule="auto"/>
    </w:pPr>
    <w:rPr>
      <w:rFonts w:ascii="Times New Roman" w:eastAsiaTheme="minorEastAsia" w:hAnsi="Times New Roman" w:cs="Times New Roman"/>
      <w:szCs w:val="24"/>
    </w:rPr>
  </w:style>
  <w:style w:type="character" w:styleId="SubtleEmphasis">
    <w:name w:val="Subtle Emphasis"/>
    <w:basedOn w:val="DefaultParagraphFont"/>
    <w:uiPriority w:val="19"/>
    <w:qFormat/>
    <w:rsid w:val="002621C1"/>
    <w:rPr>
      <w:i/>
      <w:iCs/>
      <w:color w:val="808080" w:themeColor="text1" w:themeTint="7F"/>
    </w:rPr>
  </w:style>
  <w:style w:type="table" w:styleId="MediumShading2-Accent1">
    <w:name w:val="Medium Shading 2 Accent 1"/>
    <w:basedOn w:val="TableNormal"/>
    <w:uiPriority w:val="64"/>
    <w:rsid w:val="00846E0A"/>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6831">
      <w:bodyDiv w:val="1"/>
      <w:marLeft w:val="0"/>
      <w:marRight w:val="0"/>
      <w:marTop w:val="0"/>
      <w:marBottom w:val="0"/>
      <w:divBdr>
        <w:top w:val="none" w:sz="0" w:space="0" w:color="auto"/>
        <w:left w:val="none" w:sz="0" w:space="0" w:color="auto"/>
        <w:bottom w:val="none" w:sz="0" w:space="0" w:color="auto"/>
        <w:right w:val="none" w:sz="0" w:space="0" w:color="auto"/>
      </w:divBdr>
    </w:div>
    <w:div w:id="6560304">
      <w:bodyDiv w:val="1"/>
      <w:marLeft w:val="0"/>
      <w:marRight w:val="0"/>
      <w:marTop w:val="0"/>
      <w:marBottom w:val="0"/>
      <w:divBdr>
        <w:top w:val="none" w:sz="0" w:space="0" w:color="auto"/>
        <w:left w:val="none" w:sz="0" w:space="0" w:color="auto"/>
        <w:bottom w:val="none" w:sz="0" w:space="0" w:color="auto"/>
        <w:right w:val="none" w:sz="0" w:space="0" w:color="auto"/>
      </w:divBdr>
    </w:div>
    <w:div w:id="8723816">
      <w:bodyDiv w:val="1"/>
      <w:marLeft w:val="0"/>
      <w:marRight w:val="0"/>
      <w:marTop w:val="0"/>
      <w:marBottom w:val="0"/>
      <w:divBdr>
        <w:top w:val="none" w:sz="0" w:space="0" w:color="auto"/>
        <w:left w:val="none" w:sz="0" w:space="0" w:color="auto"/>
        <w:bottom w:val="none" w:sz="0" w:space="0" w:color="auto"/>
        <w:right w:val="none" w:sz="0" w:space="0" w:color="auto"/>
      </w:divBdr>
    </w:div>
    <w:div w:id="12344212">
      <w:bodyDiv w:val="1"/>
      <w:marLeft w:val="0"/>
      <w:marRight w:val="0"/>
      <w:marTop w:val="0"/>
      <w:marBottom w:val="0"/>
      <w:divBdr>
        <w:top w:val="none" w:sz="0" w:space="0" w:color="auto"/>
        <w:left w:val="none" w:sz="0" w:space="0" w:color="auto"/>
        <w:bottom w:val="none" w:sz="0" w:space="0" w:color="auto"/>
        <w:right w:val="none" w:sz="0" w:space="0" w:color="auto"/>
      </w:divBdr>
    </w:div>
    <w:div w:id="50077694">
      <w:bodyDiv w:val="1"/>
      <w:marLeft w:val="0"/>
      <w:marRight w:val="0"/>
      <w:marTop w:val="0"/>
      <w:marBottom w:val="0"/>
      <w:divBdr>
        <w:top w:val="none" w:sz="0" w:space="0" w:color="auto"/>
        <w:left w:val="none" w:sz="0" w:space="0" w:color="auto"/>
        <w:bottom w:val="none" w:sz="0" w:space="0" w:color="auto"/>
        <w:right w:val="none" w:sz="0" w:space="0" w:color="auto"/>
      </w:divBdr>
    </w:div>
    <w:div w:id="52627714">
      <w:bodyDiv w:val="1"/>
      <w:marLeft w:val="0"/>
      <w:marRight w:val="0"/>
      <w:marTop w:val="0"/>
      <w:marBottom w:val="0"/>
      <w:divBdr>
        <w:top w:val="none" w:sz="0" w:space="0" w:color="auto"/>
        <w:left w:val="none" w:sz="0" w:space="0" w:color="auto"/>
        <w:bottom w:val="none" w:sz="0" w:space="0" w:color="auto"/>
        <w:right w:val="none" w:sz="0" w:space="0" w:color="auto"/>
      </w:divBdr>
    </w:div>
    <w:div w:id="55125323">
      <w:bodyDiv w:val="1"/>
      <w:marLeft w:val="0"/>
      <w:marRight w:val="0"/>
      <w:marTop w:val="0"/>
      <w:marBottom w:val="0"/>
      <w:divBdr>
        <w:top w:val="none" w:sz="0" w:space="0" w:color="auto"/>
        <w:left w:val="none" w:sz="0" w:space="0" w:color="auto"/>
        <w:bottom w:val="none" w:sz="0" w:space="0" w:color="auto"/>
        <w:right w:val="none" w:sz="0" w:space="0" w:color="auto"/>
      </w:divBdr>
    </w:div>
    <w:div w:id="55470108">
      <w:bodyDiv w:val="1"/>
      <w:marLeft w:val="0"/>
      <w:marRight w:val="0"/>
      <w:marTop w:val="0"/>
      <w:marBottom w:val="0"/>
      <w:divBdr>
        <w:top w:val="none" w:sz="0" w:space="0" w:color="auto"/>
        <w:left w:val="none" w:sz="0" w:space="0" w:color="auto"/>
        <w:bottom w:val="none" w:sz="0" w:space="0" w:color="auto"/>
        <w:right w:val="none" w:sz="0" w:space="0" w:color="auto"/>
      </w:divBdr>
    </w:div>
    <w:div w:id="60061685">
      <w:bodyDiv w:val="1"/>
      <w:marLeft w:val="0"/>
      <w:marRight w:val="0"/>
      <w:marTop w:val="0"/>
      <w:marBottom w:val="0"/>
      <w:divBdr>
        <w:top w:val="none" w:sz="0" w:space="0" w:color="auto"/>
        <w:left w:val="none" w:sz="0" w:space="0" w:color="auto"/>
        <w:bottom w:val="none" w:sz="0" w:space="0" w:color="auto"/>
        <w:right w:val="none" w:sz="0" w:space="0" w:color="auto"/>
      </w:divBdr>
    </w:div>
    <w:div w:id="67388092">
      <w:bodyDiv w:val="1"/>
      <w:marLeft w:val="0"/>
      <w:marRight w:val="0"/>
      <w:marTop w:val="0"/>
      <w:marBottom w:val="0"/>
      <w:divBdr>
        <w:top w:val="none" w:sz="0" w:space="0" w:color="auto"/>
        <w:left w:val="none" w:sz="0" w:space="0" w:color="auto"/>
        <w:bottom w:val="none" w:sz="0" w:space="0" w:color="auto"/>
        <w:right w:val="none" w:sz="0" w:space="0" w:color="auto"/>
      </w:divBdr>
    </w:div>
    <w:div w:id="90244402">
      <w:bodyDiv w:val="1"/>
      <w:marLeft w:val="0"/>
      <w:marRight w:val="0"/>
      <w:marTop w:val="0"/>
      <w:marBottom w:val="0"/>
      <w:divBdr>
        <w:top w:val="none" w:sz="0" w:space="0" w:color="auto"/>
        <w:left w:val="none" w:sz="0" w:space="0" w:color="auto"/>
        <w:bottom w:val="none" w:sz="0" w:space="0" w:color="auto"/>
        <w:right w:val="none" w:sz="0" w:space="0" w:color="auto"/>
      </w:divBdr>
    </w:div>
    <w:div w:id="90662797">
      <w:bodyDiv w:val="1"/>
      <w:marLeft w:val="0"/>
      <w:marRight w:val="0"/>
      <w:marTop w:val="0"/>
      <w:marBottom w:val="0"/>
      <w:divBdr>
        <w:top w:val="none" w:sz="0" w:space="0" w:color="auto"/>
        <w:left w:val="none" w:sz="0" w:space="0" w:color="auto"/>
        <w:bottom w:val="none" w:sz="0" w:space="0" w:color="auto"/>
        <w:right w:val="none" w:sz="0" w:space="0" w:color="auto"/>
      </w:divBdr>
    </w:div>
    <w:div w:id="91124493">
      <w:bodyDiv w:val="1"/>
      <w:marLeft w:val="0"/>
      <w:marRight w:val="0"/>
      <w:marTop w:val="0"/>
      <w:marBottom w:val="0"/>
      <w:divBdr>
        <w:top w:val="none" w:sz="0" w:space="0" w:color="auto"/>
        <w:left w:val="none" w:sz="0" w:space="0" w:color="auto"/>
        <w:bottom w:val="none" w:sz="0" w:space="0" w:color="auto"/>
        <w:right w:val="none" w:sz="0" w:space="0" w:color="auto"/>
      </w:divBdr>
    </w:div>
    <w:div w:id="110366327">
      <w:bodyDiv w:val="1"/>
      <w:marLeft w:val="0"/>
      <w:marRight w:val="0"/>
      <w:marTop w:val="0"/>
      <w:marBottom w:val="0"/>
      <w:divBdr>
        <w:top w:val="none" w:sz="0" w:space="0" w:color="auto"/>
        <w:left w:val="none" w:sz="0" w:space="0" w:color="auto"/>
        <w:bottom w:val="none" w:sz="0" w:space="0" w:color="auto"/>
        <w:right w:val="none" w:sz="0" w:space="0" w:color="auto"/>
      </w:divBdr>
    </w:div>
    <w:div w:id="111829909">
      <w:bodyDiv w:val="1"/>
      <w:marLeft w:val="0"/>
      <w:marRight w:val="0"/>
      <w:marTop w:val="0"/>
      <w:marBottom w:val="0"/>
      <w:divBdr>
        <w:top w:val="none" w:sz="0" w:space="0" w:color="auto"/>
        <w:left w:val="none" w:sz="0" w:space="0" w:color="auto"/>
        <w:bottom w:val="none" w:sz="0" w:space="0" w:color="auto"/>
        <w:right w:val="none" w:sz="0" w:space="0" w:color="auto"/>
      </w:divBdr>
    </w:div>
    <w:div w:id="117337338">
      <w:bodyDiv w:val="1"/>
      <w:marLeft w:val="0"/>
      <w:marRight w:val="0"/>
      <w:marTop w:val="0"/>
      <w:marBottom w:val="0"/>
      <w:divBdr>
        <w:top w:val="none" w:sz="0" w:space="0" w:color="auto"/>
        <w:left w:val="none" w:sz="0" w:space="0" w:color="auto"/>
        <w:bottom w:val="none" w:sz="0" w:space="0" w:color="auto"/>
        <w:right w:val="none" w:sz="0" w:space="0" w:color="auto"/>
      </w:divBdr>
    </w:div>
    <w:div w:id="118960191">
      <w:bodyDiv w:val="1"/>
      <w:marLeft w:val="0"/>
      <w:marRight w:val="0"/>
      <w:marTop w:val="0"/>
      <w:marBottom w:val="0"/>
      <w:divBdr>
        <w:top w:val="none" w:sz="0" w:space="0" w:color="auto"/>
        <w:left w:val="none" w:sz="0" w:space="0" w:color="auto"/>
        <w:bottom w:val="none" w:sz="0" w:space="0" w:color="auto"/>
        <w:right w:val="none" w:sz="0" w:space="0" w:color="auto"/>
      </w:divBdr>
    </w:div>
    <w:div w:id="119416599">
      <w:bodyDiv w:val="1"/>
      <w:marLeft w:val="0"/>
      <w:marRight w:val="0"/>
      <w:marTop w:val="0"/>
      <w:marBottom w:val="0"/>
      <w:divBdr>
        <w:top w:val="none" w:sz="0" w:space="0" w:color="auto"/>
        <w:left w:val="none" w:sz="0" w:space="0" w:color="auto"/>
        <w:bottom w:val="none" w:sz="0" w:space="0" w:color="auto"/>
        <w:right w:val="none" w:sz="0" w:space="0" w:color="auto"/>
      </w:divBdr>
    </w:div>
    <w:div w:id="127356029">
      <w:bodyDiv w:val="1"/>
      <w:marLeft w:val="0"/>
      <w:marRight w:val="0"/>
      <w:marTop w:val="0"/>
      <w:marBottom w:val="0"/>
      <w:divBdr>
        <w:top w:val="none" w:sz="0" w:space="0" w:color="auto"/>
        <w:left w:val="none" w:sz="0" w:space="0" w:color="auto"/>
        <w:bottom w:val="none" w:sz="0" w:space="0" w:color="auto"/>
        <w:right w:val="none" w:sz="0" w:space="0" w:color="auto"/>
      </w:divBdr>
    </w:div>
    <w:div w:id="127939122">
      <w:bodyDiv w:val="1"/>
      <w:marLeft w:val="0"/>
      <w:marRight w:val="0"/>
      <w:marTop w:val="0"/>
      <w:marBottom w:val="0"/>
      <w:divBdr>
        <w:top w:val="none" w:sz="0" w:space="0" w:color="auto"/>
        <w:left w:val="none" w:sz="0" w:space="0" w:color="auto"/>
        <w:bottom w:val="none" w:sz="0" w:space="0" w:color="auto"/>
        <w:right w:val="none" w:sz="0" w:space="0" w:color="auto"/>
      </w:divBdr>
    </w:div>
    <w:div w:id="145561519">
      <w:bodyDiv w:val="1"/>
      <w:marLeft w:val="0"/>
      <w:marRight w:val="0"/>
      <w:marTop w:val="0"/>
      <w:marBottom w:val="0"/>
      <w:divBdr>
        <w:top w:val="none" w:sz="0" w:space="0" w:color="auto"/>
        <w:left w:val="none" w:sz="0" w:space="0" w:color="auto"/>
        <w:bottom w:val="none" w:sz="0" w:space="0" w:color="auto"/>
        <w:right w:val="none" w:sz="0" w:space="0" w:color="auto"/>
      </w:divBdr>
    </w:div>
    <w:div w:id="150027784">
      <w:bodyDiv w:val="1"/>
      <w:marLeft w:val="0"/>
      <w:marRight w:val="0"/>
      <w:marTop w:val="0"/>
      <w:marBottom w:val="0"/>
      <w:divBdr>
        <w:top w:val="none" w:sz="0" w:space="0" w:color="auto"/>
        <w:left w:val="none" w:sz="0" w:space="0" w:color="auto"/>
        <w:bottom w:val="none" w:sz="0" w:space="0" w:color="auto"/>
        <w:right w:val="none" w:sz="0" w:space="0" w:color="auto"/>
      </w:divBdr>
    </w:div>
    <w:div w:id="153759383">
      <w:bodyDiv w:val="1"/>
      <w:marLeft w:val="0"/>
      <w:marRight w:val="0"/>
      <w:marTop w:val="0"/>
      <w:marBottom w:val="0"/>
      <w:divBdr>
        <w:top w:val="none" w:sz="0" w:space="0" w:color="auto"/>
        <w:left w:val="none" w:sz="0" w:space="0" w:color="auto"/>
        <w:bottom w:val="none" w:sz="0" w:space="0" w:color="auto"/>
        <w:right w:val="none" w:sz="0" w:space="0" w:color="auto"/>
      </w:divBdr>
    </w:div>
    <w:div w:id="168760645">
      <w:bodyDiv w:val="1"/>
      <w:marLeft w:val="0"/>
      <w:marRight w:val="0"/>
      <w:marTop w:val="0"/>
      <w:marBottom w:val="0"/>
      <w:divBdr>
        <w:top w:val="none" w:sz="0" w:space="0" w:color="auto"/>
        <w:left w:val="none" w:sz="0" w:space="0" w:color="auto"/>
        <w:bottom w:val="none" w:sz="0" w:space="0" w:color="auto"/>
        <w:right w:val="none" w:sz="0" w:space="0" w:color="auto"/>
      </w:divBdr>
    </w:div>
    <w:div w:id="168957388">
      <w:bodyDiv w:val="1"/>
      <w:marLeft w:val="0"/>
      <w:marRight w:val="0"/>
      <w:marTop w:val="0"/>
      <w:marBottom w:val="0"/>
      <w:divBdr>
        <w:top w:val="none" w:sz="0" w:space="0" w:color="auto"/>
        <w:left w:val="none" w:sz="0" w:space="0" w:color="auto"/>
        <w:bottom w:val="none" w:sz="0" w:space="0" w:color="auto"/>
        <w:right w:val="none" w:sz="0" w:space="0" w:color="auto"/>
      </w:divBdr>
    </w:div>
    <w:div w:id="172110114">
      <w:bodyDiv w:val="1"/>
      <w:marLeft w:val="0"/>
      <w:marRight w:val="0"/>
      <w:marTop w:val="0"/>
      <w:marBottom w:val="0"/>
      <w:divBdr>
        <w:top w:val="none" w:sz="0" w:space="0" w:color="auto"/>
        <w:left w:val="none" w:sz="0" w:space="0" w:color="auto"/>
        <w:bottom w:val="none" w:sz="0" w:space="0" w:color="auto"/>
        <w:right w:val="none" w:sz="0" w:space="0" w:color="auto"/>
      </w:divBdr>
    </w:div>
    <w:div w:id="175391930">
      <w:bodyDiv w:val="1"/>
      <w:marLeft w:val="0"/>
      <w:marRight w:val="0"/>
      <w:marTop w:val="0"/>
      <w:marBottom w:val="0"/>
      <w:divBdr>
        <w:top w:val="none" w:sz="0" w:space="0" w:color="auto"/>
        <w:left w:val="none" w:sz="0" w:space="0" w:color="auto"/>
        <w:bottom w:val="none" w:sz="0" w:space="0" w:color="auto"/>
        <w:right w:val="none" w:sz="0" w:space="0" w:color="auto"/>
      </w:divBdr>
    </w:div>
    <w:div w:id="176314456">
      <w:bodyDiv w:val="1"/>
      <w:marLeft w:val="0"/>
      <w:marRight w:val="0"/>
      <w:marTop w:val="0"/>
      <w:marBottom w:val="0"/>
      <w:divBdr>
        <w:top w:val="none" w:sz="0" w:space="0" w:color="auto"/>
        <w:left w:val="none" w:sz="0" w:space="0" w:color="auto"/>
        <w:bottom w:val="none" w:sz="0" w:space="0" w:color="auto"/>
        <w:right w:val="none" w:sz="0" w:space="0" w:color="auto"/>
      </w:divBdr>
    </w:div>
    <w:div w:id="180629000">
      <w:bodyDiv w:val="1"/>
      <w:marLeft w:val="0"/>
      <w:marRight w:val="0"/>
      <w:marTop w:val="0"/>
      <w:marBottom w:val="0"/>
      <w:divBdr>
        <w:top w:val="none" w:sz="0" w:space="0" w:color="auto"/>
        <w:left w:val="none" w:sz="0" w:space="0" w:color="auto"/>
        <w:bottom w:val="none" w:sz="0" w:space="0" w:color="auto"/>
        <w:right w:val="none" w:sz="0" w:space="0" w:color="auto"/>
      </w:divBdr>
    </w:div>
    <w:div w:id="198012199">
      <w:bodyDiv w:val="1"/>
      <w:marLeft w:val="0"/>
      <w:marRight w:val="0"/>
      <w:marTop w:val="0"/>
      <w:marBottom w:val="0"/>
      <w:divBdr>
        <w:top w:val="none" w:sz="0" w:space="0" w:color="auto"/>
        <w:left w:val="none" w:sz="0" w:space="0" w:color="auto"/>
        <w:bottom w:val="none" w:sz="0" w:space="0" w:color="auto"/>
        <w:right w:val="none" w:sz="0" w:space="0" w:color="auto"/>
      </w:divBdr>
    </w:div>
    <w:div w:id="201405911">
      <w:bodyDiv w:val="1"/>
      <w:marLeft w:val="0"/>
      <w:marRight w:val="0"/>
      <w:marTop w:val="0"/>
      <w:marBottom w:val="0"/>
      <w:divBdr>
        <w:top w:val="none" w:sz="0" w:space="0" w:color="auto"/>
        <w:left w:val="none" w:sz="0" w:space="0" w:color="auto"/>
        <w:bottom w:val="none" w:sz="0" w:space="0" w:color="auto"/>
        <w:right w:val="none" w:sz="0" w:space="0" w:color="auto"/>
      </w:divBdr>
    </w:div>
    <w:div w:id="211773811">
      <w:bodyDiv w:val="1"/>
      <w:marLeft w:val="0"/>
      <w:marRight w:val="0"/>
      <w:marTop w:val="0"/>
      <w:marBottom w:val="0"/>
      <w:divBdr>
        <w:top w:val="none" w:sz="0" w:space="0" w:color="auto"/>
        <w:left w:val="none" w:sz="0" w:space="0" w:color="auto"/>
        <w:bottom w:val="none" w:sz="0" w:space="0" w:color="auto"/>
        <w:right w:val="none" w:sz="0" w:space="0" w:color="auto"/>
      </w:divBdr>
    </w:div>
    <w:div w:id="217598675">
      <w:bodyDiv w:val="1"/>
      <w:marLeft w:val="0"/>
      <w:marRight w:val="0"/>
      <w:marTop w:val="0"/>
      <w:marBottom w:val="0"/>
      <w:divBdr>
        <w:top w:val="none" w:sz="0" w:space="0" w:color="auto"/>
        <w:left w:val="none" w:sz="0" w:space="0" w:color="auto"/>
        <w:bottom w:val="none" w:sz="0" w:space="0" w:color="auto"/>
        <w:right w:val="none" w:sz="0" w:space="0" w:color="auto"/>
      </w:divBdr>
    </w:div>
    <w:div w:id="225189820">
      <w:bodyDiv w:val="1"/>
      <w:marLeft w:val="0"/>
      <w:marRight w:val="0"/>
      <w:marTop w:val="0"/>
      <w:marBottom w:val="0"/>
      <w:divBdr>
        <w:top w:val="none" w:sz="0" w:space="0" w:color="auto"/>
        <w:left w:val="none" w:sz="0" w:space="0" w:color="auto"/>
        <w:bottom w:val="none" w:sz="0" w:space="0" w:color="auto"/>
        <w:right w:val="none" w:sz="0" w:space="0" w:color="auto"/>
      </w:divBdr>
    </w:div>
    <w:div w:id="229657859">
      <w:bodyDiv w:val="1"/>
      <w:marLeft w:val="0"/>
      <w:marRight w:val="0"/>
      <w:marTop w:val="0"/>
      <w:marBottom w:val="0"/>
      <w:divBdr>
        <w:top w:val="none" w:sz="0" w:space="0" w:color="auto"/>
        <w:left w:val="none" w:sz="0" w:space="0" w:color="auto"/>
        <w:bottom w:val="none" w:sz="0" w:space="0" w:color="auto"/>
        <w:right w:val="none" w:sz="0" w:space="0" w:color="auto"/>
      </w:divBdr>
    </w:div>
    <w:div w:id="247541514">
      <w:bodyDiv w:val="1"/>
      <w:marLeft w:val="0"/>
      <w:marRight w:val="0"/>
      <w:marTop w:val="0"/>
      <w:marBottom w:val="0"/>
      <w:divBdr>
        <w:top w:val="none" w:sz="0" w:space="0" w:color="auto"/>
        <w:left w:val="none" w:sz="0" w:space="0" w:color="auto"/>
        <w:bottom w:val="none" w:sz="0" w:space="0" w:color="auto"/>
        <w:right w:val="none" w:sz="0" w:space="0" w:color="auto"/>
      </w:divBdr>
    </w:div>
    <w:div w:id="267667113">
      <w:bodyDiv w:val="1"/>
      <w:marLeft w:val="0"/>
      <w:marRight w:val="0"/>
      <w:marTop w:val="0"/>
      <w:marBottom w:val="0"/>
      <w:divBdr>
        <w:top w:val="none" w:sz="0" w:space="0" w:color="auto"/>
        <w:left w:val="none" w:sz="0" w:space="0" w:color="auto"/>
        <w:bottom w:val="none" w:sz="0" w:space="0" w:color="auto"/>
        <w:right w:val="none" w:sz="0" w:space="0" w:color="auto"/>
      </w:divBdr>
    </w:div>
    <w:div w:id="268315744">
      <w:bodyDiv w:val="1"/>
      <w:marLeft w:val="0"/>
      <w:marRight w:val="0"/>
      <w:marTop w:val="0"/>
      <w:marBottom w:val="0"/>
      <w:divBdr>
        <w:top w:val="none" w:sz="0" w:space="0" w:color="auto"/>
        <w:left w:val="none" w:sz="0" w:space="0" w:color="auto"/>
        <w:bottom w:val="none" w:sz="0" w:space="0" w:color="auto"/>
        <w:right w:val="none" w:sz="0" w:space="0" w:color="auto"/>
      </w:divBdr>
    </w:div>
    <w:div w:id="278530197">
      <w:bodyDiv w:val="1"/>
      <w:marLeft w:val="0"/>
      <w:marRight w:val="0"/>
      <w:marTop w:val="0"/>
      <w:marBottom w:val="0"/>
      <w:divBdr>
        <w:top w:val="none" w:sz="0" w:space="0" w:color="auto"/>
        <w:left w:val="none" w:sz="0" w:space="0" w:color="auto"/>
        <w:bottom w:val="none" w:sz="0" w:space="0" w:color="auto"/>
        <w:right w:val="none" w:sz="0" w:space="0" w:color="auto"/>
      </w:divBdr>
    </w:div>
    <w:div w:id="284968528">
      <w:bodyDiv w:val="1"/>
      <w:marLeft w:val="0"/>
      <w:marRight w:val="0"/>
      <w:marTop w:val="0"/>
      <w:marBottom w:val="0"/>
      <w:divBdr>
        <w:top w:val="none" w:sz="0" w:space="0" w:color="auto"/>
        <w:left w:val="none" w:sz="0" w:space="0" w:color="auto"/>
        <w:bottom w:val="none" w:sz="0" w:space="0" w:color="auto"/>
        <w:right w:val="none" w:sz="0" w:space="0" w:color="auto"/>
      </w:divBdr>
    </w:div>
    <w:div w:id="297494843">
      <w:bodyDiv w:val="1"/>
      <w:marLeft w:val="0"/>
      <w:marRight w:val="0"/>
      <w:marTop w:val="0"/>
      <w:marBottom w:val="0"/>
      <w:divBdr>
        <w:top w:val="none" w:sz="0" w:space="0" w:color="auto"/>
        <w:left w:val="none" w:sz="0" w:space="0" w:color="auto"/>
        <w:bottom w:val="none" w:sz="0" w:space="0" w:color="auto"/>
        <w:right w:val="none" w:sz="0" w:space="0" w:color="auto"/>
      </w:divBdr>
    </w:div>
    <w:div w:id="307394798">
      <w:bodyDiv w:val="1"/>
      <w:marLeft w:val="0"/>
      <w:marRight w:val="0"/>
      <w:marTop w:val="0"/>
      <w:marBottom w:val="0"/>
      <w:divBdr>
        <w:top w:val="none" w:sz="0" w:space="0" w:color="auto"/>
        <w:left w:val="none" w:sz="0" w:space="0" w:color="auto"/>
        <w:bottom w:val="none" w:sz="0" w:space="0" w:color="auto"/>
        <w:right w:val="none" w:sz="0" w:space="0" w:color="auto"/>
      </w:divBdr>
    </w:div>
    <w:div w:id="310644253">
      <w:bodyDiv w:val="1"/>
      <w:marLeft w:val="0"/>
      <w:marRight w:val="0"/>
      <w:marTop w:val="0"/>
      <w:marBottom w:val="0"/>
      <w:divBdr>
        <w:top w:val="none" w:sz="0" w:space="0" w:color="auto"/>
        <w:left w:val="none" w:sz="0" w:space="0" w:color="auto"/>
        <w:bottom w:val="none" w:sz="0" w:space="0" w:color="auto"/>
        <w:right w:val="none" w:sz="0" w:space="0" w:color="auto"/>
      </w:divBdr>
    </w:div>
    <w:div w:id="311107499">
      <w:bodyDiv w:val="1"/>
      <w:marLeft w:val="0"/>
      <w:marRight w:val="0"/>
      <w:marTop w:val="0"/>
      <w:marBottom w:val="0"/>
      <w:divBdr>
        <w:top w:val="none" w:sz="0" w:space="0" w:color="auto"/>
        <w:left w:val="none" w:sz="0" w:space="0" w:color="auto"/>
        <w:bottom w:val="none" w:sz="0" w:space="0" w:color="auto"/>
        <w:right w:val="none" w:sz="0" w:space="0" w:color="auto"/>
      </w:divBdr>
    </w:div>
    <w:div w:id="321275357">
      <w:bodyDiv w:val="1"/>
      <w:marLeft w:val="0"/>
      <w:marRight w:val="0"/>
      <w:marTop w:val="0"/>
      <w:marBottom w:val="0"/>
      <w:divBdr>
        <w:top w:val="none" w:sz="0" w:space="0" w:color="auto"/>
        <w:left w:val="none" w:sz="0" w:space="0" w:color="auto"/>
        <w:bottom w:val="none" w:sz="0" w:space="0" w:color="auto"/>
        <w:right w:val="none" w:sz="0" w:space="0" w:color="auto"/>
      </w:divBdr>
    </w:div>
    <w:div w:id="324936669">
      <w:bodyDiv w:val="1"/>
      <w:marLeft w:val="0"/>
      <w:marRight w:val="0"/>
      <w:marTop w:val="0"/>
      <w:marBottom w:val="0"/>
      <w:divBdr>
        <w:top w:val="none" w:sz="0" w:space="0" w:color="auto"/>
        <w:left w:val="none" w:sz="0" w:space="0" w:color="auto"/>
        <w:bottom w:val="none" w:sz="0" w:space="0" w:color="auto"/>
        <w:right w:val="none" w:sz="0" w:space="0" w:color="auto"/>
      </w:divBdr>
    </w:div>
    <w:div w:id="325473221">
      <w:bodyDiv w:val="1"/>
      <w:marLeft w:val="0"/>
      <w:marRight w:val="0"/>
      <w:marTop w:val="0"/>
      <w:marBottom w:val="0"/>
      <w:divBdr>
        <w:top w:val="none" w:sz="0" w:space="0" w:color="auto"/>
        <w:left w:val="none" w:sz="0" w:space="0" w:color="auto"/>
        <w:bottom w:val="none" w:sz="0" w:space="0" w:color="auto"/>
        <w:right w:val="none" w:sz="0" w:space="0" w:color="auto"/>
      </w:divBdr>
    </w:div>
    <w:div w:id="334185271">
      <w:bodyDiv w:val="1"/>
      <w:marLeft w:val="0"/>
      <w:marRight w:val="0"/>
      <w:marTop w:val="0"/>
      <w:marBottom w:val="0"/>
      <w:divBdr>
        <w:top w:val="none" w:sz="0" w:space="0" w:color="auto"/>
        <w:left w:val="none" w:sz="0" w:space="0" w:color="auto"/>
        <w:bottom w:val="none" w:sz="0" w:space="0" w:color="auto"/>
        <w:right w:val="none" w:sz="0" w:space="0" w:color="auto"/>
      </w:divBdr>
    </w:div>
    <w:div w:id="369184277">
      <w:bodyDiv w:val="1"/>
      <w:marLeft w:val="0"/>
      <w:marRight w:val="0"/>
      <w:marTop w:val="0"/>
      <w:marBottom w:val="0"/>
      <w:divBdr>
        <w:top w:val="none" w:sz="0" w:space="0" w:color="auto"/>
        <w:left w:val="none" w:sz="0" w:space="0" w:color="auto"/>
        <w:bottom w:val="none" w:sz="0" w:space="0" w:color="auto"/>
        <w:right w:val="none" w:sz="0" w:space="0" w:color="auto"/>
      </w:divBdr>
    </w:div>
    <w:div w:id="378477255">
      <w:bodyDiv w:val="1"/>
      <w:marLeft w:val="0"/>
      <w:marRight w:val="0"/>
      <w:marTop w:val="0"/>
      <w:marBottom w:val="0"/>
      <w:divBdr>
        <w:top w:val="none" w:sz="0" w:space="0" w:color="auto"/>
        <w:left w:val="none" w:sz="0" w:space="0" w:color="auto"/>
        <w:bottom w:val="none" w:sz="0" w:space="0" w:color="auto"/>
        <w:right w:val="none" w:sz="0" w:space="0" w:color="auto"/>
      </w:divBdr>
    </w:div>
    <w:div w:id="379524085">
      <w:bodyDiv w:val="1"/>
      <w:marLeft w:val="0"/>
      <w:marRight w:val="0"/>
      <w:marTop w:val="0"/>
      <w:marBottom w:val="0"/>
      <w:divBdr>
        <w:top w:val="none" w:sz="0" w:space="0" w:color="auto"/>
        <w:left w:val="none" w:sz="0" w:space="0" w:color="auto"/>
        <w:bottom w:val="none" w:sz="0" w:space="0" w:color="auto"/>
        <w:right w:val="none" w:sz="0" w:space="0" w:color="auto"/>
      </w:divBdr>
    </w:div>
    <w:div w:id="379862414">
      <w:bodyDiv w:val="1"/>
      <w:marLeft w:val="0"/>
      <w:marRight w:val="0"/>
      <w:marTop w:val="0"/>
      <w:marBottom w:val="0"/>
      <w:divBdr>
        <w:top w:val="none" w:sz="0" w:space="0" w:color="auto"/>
        <w:left w:val="none" w:sz="0" w:space="0" w:color="auto"/>
        <w:bottom w:val="none" w:sz="0" w:space="0" w:color="auto"/>
        <w:right w:val="none" w:sz="0" w:space="0" w:color="auto"/>
      </w:divBdr>
    </w:div>
    <w:div w:id="385378672">
      <w:bodyDiv w:val="1"/>
      <w:marLeft w:val="0"/>
      <w:marRight w:val="0"/>
      <w:marTop w:val="0"/>
      <w:marBottom w:val="0"/>
      <w:divBdr>
        <w:top w:val="none" w:sz="0" w:space="0" w:color="auto"/>
        <w:left w:val="none" w:sz="0" w:space="0" w:color="auto"/>
        <w:bottom w:val="none" w:sz="0" w:space="0" w:color="auto"/>
        <w:right w:val="none" w:sz="0" w:space="0" w:color="auto"/>
      </w:divBdr>
    </w:div>
    <w:div w:id="386228883">
      <w:bodyDiv w:val="1"/>
      <w:marLeft w:val="0"/>
      <w:marRight w:val="0"/>
      <w:marTop w:val="0"/>
      <w:marBottom w:val="0"/>
      <w:divBdr>
        <w:top w:val="none" w:sz="0" w:space="0" w:color="auto"/>
        <w:left w:val="none" w:sz="0" w:space="0" w:color="auto"/>
        <w:bottom w:val="none" w:sz="0" w:space="0" w:color="auto"/>
        <w:right w:val="none" w:sz="0" w:space="0" w:color="auto"/>
      </w:divBdr>
    </w:div>
    <w:div w:id="386955303">
      <w:bodyDiv w:val="1"/>
      <w:marLeft w:val="0"/>
      <w:marRight w:val="0"/>
      <w:marTop w:val="0"/>
      <w:marBottom w:val="0"/>
      <w:divBdr>
        <w:top w:val="none" w:sz="0" w:space="0" w:color="auto"/>
        <w:left w:val="none" w:sz="0" w:space="0" w:color="auto"/>
        <w:bottom w:val="none" w:sz="0" w:space="0" w:color="auto"/>
        <w:right w:val="none" w:sz="0" w:space="0" w:color="auto"/>
      </w:divBdr>
    </w:div>
    <w:div w:id="392244141">
      <w:bodyDiv w:val="1"/>
      <w:marLeft w:val="0"/>
      <w:marRight w:val="0"/>
      <w:marTop w:val="0"/>
      <w:marBottom w:val="0"/>
      <w:divBdr>
        <w:top w:val="none" w:sz="0" w:space="0" w:color="auto"/>
        <w:left w:val="none" w:sz="0" w:space="0" w:color="auto"/>
        <w:bottom w:val="none" w:sz="0" w:space="0" w:color="auto"/>
        <w:right w:val="none" w:sz="0" w:space="0" w:color="auto"/>
      </w:divBdr>
    </w:div>
    <w:div w:id="406608638">
      <w:bodyDiv w:val="1"/>
      <w:marLeft w:val="0"/>
      <w:marRight w:val="0"/>
      <w:marTop w:val="0"/>
      <w:marBottom w:val="0"/>
      <w:divBdr>
        <w:top w:val="none" w:sz="0" w:space="0" w:color="auto"/>
        <w:left w:val="none" w:sz="0" w:space="0" w:color="auto"/>
        <w:bottom w:val="none" w:sz="0" w:space="0" w:color="auto"/>
        <w:right w:val="none" w:sz="0" w:space="0" w:color="auto"/>
      </w:divBdr>
    </w:div>
    <w:div w:id="413475700">
      <w:bodyDiv w:val="1"/>
      <w:marLeft w:val="0"/>
      <w:marRight w:val="0"/>
      <w:marTop w:val="0"/>
      <w:marBottom w:val="0"/>
      <w:divBdr>
        <w:top w:val="none" w:sz="0" w:space="0" w:color="auto"/>
        <w:left w:val="none" w:sz="0" w:space="0" w:color="auto"/>
        <w:bottom w:val="none" w:sz="0" w:space="0" w:color="auto"/>
        <w:right w:val="none" w:sz="0" w:space="0" w:color="auto"/>
      </w:divBdr>
    </w:div>
    <w:div w:id="427164909">
      <w:bodyDiv w:val="1"/>
      <w:marLeft w:val="0"/>
      <w:marRight w:val="0"/>
      <w:marTop w:val="0"/>
      <w:marBottom w:val="0"/>
      <w:divBdr>
        <w:top w:val="none" w:sz="0" w:space="0" w:color="auto"/>
        <w:left w:val="none" w:sz="0" w:space="0" w:color="auto"/>
        <w:bottom w:val="none" w:sz="0" w:space="0" w:color="auto"/>
        <w:right w:val="none" w:sz="0" w:space="0" w:color="auto"/>
      </w:divBdr>
    </w:div>
    <w:div w:id="430516302">
      <w:bodyDiv w:val="1"/>
      <w:marLeft w:val="0"/>
      <w:marRight w:val="0"/>
      <w:marTop w:val="0"/>
      <w:marBottom w:val="0"/>
      <w:divBdr>
        <w:top w:val="none" w:sz="0" w:space="0" w:color="auto"/>
        <w:left w:val="none" w:sz="0" w:space="0" w:color="auto"/>
        <w:bottom w:val="none" w:sz="0" w:space="0" w:color="auto"/>
        <w:right w:val="none" w:sz="0" w:space="0" w:color="auto"/>
      </w:divBdr>
    </w:div>
    <w:div w:id="432670976">
      <w:bodyDiv w:val="1"/>
      <w:marLeft w:val="0"/>
      <w:marRight w:val="0"/>
      <w:marTop w:val="0"/>
      <w:marBottom w:val="0"/>
      <w:divBdr>
        <w:top w:val="none" w:sz="0" w:space="0" w:color="auto"/>
        <w:left w:val="none" w:sz="0" w:space="0" w:color="auto"/>
        <w:bottom w:val="none" w:sz="0" w:space="0" w:color="auto"/>
        <w:right w:val="none" w:sz="0" w:space="0" w:color="auto"/>
      </w:divBdr>
    </w:div>
    <w:div w:id="434129895">
      <w:bodyDiv w:val="1"/>
      <w:marLeft w:val="0"/>
      <w:marRight w:val="0"/>
      <w:marTop w:val="0"/>
      <w:marBottom w:val="0"/>
      <w:divBdr>
        <w:top w:val="none" w:sz="0" w:space="0" w:color="auto"/>
        <w:left w:val="none" w:sz="0" w:space="0" w:color="auto"/>
        <w:bottom w:val="none" w:sz="0" w:space="0" w:color="auto"/>
        <w:right w:val="none" w:sz="0" w:space="0" w:color="auto"/>
      </w:divBdr>
    </w:div>
    <w:div w:id="450560387">
      <w:bodyDiv w:val="1"/>
      <w:marLeft w:val="0"/>
      <w:marRight w:val="0"/>
      <w:marTop w:val="0"/>
      <w:marBottom w:val="0"/>
      <w:divBdr>
        <w:top w:val="none" w:sz="0" w:space="0" w:color="auto"/>
        <w:left w:val="none" w:sz="0" w:space="0" w:color="auto"/>
        <w:bottom w:val="none" w:sz="0" w:space="0" w:color="auto"/>
        <w:right w:val="none" w:sz="0" w:space="0" w:color="auto"/>
      </w:divBdr>
    </w:div>
    <w:div w:id="450588660">
      <w:bodyDiv w:val="1"/>
      <w:marLeft w:val="0"/>
      <w:marRight w:val="0"/>
      <w:marTop w:val="0"/>
      <w:marBottom w:val="0"/>
      <w:divBdr>
        <w:top w:val="none" w:sz="0" w:space="0" w:color="auto"/>
        <w:left w:val="none" w:sz="0" w:space="0" w:color="auto"/>
        <w:bottom w:val="none" w:sz="0" w:space="0" w:color="auto"/>
        <w:right w:val="none" w:sz="0" w:space="0" w:color="auto"/>
      </w:divBdr>
    </w:div>
    <w:div w:id="452603564">
      <w:bodyDiv w:val="1"/>
      <w:marLeft w:val="0"/>
      <w:marRight w:val="0"/>
      <w:marTop w:val="0"/>
      <w:marBottom w:val="0"/>
      <w:divBdr>
        <w:top w:val="none" w:sz="0" w:space="0" w:color="auto"/>
        <w:left w:val="none" w:sz="0" w:space="0" w:color="auto"/>
        <w:bottom w:val="none" w:sz="0" w:space="0" w:color="auto"/>
        <w:right w:val="none" w:sz="0" w:space="0" w:color="auto"/>
      </w:divBdr>
    </w:div>
    <w:div w:id="460878904">
      <w:bodyDiv w:val="1"/>
      <w:marLeft w:val="0"/>
      <w:marRight w:val="0"/>
      <w:marTop w:val="0"/>
      <w:marBottom w:val="0"/>
      <w:divBdr>
        <w:top w:val="none" w:sz="0" w:space="0" w:color="auto"/>
        <w:left w:val="none" w:sz="0" w:space="0" w:color="auto"/>
        <w:bottom w:val="none" w:sz="0" w:space="0" w:color="auto"/>
        <w:right w:val="none" w:sz="0" w:space="0" w:color="auto"/>
      </w:divBdr>
    </w:div>
    <w:div w:id="482504610">
      <w:bodyDiv w:val="1"/>
      <w:marLeft w:val="0"/>
      <w:marRight w:val="0"/>
      <w:marTop w:val="0"/>
      <w:marBottom w:val="0"/>
      <w:divBdr>
        <w:top w:val="none" w:sz="0" w:space="0" w:color="auto"/>
        <w:left w:val="none" w:sz="0" w:space="0" w:color="auto"/>
        <w:bottom w:val="none" w:sz="0" w:space="0" w:color="auto"/>
        <w:right w:val="none" w:sz="0" w:space="0" w:color="auto"/>
      </w:divBdr>
    </w:div>
    <w:div w:id="487673321">
      <w:bodyDiv w:val="1"/>
      <w:marLeft w:val="0"/>
      <w:marRight w:val="0"/>
      <w:marTop w:val="0"/>
      <w:marBottom w:val="0"/>
      <w:divBdr>
        <w:top w:val="none" w:sz="0" w:space="0" w:color="auto"/>
        <w:left w:val="none" w:sz="0" w:space="0" w:color="auto"/>
        <w:bottom w:val="none" w:sz="0" w:space="0" w:color="auto"/>
        <w:right w:val="none" w:sz="0" w:space="0" w:color="auto"/>
      </w:divBdr>
    </w:div>
    <w:div w:id="505826839">
      <w:bodyDiv w:val="1"/>
      <w:marLeft w:val="0"/>
      <w:marRight w:val="0"/>
      <w:marTop w:val="0"/>
      <w:marBottom w:val="0"/>
      <w:divBdr>
        <w:top w:val="none" w:sz="0" w:space="0" w:color="auto"/>
        <w:left w:val="none" w:sz="0" w:space="0" w:color="auto"/>
        <w:bottom w:val="none" w:sz="0" w:space="0" w:color="auto"/>
        <w:right w:val="none" w:sz="0" w:space="0" w:color="auto"/>
      </w:divBdr>
    </w:div>
    <w:div w:id="517279959">
      <w:bodyDiv w:val="1"/>
      <w:marLeft w:val="0"/>
      <w:marRight w:val="0"/>
      <w:marTop w:val="0"/>
      <w:marBottom w:val="0"/>
      <w:divBdr>
        <w:top w:val="none" w:sz="0" w:space="0" w:color="auto"/>
        <w:left w:val="none" w:sz="0" w:space="0" w:color="auto"/>
        <w:bottom w:val="none" w:sz="0" w:space="0" w:color="auto"/>
        <w:right w:val="none" w:sz="0" w:space="0" w:color="auto"/>
      </w:divBdr>
    </w:div>
    <w:div w:id="517932191">
      <w:bodyDiv w:val="1"/>
      <w:marLeft w:val="0"/>
      <w:marRight w:val="0"/>
      <w:marTop w:val="0"/>
      <w:marBottom w:val="0"/>
      <w:divBdr>
        <w:top w:val="none" w:sz="0" w:space="0" w:color="auto"/>
        <w:left w:val="none" w:sz="0" w:space="0" w:color="auto"/>
        <w:bottom w:val="none" w:sz="0" w:space="0" w:color="auto"/>
        <w:right w:val="none" w:sz="0" w:space="0" w:color="auto"/>
      </w:divBdr>
    </w:div>
    <w:div w:id="525604168">
      <w:bodyDiv w:val="1"/>
      <w:marLeft w:val="0"/>
      <w:marRight w:val="0"/>
      <w:marTop w:val="0"/>
      <w:marBottom w:val="0"/>
      <w:divBdr>
        <w:top w:val="none" w:sz="0" w:space="0" w:color="auto"/>
        <w:left w:val="none" w:sz="0" w:space="0" w:color="auto"/>
        <w:bottom w:val="none" w:sz="0" w:space="0" w:color="auto"/>
        <w:right w:val="none" w:sz="0" w:space="0" w:color="auto"/>
      </w:divBdr>
    </w:div>
    <w:div w:id="529881563">
      <w:bodyDiv w:val="1"/>
      <w:marLeft w:val="0"/>
      <w:marRight w:val="0"/>
      <w:marTop w:val="0"/>
      <w:marBottom w:val="0"/>
      <w:divBdr>
        <w:top w:val="none" w:sz="0" w:space="0" w:color="auto"/>
        <w:left w:val="none" w:sz="0" w:space="0" w:color="auto"/>
        <w:bottom w:val="none" w:sz="0" w:space="0" w:color="auto"/>
        <w:right w:val="none" w:sz="0" w:space="0" w:color="auto"/>
      </w:divBdr>
    </w:div>
    <w:div w:id="541403499">
      <w:bodyDiv w:val="1"/>
      <w:marLeft w:val="0"/>
      <w:marRight w:val="0"/>
      <w:marTop w:val="0"/>
      <w:marBottom w:val="0"/>
      <w:divBdr>
        <w:top w:val="none" w:sz="0" w:space="0" w:color="auto"/>
        <w:left w:val="none" w:sz="0" w:space="0" w:color="auto"/>
        <w:bottom w:val="none" w:sz="0" w:space="0" w:color="auto"/>
        <w:right w:val="none" w:sz="0" w:space="0" w:color="auto"/>
      </w:divBdr>
    </w:div>
    <w:div w:id="542015127">
      <w:bodyDiv w:val="1"/>
      <w:marLeft w:val="0"/>
      <w:marRight w:val="0"/>
      <w:marTop w:val="0"/>
      <w:marBottom w:val="0"/>
      <w:divBdr>
        <w:top w:val="none" w:sz="0" w:space="0" w:color="auto"/>
        <w:left w:val="none" w:sz="0" w:space="0" w:color="auto"/>
        <w:bottom w:val="none" w:sz="0" w:space="0" w:color="auto"/>
        <w:right w:val="none" w:sz="0" w:space="0" w:color="auto"/>
      </w:divBdr>
    </w:div>
    <w:div w:id="546524947">
      <w:bodyDiv w:val="1"/>
      <w:marLeft w:val="0"/>
      <w:marRight w:val="0"/>
      <w:marTop w:val="0"/>
      <w:marBottom w:val="0"/>
      <w:divBdr>
        <w:top w:val="none" w:sz="0" w:space="0" w:color="auto"/>
        <w:left w:val="none" w:sz="0" w:space="0" w:color="auto"/>
        <w:bottom w:val="none" w:sz="0" w:space="0" w:color="auto"/>
        <w:right w:val="none" w:sz="0" w:space="0" w:color="auto"/>
      </w:divBdr>
    </w:div>
    <w:div w:id="546841828">
      <w:bodyDiv w:val="1"/>
      <w:marLeft w:val="0"/>
      <w:marRight w:val="0"/>
      <w:marTop w:val="0"/>
      <w:marBottom w:val="0"/>
      <w:divBdr>
        <w:top w:val="none" w:sz="0" w:space="0" w:color="auto"/>
        <w:left w:val="none" w:sz="0" w:space="0" w:color="auto"/>
        <w:bottom w:val="none" w:sz="0" w:space="0" w:color="auto"/>
        <w:right w:val="none" w:sz="0" w:space="0" w:color="auto"/>
      </w:divBdr>
    </w:div>
    <w:div w:id="547837574">
      <w:bodyDiv w:val="1"/>
      <w:marLeft w:val="0"/>
      <w:marRight w:val="0"/>
      <w:marTop w:val="0"/>
      <w:marBottom w:val="0"/>
      <w:divBdr>
        <w:top w:val="none" w:sz="0" w:space="0" w:color="auto"/>
        <w:left w:val="none" w:sz="0" w:space="0" w:color="auto"/>
        <w:bottom w:val="none" w:sz="0" w:space="0" w:color="auto"/>
        <w:right w:val="none" w:sz="0" w:space="0" w:color="auto"/>
      </w:divBdr>
    </w:div>
    <w:div w:id="549919263">
      <w:bodyDiv w:val="1"/>
      <w:marLeft w:val="0"/>
      <w:marRight w:val="0"/>
      <w:marTop w:val="0"/>
      <w:marBottom w:val="0"/>
      <w:divBdr>
        <w:top w:val="none" w:sz="0" w:space="0" w:color="auto"/>
        <w:left w:val="none" w:sz="0" w:space="0" w:color="auto"/>
        <w:bottom w:val="none" w:sz="0" w:space="0" w:color="auto"/>
        <w:right w:val="none" w:sz="0" w:space="0" w:color="auto"/>
      </w:divBdr>
    </w:div>
    <w:div w:id="553128792">
      <w:bodyDiv w:val="1"/>
      <w:marLeft w:val="0"/>
      <w:marRight w:val="0"/>
      <w:marTop w:val="0"/>
      <w:marBottom w:val="0"/>
      <w:divBdr>
        <w:top w:val="none" w:sz="0" w:space="0" w:color="auto"/>
        <w:left w:val="none" w:sz="0" w:space="0" w:color="auto"/>
        <w:bottom w:val="none" w:sz="0" w:space="0" w:color="auto"/>
        <w:right w:val="none" w:sz="0" w:space="0" w:color="auto"/>
      </w:divBdr>
    </w:div>
    <w:div w:id="555817214">
      <w:bodyDiv w:val="1"/>
      <w:marLeft w:val="0"/>
      <w:marRight w:val="0"/>
      <w:marTop w:val="0"/>
      <w:marBottom w:val="0"/>
      <w:divBdr>
        <w:top w:val="none" w:sz="0" w:space="0" w:color="auto"/>
        <w:left w:val="none" w:sz="0" w:space="0" w:color="auto"/>
        <w:bottom w:val="none" w:sz="0" w:space="0" w:color="auto"/>
        <w:right w:val="none" w:sz="0" w:space="0" w:color="auto"/>
      </w:divBdr>
    </w:div>
    <w:div w:id="559555068">
      <w:bodyDiv w:val="1"/>
      <w:marLeft w:val="0"/>
      <w:marRight w:val="0"/>
      <w:marTop w:val="0"/>
      <w:marBottom w:val="0"/>
      <w:divBdr>
        <w:top w:val="none" w:sz="0" w:space="0" w:color="auto"/>
        <w:left w:val="none" w:sz="0" w:space="0" w:color="auto"/>
        <w:bottom w:val="none" w:sz="0" w:space="0" w:color="auto"/>
        <w:right w:val="none" w:sz="0" w:space="0" w:color="auto"/>
      </w:divBdr>
    </w:div>
    <w:div w:id="571626820">
      <w:bodyDiv w:val="1"/>
      <w:marLeft w:val="0"/>
      <w:marRight w:val="0"/>
      <w:marTop w:val="0"/>
      <w:marBottom w:val="0"/>
      <w:divBdr>
        <w:top w:val="none" w:sz="0" w:space="0" w:color="auto"/>
        <w:left w:val="none" w:sz="0" w:space="0" w:color="auto"/>
        <w:bottom w:val="none" w:sz="0" w:space="0" w:color="auto"/>
        <w:right w:val="none" w:sz="0" w:space="0" w:color="auto"/>
      </w:divBdr>
    </w:div>
    <w:div w:id="575628703">
      <w:bodyDiv w:val="1"/>
      <w:marLeft w:val="0"/>
      <w:marRight w:val="0"/>
      <w:marTop w:val="0"/>
      <w:marBottom w:val="0"/>
      <w:divBdr>
        <w:top w:val="none" w:sz="0" w:space="0" w:color="auto"/>
        <w:left w:val="none" w:sz="0" w:space="0" w:color="auto"/>
        <w:bottom w:val="none" w:sz="0" w:space="0" w:color="auto"/>
        <w:right w:val="none" w:sz="0" w:space="0" w:color="auto"/>
      </w:divBdr>
    </w:div>
    <w:div w:id="577787201">
      <w:bodyDiv w:val="1"/>
      <w:marLeft w:val="0"/>
      <w:marRight w:val="0"/>
      <w:marTop w:val="0"/>
      <w:marBottom w:val="0"/>
      <w:divBdr>
        <w:top w:val="none" w:sz="0" w:space="0" w:color="auto"/>
        <w:left w:val="none" w:sz="0" w:space="0" w:color="auto"/>
        <w:bottom w:val="none" w:sz="0" w:space="0" w:color="auto"/>
        <w:right w:val="none" w:sz="0" w:space="0" w:color="auto"/>
      </w:divBdr>
    </w:div>
    <w:div w:id="580794120">
      <w:bodyDiv w:val="1"/>
      <w:marLeft w:val="0"/>
      <w:marRight w:val="0"/>
      <w:marTop w:val="0"/>
      <w:marBottom w:val="0"/>
      <w:divBdr>
        <w:top w:val="none" w:sz="0" w:space="0" w:color="auto"/>
        <w:left w:val="none" w:sz="0" w:space="0" w:color="auto"/>
        <w:bottom w:val="none" w:sz="0" w:space="0" w:color="auto"/>
        <w:right w:val="none" w:sz="0" w:space="0" w:color="auto"/>
      </w:divBdr>
    </w:div>
    <w:div w:id="588075443">
      <w:bodyDiv w:val="1"/>
      <w:marLeft w:val="0"/>
      <w:marRight w:val="0"/>
      <w:marTop w:val="0"/>
      <w:marBottom w:val="0"/>
      <w:divBdr>
        <w:top w:val="none" w:sz="0" w:space="0" w:color="auto"/>
        <w:left w:val="none" w:sz="0" w:space="0" w:color="auto"/>
        <w:bottom w:val="none" w:sz="0" w:space="0" w:color="auto"/>
        <w:right w:val="none" w:sz="0" w:space="0" w:color="auto"/>
      </w:divBdr>
    </w:div>
    <w:div w:id="588656433">
      <w:bodyDiv w:val="1"/>
      <w:marLeft w:val="0"/>
      <w:marRight w:val="0"/>
      <w:marTop w:val="0"/>
      <w:marBottom w:val="0"/>
      <w:divBdr>
        <w:top w:val="none" w:sz="0" w:space="0" w:color="auto"/>
        <w:left w:val="none" w:sz="0" w:space="0" w:color="auto"/>
        <w:bottom w:val="none" w:sz="0" w:space="0" w:color="auto"/>
        <w:right w:val="none" w:sz="0" w:space="0" w:color="auto"/>
      </w:divBdr>
    </w:div>
    <w:div w:id="612131862">
      <w:bodyDiv w:val="1"/>
      <w:marLeft w:val="0"/>
      <w:marRight w:val="0"/>
      <w:marTop w:val="0"/>
      <w:marBottom w:val="0"/>
      <w:divBdr>
        <w:top w:val="none" w:sz="0" w:space="0" w:color="auto"/>
        <w:left w:val="none" w:sz="0" w:space="0" w:color="auto"/>
        <w:bottom w:val="none" w:sz="0" w:space="0" w:color="auto"/>
        <w:right w:val="none" w:sz="0" w:space="0" w:color="auto"/>
      </w:divBdr>
    </w:div>
    <w:div w:id="622463395">
      <w:bodyDiv w:val="1"/>
      <w:marLeft w:val="0"/>
      <w:marRight w:val="0"/>
      <w:marTop w:val="0"/>
      <w:marBottom w:val="0"/>
      <w:divBdr>
        <w:top w:val="none" w:sz="0" w:space="0" w:color="auto"/>
        <w:left w:val="none" w:sz="0" w:space="0" w:color="auto"/>
        <w:bottom w:val="none" w:sz="0" w:space="0" w:color="auto"/>
        <w:right w:val="none" w:sz="0" w:space="0" w:color="auto"/>
      </w:divBdr>
    </w:div>
    <w:div w:id="623312955">
      <w:bodyDiv w:val="1"/>
      <w:marLeft w:val="0"/>
      <w:marRight w:val="0"/>
      <w:marTop w:val="0"/>
      <w:marBottom w:val="0"/>
      <w:divBdr>
        <w:top w:val="none" w:sz="0" w:space="0" w:color="auto"/>
        <w:left w:val="none" w:sz="0" w:space="0" w:color="auto"/>
        <w:bottom w:val="none" w:sz="0" w:space="0" w:color="auto"/>
        <w:right w:val="none" w:sz="0" w:space="0" w:color="auto"/>
      </w:divBdr>
    </w:div>
    <w:div w:id="625283553">
      <w:bodyDiv w:val="1"/>
      <w:marLeft w:val="0"/>
      <w:marRight w:val="0"/>
      <w:marTop w:val="0"/>
      <w:marBottom w:val="0"/>
      <w:divBdr>
        <w:top w:val="none" w:sz="0" w:space="0" w:color="auto"/>
        <w:left w:val="none" w:sz="0" w:space="0" w:color="auto"/>
        <w:bottom w:val="none" w:sz="0" w:space="0" w:color="auto"/>
        <w:right w:val="none" w:sz="0" w:space="0" w:color="auto"/>
      </w:divBdr>
    </w:div>
    <w:div w:id="625310132">
      <w:bodyDiv w:val="1"/>
      <w:marLeft w:val="0"/>
      <w:marRight w:val="0"/>
      <w:marTop w:val="0"/>
      <w:marBottom w:val="0"/>
      <w:divBdr>
        <w:top w:val="none" w:sz="0" w:space="0" w:color="auto"/>
        <w:left w:val="none" w:sz="0" w:space="0" w:color="auto"/>
        <w:bottom w:val="none" w:sz="0" w:space="0" w:color="auto"/>
        <w:right w:val="none" w:sz="0" w:space="0" w:color="auto"/>
      </w:divBdr>
    </w:div>
    <w:div w:id="629433192">
      <w:bodyDiv w:val="1"/>
      <w:marLeft w:val="0"/>
      <w:marRight w:val="0"/>
      <w:marTop w:val="0"/>
      <w:marBottom w:val="0"/>
      <w:divBdr>
        <w:top w:val="none" w:sz="0" w:space="0" w:color="auto"/>
        <w:left w:val="none" w:sz="0" w:space="0" w:color="auto"/>
        <w:bottom w:val="none" w:sz="0" w:space="0" w:color="auto"/>
        <w:right w:val="none" w:sz="0" w:space="0" w:color="auto"/>
      </w:divBdr>
    </w:div>
    <w:div w:id="645471984">
      <w:bodyDiv w:val="1"/>
      <w:marLeft w:val="0"/>
      <w:marRight w:val="0"/>
      <w:marTop w:val="0"/>
      <w:marBottom w:val="0"/>
      <w:divBdr>
        <w:top w:val="none" w:sz="0" w:space="0" w:color="auto"/>
        <w:left w:val="none" w:sz="0" w:space="0" w:color="auto"/>
        <w:bottom w:val="none" w:sz="0" w:space="0" w:color="auto"/>
        <w:right w:val="none" w:sz="0" w:space="0" w:color="auto"/>
      </w:divBdr>
    </w:div>
    <w:div w:id="665288145">
      <w:bodyDiv w:val="1"/>
      <w:marLeft w:val="0"/>
      <w:marRight w:val="0"/>
      <w:marTop w:val="0"/>
      <w:marBottom w:val="0"/>
      <w:divBdr>
        <w:top w:val="none" w:sz="0" w:space="0" w:color="auto"/>
        <w:left w:val="none" w:sz="0" w:space="0" w:color="auto"/>
        <w:bottom w:val="none" w:sz="0" w:space="0" w:color="auto"/>
        <w:right w:val="none" w:sz="0" w:space="0" w:color="auto"/>
      </w:divBdr>
    </w:div>
    <w:div w:id="679818408">
      <w:bodyDiv w:val="1"/>
      <w:marLeft w:val="0"/>
      <w:marRight w:val="0"/>
      <w:marTop w:val="0"/>
      <w:marBottom w:val="0"/>
      <w:divBdr>
        <w:top w:val="none" w:sz="0" w:space="0" w:color="auto"/>
        <w:left w:val="none" w:sz="0" w:space="0" w:color="auto"/>
        <w:bottom w:val="none" w:sz="0" w:space="0" w:color="auto"/>
        <w:right w:val="none" w:sz="0" w:space="0" w:color="auto"/>
      </w:divBdr>
    </w:div>
    <w:div w:id="690304116">
      <w:bodyDiv w:val="1"/>
      <w:marLeft w:val="0"/>
      <w:marRight w:val="0"/>
      <w:marTop w:val="0"/>
      <w:marBottom w:val="0"/>
      <w:divBdr>
        <w:top w:val="none" w:sz="0" w:space="0" w:color="auto"/>
        <w:left w:val="none" w:sz="0" w:space="0" w:color="auto"/>
        <w:bottom w:val="none" w:sz="0" w:space="0" w:color="auto"/>
        <w:right w:val="none" w:sz="0" w:space="0" w:color="auto"/>
      </w:divBdr>
    </w:div>
    <w:div w:id="693385043">
      <w:bodyDiv w:val="1"/>
      <w:marLeft w:val="0"/>
      <w:marRight w:val="0"/>
      <w:marTop w:val="0"/>
      <w:marBottom w:val="0"/>
      <w:divBdr>
        <w:top w:val="none" w:sz="0" w:space="0" w:color="auto"/>
        <w:left w:val="none" w:sz="0" w:space="0" w:color="auto"/>
        <w:bottom w:val="none" w:sz="0" w:space="0" w:color="auto"/>
        <w:right w:val="none" w:sz="0" w:space="0" w:color="auto"/>
      </w:divBdr>
    </w:div>
    <w:div w:id="712778569">
      <w:bodyDiv w:val="1"/>
      <w:marLeft w:val="0"/>
      <w:marRight w:val="0"/>
      <w:marTop w:val="0"/>
      <w:marBottom w:val="0"/>
      <w:divBdr>
        <w:top w:val="none" w:sz="0" w:space="0" w:color="auto"/>
        <w:left w:val="none" w:sz="0" w:space="0" w:color="auto"/>
        <w:bottom w:val="none" w:sz="0" w:space="0" w:color="auto"/>
        <w:right w:val="none" w:sz="0" w:space="0" w:color="auto"/>
      </w:divBdr>
    </w:div>
    <w:div w:id="714817362">
      <w:bodyDiv w:val="1"/>
      <w:marLeft w:val="0"/>
      <w:marRight w:val="0"/>
      <w:marTop w:val="0"/>
      <w:marBottom w:val="0"/>
      <w:divBdr>
        <w:top w:val="none" w:sz="0" w:space="0" w:color="auto"/>
        <w:left w:val="none" w:sz="0" w:space="0" w:color="auto"/>
        <w:bottom w:val="none" w:sz="0" w:space="0" w:color="auto"/>
        <w:right w:val="none" w:sz="0" w:space="0" w:color="auto"/>
      </w:divBdr>
    </w:div>
    <w:div w:id="730885956">
      <w:bodyDiv w:val="1"/>
      <w:marLeft w:val="0"/>
      <w:marRight w:val="0"/>
      <w:marTop w:val="0"/>
      <w:marBottom w:val="0"/>
      <w:divBdr>
        <w:top w:val="none" w:sz="0" w:space="0" w:color="auto"/>
        <w:left w:val="none" w:sz="0" w:space="0" w:color="auto"/>
        <w:bottom w:val="none" w:sz="0" w:space="0" w:color="auto"/>
        <w:right w:val="none" w:sz="0" w:space="0" w:color="auto"/>
      </w:divBdr>
    </w:div>
    <w:div w:id="742025136">
      <w:bodyDiv w:val="1"/>
      <w:marLeft w:val="0"/>
      <w:marRight w:val="0"/>
      <w:marTop w:val="0"/>
      <w:marBottom w:val="0"/>
      <w:divBdr>
        <w:top w:val="none" w:sz="0" w:space="0" w:color="auto"/>
        <w:left w:val="none" w:sz="0" w:space="0" w:color="auto"/>
        <w:bottom w:val="none" w:sz="0" w:space="0" w:color="auto"/>
        <w:right w:val="none" w:sz="0" w:space="0" w:color="auto"/>
      </w:divBdr>
    </w:div>
    <w:div w:id="749694491">
      <w:bodyDiv w:val="1"/>
      <w:marLeft w:val="0"/>
      <w:marRight w:val="0"/>
      <w:marTop w:val="0"/>
      <w:marBottom w:val="0"/>
      <w:divBdr>
        <w:top w:val="none" w:sz="0" w:space="0" w:color="auto"/>
        <w:left w:val="none" w:sz="0" w:space="0" w:color="auto"/>
        <w:bottom w:val="none" w:sz="0" w:space="0" w:color="auto"/>
        <w:right w:val="none" w:sz="0" w:space="0" w:color="auto"/>
      </w:divBdr>
    </w:div>
    <w:div w:id="759445711">
      <w:bodyDiv w:val="1"/>
      <w:marLeft w:val="0"/>
      <w:marRight w:val="0"/>
      <w:marTop w:val="0"/>
      <w:marBottom w:val="0"/>
      <w:divBdr>
        <w:top w:val="none" w:sz="0" w:space="0" w:color="auto"/>
        <w:left w:val="none" w:sz="0" w:space="0" w:color="auto"/>
        <w:bottom w:val="none" w:sz="0" w:space="0" w:color="auto"/>
        <w:right w:val="none" w:sz="0" w:space="0" w:color="auto"/>
      </w:divBdr>
    </w:div>
    <w:div w:id="762186841">
      <w:bodyDiv w:val="1"/>
      <w:marLeft w:val="0"/>
      <w:marRight w:val="0"/>
      <w:marTop w:val="0"/>
      <w:marBottom w:val="0"/>
      <w:divBdr>
        <w:top w:val="none" w:sz="0" w:space="0" w:color="auto"/>
        <w:left w:val="none" w:sz="0" w:space="0" w:color="auto"/>
        <w:bottom w:val="none" w:sz="0" w:space="0" w:color="auto"/>
        <w:right w:val="none" w:sz="0" w:space="0" w:color="auto"/>
      </w:divBdr>
    </w:div>
    <w:div w:id="772482367">
      <w:bodyDiv w:val="1"/>
      <w:marLeft w:val="0"/>
      <w:marRight w:val="0"/>
      <w:marTop w:val="0"/>
      <w:marBottom w:val="0"/>
      <w:divBdr>
        <w:top w:val="none" w:sz="0" w:space="0" w:color="auto"/>
        <w:left w:val="none" w:sz="0" w:space="0" w:color="auto"/>
        <w:bottom w:val="none" w:sz="0" w:space="0" w:color="auto"/>
        <w:right w:val="none" w:sz="0" w:space="0" w:color="auto"/>
      </w:divBdr>
    </w:div>
    <w:div w:id="786891802">
      <w:bodyDiv w:val="1"/>
      <w:marLeft w:val="0"/>
      <w:marRight w:val="0"/>
      <w:marTop w:val="0"/>
      <w:marBottom w:val="0"/>
      <w:divBdr>
        <w:top w:val="none" w:sz="0" w:space="0" w:color="auto"/>
        <w:left w:val="none" w:sz="0" w:space="0" w:color="auto"/>
        <w:bottom w:val="none" w:sz="0" w:space="0" w:color="auto"/>
        <w:right w:val="none" w:sz="0" w:space="0" w:color="auto"/>
      </w:divBdr>
    </w:div>
    <w:div w:id="792406275">
      <w:bodyDiv w:val="1"/>
      <w:marLeft w:val="0"/>
      <w:marRight w:val="0"/>
      <w:marTop w:val="0"/>
      <w:marBottom w:val="0"/>
      <w:divBdr>
        <w:top w:val="none" w:sz="0" w:space="0" w:color="auto"/>
        <w:left w:val="none" w:sz="0" w:space="0" w:color="auto"/>
        <w:bottom w:val="none" w:sz="0" w:space="0" w:color="auto"/>
        <w:right w:val="none" w:sz="0" w:space="0" w:color="auto"/>
      </w:divBdr>
    </w:div>
    <w:div w:id="797333411">
      <w:bodyDiv w:val="1"/>
      <w:marLeft w:val="0"/>
      <w:marRight w:val="0"/>
      <w:marTop w:val="0"/>
      <w:marBottom w:val="0"/>
      <w:divBdr>
        <w:top w:val="none" w:sz="0" w:space="0" w:color="auto"/>
        <w:left w:val="none" w:sz="0" w:space="0" w:color="auto"/>
        <w:bottom w:val="none" w:sz="0" w:space="0" w:color="auto"/>
        <w:right w:val="none" w:sz="0" w:space="0" w:color="auto"/>
      </w:divBdr>
    </w:div>
    <w:div w:id="808012568">
      <w:bodyDiv w:val="1"/>
      <w:marLeft w:val="0"/>
      <w:marRight w:val="0"/>
      <w:marTop w:val="0"/>
      <w:marBottom w:val="0"/>
      <w:divBdr>
        <w:top w:val="none" w:sz="0" w:space="0" w:color="auto"/>
        <w:left w:val="none" w:sz="0" w:space="0" w:color="auto"/>
        <w:bottom w:val="none" w:sz="0" w:space="0" w:color="auto"/>
        <w:right w:val="none" w:sz="0" w:space="0" w:color="auto"/>
      </w:divBdr>
    </w:div>
    <w:div w:id="816150254">
      <w:bodyDiv w:val="1"/>
      <w:marLeft w:val="0"/>
      <w:marRight w:val="0"/>
      <w:marTop w:val="0"/>
      <w:marBottom w:val="0"/>
      <w:divBdr>
        <w:top w:val="none" w:sz="0" w:space="0" w:color="auto"/>
        <w:left w:val="none" w:sz="0" w:space="0" w:color="auto"/>
        <w:bottom w:val="none" w:sz="0" w:space="0" w:color="auto"/>
        <w:right w:val="none" w:sz="0" w:space="0" w:color="auto"/>
      </w:divBdr>
    </w:div>
    <w:div w:id="819268016">
      <w:bodyDiv w:val="1"/>
      <w:marLeft w:val="0"/>
      <w:marRight w:val="0"/>
      <w:marTop w:val="0"/>
      <w:marBottom w:val="0"/>
      <w:divBdr>
        <w:top w:val="none" w:sz="0" w:space="0" w:color="auto"/>
        <w:left w:val="none" w:sz="0" w:space="0" w:color="auto"/>
        <w:bottom w:val="none" w:sz="0" w:space="0" w:color="auto"/>
        <w:right w:val="none" w:sz="0" w:space="0" w:color="auto"/>
      </w:divBdr>
    </w:div>
    <w:div w:id="820077739">
      <w:bodyDiv w:val="1"/>
      <w:marLeft w:val="0"/>
      <w:marRight w:val="0"/>
      <w:marTop w:val="0"/>
      <w:marBottom w:val="0"/>
      <w:divBdr>
        <w:top w:val="none" w:sz="0" w:space="0" w:color="auto"/>
        <w:left w:val="none" w:sz="0" w:space="0" w:color="auto"/>
        <w:bottom w:val="none" w:sz="0" w:space="0" w:color="auto"/>
        <w:right w:val="none" w:sz="0" w:space="0" w:color="auto"/>
      </w:divBdr>
    </w:div>
    <w:div w:id="826021776">
      <w:bodyDiv w:val="1"/>
      <w:marLeft w:val="0"/>
      <w:marRight w:val="0"/>
      <w:marTop w:val="0"/>
      <w:marBottom w:val="0"/>
      <w:divBdr>
        <w:top w:val="none" w:sz="0" w:space="0" w:color="auto"/>
        <w:left w:val="none" w:sz="0" w:space="0" w:color="auto"/>
        <w:bottom w:val="none" w:sz="0" w:space="0" w:color="auto"/>
        <w:right w:val="none" w:sz="0" w:space="0" w:color="auto"/>
      </w:divBdr>
    </w:div>
    <w:div w:id="833227570">
      <w:bodyDiv w:val="1"/>
      <w:marLeft w:val="0"/>
      <w:marRight w:val="0"/>
      <w:marTop w:val="0"/>
      <w:marBottom w:val="0"/>
      <w:divBdr>
        <w:top w:val="none" w:sz="0" w:space="0" w:color="auto"/>
        <w:left w:val="none" w:sz="0" w:space="0" w:color="auto"/>
        <w:bottom w:val="none" w:sz="0" w:space="0" w:color="auto"/>
        <w:right w:val="none" w:sz="0" w:space="0" w:color="auto"/>
      </w:divBdr>
    </w:div>
    <w:div w:id="843714116">
      <w:bodyDiv w:val="1"/>
      <w:marLeft w:val="0"/>
      <w:marRight w:val="0"/>
      <w:marTop w:val="0"/>
      <w:marBottom w:val="0"/>
      <w:divBdr>
        <w:top w:val="none" w:sz="0" w:space="0" w:color="auto"/>
        <w:left w:val="none" w:sz="0" w:space="0" w:color="auto"/>
        <w:bottom w:val="none" w:sz="0" w:space="0" w:color="auto"/>
        <w:right w:val="none" w:sz="0" w:space="0" w:color="auto"/>
      </w:divBdr>
    </w:div>
    <w:div w:id="851652295">
      <w:bodyDiv w:val="1"/>
      <w:marLeft w:val="0"/>
      <w:marRight w:val="0"/>
      <w:marTop w:val="0"/>
      <w:marBottom w:val="0"/>
      <w:divBdr>
        <w:top w:val="none" w:sz="0" w:space="0" w:color="auto"/>
        <w:left w:val="none" w:sz="0" w:space="0" w:color="auto"/>
        <w:bottom w:val="none" w:sz="0" w:space="0" w:color="auto"/>
        <w:right w:val="none" w:sz="0" w:space="0" w:color="auto"/>
      </w:divBdr>
    </w:div>
    <w:div w:id="854733588">
      <w:bodyDiv w:val="1"/>
      <w:marLeft w:val="0"/>
      <w:marRight w:val="0"/>
      <w:marTop w:val="0"/>
      <w:marBottom w:val="0"/>
      <w:divBdr>
        <w:top w:val="none" w:sz="0" w:space="0" w:color="auto"/>
        <w:left w:val="none" w:sz="0" w:space="0" w:color="auto"/>
        <w:bottom w:val="none" w:sz="0" w:space="0" w:color="auto"/>
        <w:right w:val="none" w:sz="0" w:space="0" w:color="auto"/>
      </w:divBdr>
    </w:div>
    <w:div w:id="865407136">
      <w:bodyDiv w:val="1"/>
      <w:marLeft w:val="0"/>
      <w:marRight w:val="0"/>
      <w:marTop w:val="0"/>
      <w:marBottom w:val="0"/>
      <w:divBdr>
        <w:top w:val="none" w:sz="0" w:space="0" w:color="auto"/>
        <w:left w:val="none" w:sz="0" w:space="0" w:color="auto"/>
        <w:bottom w:val="none" w:sz="0" w:space="0" w:color="auto"/>
        <w:right w:val="none" w:sz="0" w:space="0" w:color="auto"/>
      </w:divBdr>
    </w:div>
    <w:div w:id="876355677">
      <w:bodyDiv w:val="1"/>
      <w:marLeft w:val="0"/>
      <w:marRight w:val="0"/>
      <w:marTop w:val="0"/>
      <w:marBottom w:val="0"/>
      <w:divBdr>
        <w:top w:val="none" w:sz="0" w:space="0" w:color="auto"/>
        <w:left w:val="none" w:sz="0" w:space="0" w:color="auto"/>
        <w:bottom w:val="none" w:sz="0" w:space="0" w:color="auto"/>
        <w:right w:val="none" w:sz="0" w:space="0" w:color="auto"/>
      </w:divBdr>
    </w:div>
    <w:div w:id="876937539">
      <w:bodyDiv w:val="1"/>
      <w:marLeft w:val="0"/>
      <w:marRight w:val="0"/>
      <w:marTop w:val="0"/>
      <w:marBottom w:val="0"/>
      <w:divBdr>
        <w:top w:val="none" w:sz="0" w:space="0" w:color="auto"/>
        <w:left w:val="none" w:sz="0" w:space="0" w:color="auto"/>
        <w:bottom w:val="none" w:sz="0" w:space="0" w:color="auto"/>
        <w:right w:val="none" w:sz="0" w:space="0" w:color="auto"/>
      </w:divBdr>
    </w:div>
    <w:div w:id="915093985">
      <w:bodyDiv w:val="1"/>
      <w:marLeft w:val="0"/>
      <w:marRight w:val="0"/>
      <w:marTop w:val="0"/>
      <w:marBottom w:val="0"/>
      <w:divBdr>
        <w:top w:val="none" w:sz="0" w:space="0" w:color="auto"/>
        <w:left w:val="none" w:sz="0" w:space="0" w:color="auto"/>
        <w:bottom w:val="none" w:sz="0" w:space="0" w:color="auto"/>
        <w:right w:val="none" w:sz="0" w:space="0" w:color="auto"/>
      </w:divBdr>
    </w:div>
    <w:div w:id="915479491">
      <w:bodyDiv w:val="1"/>
      <w:marLeft w:val="0"/>
      <w:marRight w:val="0"/>
      <w:marTop w:val="0"/>
      <w:marBottom w:val="0"/>
      <w:divBdr>
        <w:top w:val="none" w:sz="0" w:space="0" w:color="auto"/>
        <w:left w:val="none" w:sz="0" w:space="0" w:color="auto"/>
        <w:bottom w:val="none" w:sz="0" w:space="0" w:color="auto"/>
        <w:right w:val="none" w:sz="0" w:space="0" w:color="auto"/>
      </w:divBdr>
    </w:div>
    <w:div w:id="921572517">
      <w:bodyDiv w:val="1"/>
      <w:marLeft w:val="0"/>
      <w:marRight w:val="0"/>
      <w:marTop w:val="0"/>
      <w:marBottom w:val="0"/>
      <w:divBdr>
        <w:top w:val="none" w:sz="0" w:space="0" w:color="auto"/>
        <w:left w:val="none" w:sz="0" w:space="0" w:color="auto"/>
        <w:bottom w:val="none" w:sz="0" w:space="0" w:color="auto"/>
        <w:right w:val="none" w:sz="0" w:space="0" w:color="auto"/>
      </w:divBdr>
    </w:div>
    <w:div w:id="922104312">
      <w:bodyDiv w:val="1"/>
      <w:marLeft w:val="0"/>
      <w:marRight w:val="0"/>
      <w:marTop w:val="0"/>
      <w:marBottom w:val="0"/>
      <w:divBdr>
        <w:top w:val="none" w:sz="0" w:space="0" w:color="auto"/>
        <w:left w:val="none" w:sz="0" w:space="0" w:color="auto"/>
        <w:bottom w:val="none" w:sz="0" w:space="0" w:color="auto"/>
        <w:right w:val="none" w:sz="0" w:space="0" w:color="auto"/>
      </w:divBdr>
    </w:div>
    <w:div w:id="943271408">
      <w:bodyDiv w:val="1"/>
      <w:marLeft w:val="0"/>
      <w:marRight w:val="0"/>
      <w:marTop w:val="0"/>
      <w:marBottom w:val="0"/>
      <w:divBdr>
        <w:top w:val="none" w:sz="0" w:space="0" w:color="auto"/>
        <w:left w:val="none" w:sz="0" w:space="0" w:color="auto"/>
        <w:bottom w:val="none" w:sz="0" w:space="0" w:color="auto"/>
        <w:right w:val="none" w:sz="0" w:space="0" w:color="auto"/>
      </w:divBdr>
    </w:div>
    <w:div w:id="945191101">
      <w:bodyDiv w:val="1"/>
      <w:marLeft w:val="0"/>
      <w:marRight w:val="0"/>
      <w:marTop w:val="0"/>
      <w:marBottom w:val="0"/>
      <w:divBdr>
        <w:top w:val="none" w:sz="0" w:space="0" w:color="auto"/>
        <w:left w:val="none" w:sz="0" w:space="0" w:color="auto"/>
        <w:bottom w:val="none" w:sz="0" w:space="0" w:color="auto"/>
        <w:right w:val="none" w:sz="0" w:space="0" w:color="auto"/>
      </w:divBdr>
    </w:div>
    <w:div w:id="945309786">
      <w:bodyDiv w:val="1"/>
      <w:marLeft w:val="0"/>
      <w:marRight w:val="0"/>
      <w:marTop w:val="0"/>
      <w:marBottom w:val="0"/>
      <w:divBdr>
        <w:top w:val="none" w:sz="0" w:space="0" w:color="auto"/>
        <w:left w:val="none" w:sz="0" w:space="0" w:color="auto"/>
        <w:bottom w:val="none" w:sz="0" w:space="0" w:color="auto"/>
        <w:right w:val="none" w:sz="0" w:space="0" w:color="auto"/>
      </w:divBdr>
    </w:div>
    <w:div w:id="947002276">
      <w:bodyDiv w:val="1"/>
      <w:marLeft w:val="0"/>
      <w:marRight w:val="0"/>
      <w:marTop w:val="0"/>
      <w:marBottom w:val="0"/>
      <w:divBdr>
        <w:top w:val="none" w:sz="0" w:space="0" w:color="auto"/>
        <w:left w:val="none" w:sz="0" w:space="0" w:color="auto"/>
        <w:bottom w:val="none" w:sz="0" w:space="0" w:color="auto"/>
        <w:right w:val="none" w:sz="0" w:space="0" w:color="auto"/>
      </w:divBdr>
    </w:div>
    <w:div w:id="947546382">
      <w:bodyDiv w:val="1"/>
      <w:marLeft w:val="0"/>
      <w:marRight w:val="0"/>
      <w:marTop w:val="0"/>
      <w:marBottom w:val="0"/>
      <w:divBdr>
        <w:top w:val="none" w:sz="0" w:space="0" w:color="auto"/>
        <w:left w:val="none" w:sz="0" w:space="0" w:color="auto"/>
        <w:bottom w:val="none" w:sz="0" w:space="0" w:color="auto"/>
        <w:right w:val="none" w:sz="0" w:space="0" w:color="auto"/>
      </w:divBdr>
    </w:div>
    <w:div w:id="948779408">
      <w:bodyDiv w:val="1"/>
      <w:marLeft w:val="0"/>
      <w:marRight w:val="0"/>
      <w:marTop w:val="0"/>
      <w:marBottom w:val="0"/>
      <w:divBdr>
        <w:top w:val="none" w:sz="0" w:space="0" w:color="auto"/>
        <w:left w:val="none" w:sz="0" w:space="0" w:color="auto"/>
        <w:bottom w:val="none" w:sz="0" w:space="0" w:color="auto"/>
        <w:right w:val="none" w:sz="0" w:space="0" w:color="auto"/>
      </w:divBdr>
    </w:div>
    <w:div w:id="972095935">
      <w:bodyDiv w:val="1"/>
      <w:marLeft w:val="0"/>
      <w:marRight w:val="0"/>
      <w:marTop w:val="0"/>
      <w:marBottom w:val="0"/>
      <w:divBdr>
        <w:top w:val="none" w:sz="0" w:space="0" w:color="auto"/>
        <w:left w:val="none" w:sz="0" w:space="0" w:color="auto"/>
        <w:bottom w:val="none" w:sz="0" w:space="0" w:color="auto"/>
        <w:right w:val="none" w:sz="0" w:space="0" w:color="auto"/>
      </w:divBdr>
    </w:div>
    <w:div w:id="975178547">
      <w:bodyDiv w:val="1"/>
      <w:marLeft w:val="0"/>
      <w:marRight w:val="0"/>
      <w:marTop w:val="0"/>
      <w:marBottom w:val="0"/>
      <w:divBdr>
        <w:top w:val="none" w:sz="0" w:space="0" w:color="auto"/>
        <w:left w:val="none" w:sz="0" w:space="0" w:color="auto"/>
        <w:bottom w:val="none" w:sz="0" w:space="0" w:color="auto"/>
        <w:right w:val="none" w:sz="0" w:space="0" w:color="auto"/>
      </w:divBdr>
    </w:div>
    <w:div w:id="980616041">
      <w:bodyDiv w:val="1"/>
      <w:marLeft w:val="0"/>
      <w:marRight w:val="0"/>
      <w:marTop w:val="0"/>
      <w:marBottom w:val="0"/>
      <w:divBdr>
        <w:top w:val="none" w:sz="0" w:space="0" w:color="auto"/>
        <w:left w:val="none" w:sz="0" w:space="0" w:color="auto"/>
        <w:bottom w:val="none" w:sz="0" w:space="0" w:color="auto"/>
        <w:right w:val="none" w:sz="0" w:space="0" w:color="auto"/>
      </w:divBdr>
    </w:div>
    <w:div w:id="983894758">
      <w:bodyDiv w:val="1"/>
      <w:marLeft w:val="0"/>
      <w:marRight w:val="0"/>
      <w:marTop w:val="0"/>
      <w:marBottom w:val="0"/>
      <w:divBdr>
        <w:top w:val="none" w:sz="0" w:space="0" w:color="auto"/>
        <w:left w:val="none" w:sz="0" w:space="0" w:color="auto"/>
        <w:bottom w:val="none" w:sz="0" w:space="0" w:color="auto"/>
        <w:right w:val="none" w:sz="0" w:space="0" w:color="auto"/>
      </w:divBdr>
    </w:div>
    <w:div w:id="994646555">
      <w:bodyDiv w:val="1"/>
      <w:marLeft w:val="0"/>
      <w:marRight w:val="0"/>
      <w:marTop w:val="0"/>
      <w:marBottom w:val="0"/>
      <w:divBdr>
        <w:top w:val="none" w:sz="0" w:space="0" w:color="auto"/>
        <w:left w:val="none" w:sz="0" w:space="0" w:color="auto"/>
        <w:bottom w:val="none" w:sz="0" w:space="0" w:color="auto"/>
        <w:right w:val="none" w:sz="0" w:space="0" w:color="auto"/>
      </w:divBdr>
    </w:div>
    <w:div w:id="996495359">
      <w:bodyDiv w:val="1"/>
      <w:marLeft w:val="0"/>
      <w:marRight w:val="0"/>
      <w:marTop w:val="0"/>
      <w:marBottom w:val="0"/>
      <w:divBdr>
        <w:top w:val="none" w:sz="0" w:space="0" w:color="auto"/>
        <w:left w:val="none" w:sz="0" w:space="0" w:color="auto"/>
        <w:bottom w:val="none" w:sz="0" w:space="0" w:color="auto"/>
        <w:right w:val="none" w:sz="0" w:space="0" w:color="auto"/>
      </w:divBdr>
    </w:div>
    <w:div w:id="1008094325">
      <w:bodyDiv w:val="1"/>
      <w:marLeft w:val="0"/>
      <w:marRight w:val="0"/>
      <w:marTop w:val="0"/>
      <w:marBottom w:val="0"/>
      <w:divBdr>
        <w:top w:val="none" w:sz="0" w:space="0" w:color="auto"/>
        <w:left w:val="none" w:sz="0" w:space="0" w:color="auto"/>
        <w:bottom w:val="none" w:sz="0" w:space="0" w:color="auto"/>
        <w:right w:val="none" w:sz="0" w:space="0" w:color="auto"/>
      </w:divBdr>
    </w:div>
    <w:div w:id="1013264207">
      <w:bodyDiv w:val="1"/>
      <w:marLeft w:val="0"/>
      <w:marRight w:val="0"/>
      <w:marTop w:val="0"/>
      <w:marBottom w:val="0"/>
      <w:divBdr>
        <w:top w:val="none" w:sz="0" w:space="0" w:color="auto"/>
        <w:left w:val="none" w:sz="0" w:space="0" w:color="auto"/>
        <w:bottom w:val="none" w:sz="0" w:space="0" w:color="auto"/>
        <w:right w:val="none" w:sz="0" w:space="0" w:color="auto"/>
      </w:divBdr>
    </w:div>
    <w:div w:id="1036077003">
      <w:bodyDiv w:val="1"/>
      <w:marLeft w:val="0"/>
      <w:marRight w:val="0"/>
      <w:marTop w:val="0"/>
      <w:marBottom w:val="0"/>
      <w:divBdr>
        <w:top w:val="none" w:sz="0" w:space="0" w:color="auto"/>
        <w:left w:val="none" w:sz="0" w:space="0" w:color="auto"/>
        <w:bottom w:val="none" w:sz="0" w:space="0" w:color="auto"/>
        <w:right w:val="none" w:sz="0" w:space="0" w:color="auto"/>
      </w:divBdr>
    </w:div>
    <w:div w:id="1037700387">
      <w:bodyDiv w:val="1"/>
      <w:marLeft w:val="0"/>
      <w:marRight w:val="0"/>
      <w:marTop w:val="0"/>
      <w:marBottom w:val="0"/>
      <w:divBdr>
        <w:top w:val="none" w:sz="0" w:space="0" w:color="auto"/>
        <w:left w:val="none" w:sz="0" w:space="0" w:color="auto"/>
        <w:bottom w:val="none" w:sz="0" w:space="0" w:color="auto"/>
        <w:right w:val="none" w:sz="0" w:space="0" w:color="auto"/>
      </w:divBdr>
    </w:div>
    <w:div w:id="1038627378">
      <w:bodyDiv w:val="1"/>
      <w:marLeft w:val="0"/>
      <w:marRight w:val="0"/>
      <w:marTop w:val="0"/>
      <w:marBottom w:val="0"/>
      <w:divBdr>
        <w:top w:val="none" w:sz="0" w:space="0" w:color="auto"/>
        <w:left w:val="none" w:sz="0" w:space="0" w:color="auto"/>
        <w:bottom w:val="none" w:sz="0" w:space="0" w:color="auto"/>
        <w:right w:val="none" w:sz="0" w:space="0" w:color="auto"/>
      </w:divBdr>
    </w:div>
    <w:div w:id="1042754736">
      <w:bodyDiv w:val="1"/>
      <w:marLeft w:val="0"/>
      <w:marRight w:val="0"/>
      <w:marTop w:val="0"/>
      <w:marBottom w:val="0"/>
      <w:divBdr>
        <w:top w:val="none" w:sz="0" w:space="0" w:color="auto"/>
        <w:left w:val="none" w:sz="0" w:space="0" w:color="auto"/>
        <w:bottom w:val="none" w:sz="0" w:space="0" w:color="auto"/>
        <w:right w:val="none" w:sz="0" w:space="0" w:color="auto"/>
      </w:divBdr>
    </w:div>
    <w:div w:id="1047030653">
      <w:bodyDiv w:val="1"/>
      <w:marLeft w:val="0"/>
      <w:marRight w:val="0"/>
      <w:marTop w:val="0"/>
      <w:marBottom w:val="0"/>
      <w:divBdr>
        <w:top w:val="none" w:sz="0" w:space="0" w:color="auto"/>
        <w:left w:val="none" w:sz="0" w:space="0" w:color="auto"/>
        <w:bottom w:val="none" w:sz="0" w:space="0" w:color="auto"/>
        <w:right w:val="none" w:sz="0" w:space="0" w:color="auto"/>
      </w:divBdr>
    </w:div>
    <w:div w:id="1047491843">
      <w:bodyDiv w:val="1"/>
      <w:marLeft w:val="0"/>
      <w:marRight w:val="0"/>
      <w:marTop w:val="0"/>
      <w:marBottom w:val="0"/>
      <w:divBdr>
        <w:top w:val="none" w:sz="0" w:space="0" w:color="auto"/>
        <w:left w:val="none" w:sz="0" w:space="0" w:color="auto"/>
        <w:bottom w:val="none" w:sz="0" w:space="0" w:color="auto"/>
        <w:right w:val="none" w:sz="0" w:space="0" w:color="auto"/>
      </w:divBdr>
    </w:div>
    <w:div w:id="1073042887">
      <w:bodyDiv w:val="1"/>
      <w:marLeft w:val="0"/>
      <w:marRight w:val="0"/>
      <w:marTop w:val="0"/>
      <w:marBottom w:val="0"/>
      <w:divBdr>
        <w:top w:val="none" w:sz="0" w:space="0" w:color="auto"/>
        <w:left w:val="none" w:sz="0" w:space="0" w:color="auto"/>
        <w:bottom w:val="none" w:sz="0" w:space="0" w:color="auto"/>
        <w:right w:val="none" w:sz="0" w:space="0" w:color="auto"/>
      </w:divBdr>
    </w:div>
    <w:div w:id="1081368711">
      <w:bodyDiv w:val="1"/>
      <w:marLeft w:val="0"/>
      <w:marRight w:val="0"/>
      <w:marTop w:val="0"/>
      <w:marBottom w:val="0"/>
      <w:divBdr>
        <w:top w:val="none" w:sz="0" w:space="0" w:color="auto"/>
        <w:left w:val="none" w:sz="0" w:space="0" w:color="auto"/>
        <w:bottom w:val="none" w:sz="0" w:space="0" w:color="auto"/>
        <w:right w:val="none" w:sz="0" w:space="0" w:color="auto"/>
      </w:divBdr>
    </w:div>
    <w:div w:id="1090396487">
      <w:bodyDiv w:val="1"/>
      <w:marLeft w:val="0"/>
      <w:marRight w:val="0"/>
      <w:marTop w:val="0"/>
      <w:marBottom w:val="0"/>
      <w:divBdr>
        <w:top w:val="none" w:sz="0" w:space="0" w:color="auto"/>
        <w:left w:val="none" w:sz="0" w:space="0" w:color="auto"/>
        <w:bottom w:val="none" w:sz="0" w:space="0" w:color="auto"/>
        <w:right w:val="none" w:sz="0" w:space="0" w:color="auto"/>
      </w:divBdr>
    </w:div>
    <w:div w:id="1092975577">
      <w:bodyDiv w:val="1"/>
      <w:marLeft w:val="0"/>
      <w:marRight w:val="0"/>
      <w:marTop w:val="0"/>
      <w:marBottom w:val="0"/>
      <w:divBdr>
        <w:top w:val="none" w:sz="0" w:space="0" w:color="auto"/>
        <w:left w:val="none" w:sz="0" w:space="0" w:color="auto"/>
        <w:bottom w:val="none" w:sz="0" w:space="0" w:color="auto"/>
        <w:right w:val="none" w:sz="0" w:space="0" w:color="auto"/>
      </w:divBdr>
    </w:div>
    <w:div w:id="1113011368">
      <w:bodyDiv w:val="1"/>
      <w:marLeft w:val="0"/>
      <w:marRight w:val="0"/>
      <w:marTop w:val="0"/>
      <w:marBottom w:val="0"/>
      <w:divBdr>
        <w:top w:val="none" w:sz="0" w:space="0" w:color="auto"/>
        <w:left w:val="none" w:sz="0" w:space="0" w:color="auto"/>
        <w:bottom w:val="none" w:sz="0" w:space="0" w:color="auto"/>
        <w:right w:val="none" w:sz="0" w:space="0" w:color="auto"/>
      </w:divBdr>
    </w:div>
    <w:div w:id="1118450565">
      <w:bodyDiv w:val="1"/>
      <w:marLeft w:val="0"/>
      <w:marRight w:val="0"/>
      <w:marTop w:val="0"/>
      <w:marBottom w:val="0"/>
      <w:divBdr>
        <w:top w:val="none" w:sz="0" w:space="0" w:color="auto"/>
        <w:left w:val="none" w:sz="0" w:space="0" w:color="auto"/>
        <w:bottom w:val="none" w:sz="0" w:space="0" w:color="auto"/>
        <w:right w:val="none" w:sz="0" w:space="0" w:color="auto"/>
      </w:divBdr>
    </w:div>
    <w:div w:id="1121798131">
      <w:bodyDiv w:val="1"/>
      <w:marLeft w:val="0"/>
      <w:marRight w:val="0"/>
      <w:marTop w:val="0"/>
      <w:marBottom w:val="0"/>
      <w:divBdr>
        <w:top w:val="none" w:sz="0" w:space="0" w:color="auto"/>
        <w:left w:val="none" w:sz="0" w:space="0" w:color="auto"/>
        <w:bottom w:val="none" w:sz="0" w:space="0" w:color="auto"/>
        <w:right w:val="none" w:sz="0" w:space="0" w:color="auto"/>
      </w:divBdr>
    </w:div>
    <w:div w:id="1128205271">
      <w:bodyDiv w:val="1"/>
      <w:marLeft w:val="0"/>
      <w:marRight w:val="0"/>
      <w:marTop w:val="0"/>
      <w:marBottom w:val="0"/>
      <w:divBdr>
        <w:top w:val="none" w:sz="0" w:space="0" w:color="auto"/>
        <w:left w:val="none" w:sz="0" w:space="0" w:color="auto"/>
        <w:bottom w:val="none" w:sz="0" w:space="0" w:color="auto"/>
        <w:right w:val="none" w:sz="0" w:space="0" w:color="auto"/>
      </w:divBdr>
    </w:div>
    <w:div w:id="1128360464">
      <w:bodyDiv w:val="1"/>
      <w:marLeft w:val="0"/>
      <w:marRight w:val="0"/>
      <w:marTop w:val="0"/>
      <w:marBottom w:val="0"/>
      <w:divBdr>
        <w:top w:val="none" w:sz="0" w:space="0" w:color="auto"/>
        <w:left w:val="none" w:sz="0" w:space="0" w:color="auto"/>
        <w:bottom w:val="none" w:sz="0" w:space="0" w:color="auto"/>
        <w:right w:val="none" w:sz="0" w:space="0" w:color="auto"/>
      </w:divBdr>
    </w:div>
    <w:div w:id="1134522719">
      <w:bodyDiv w:val="1"/>
      <w:marLeft w:val="0"/>
      <w:marRight w:val="0"/>
      <w:marTop w:val="0"/>
      <w:marBottom w:val="0"/>
      <w:divBdr>
        <w:top w:val="none" w:sz="0" w:space="0" w:color="auto"/>
        <w:left w:val="none" w:sz="0" w:space="0" w:color="auto"/>
        <w:bottom w:val="none" w:sz="0" w:space="0" w:color="auto"/>
        <w:right w:val="none" w:sz="0" w:space="0" w:color="auto"/>
      </w:divBdr>
    </w:div>
    <w:div w:id="1136338527">
      <w:bodyDiv w:val="1"/>
      <w:marLeft w:val="0"/>
      <w:marRight w:val="0"/>
      <w:marTop w:val="0"/>
      <w:marBottom w:val="0"/>
      <w:divBdr>
        <w:top w:val="none" w:sz="0" w:space="0" w:color="auto"/>
        <w:left w:val="none" w:sz="0" w:space="0" w:color="auto"/>
        <w:bottom w:val="none" w:sz="0" w:space="0" w:color="auto"/>
        <w:right w:val="none" w:sz="0" w:space="0" w:color="auto"/>
      </w:divBdr>
    </w:div>
    <w:div w:id="1146510206">
      <w:bodyDiv w:val="1"/>
      <w:marLeft w:val="0"/>
      <w:marRight w:val="0"/>
      <w:marTop w:val="0"/>
      <w:marBottom w:val="0"/>
      <w:divBdr>
        <w:top w:val="none" w:sz="0" w:space="0" w:color="auto"/>
        <w:left w:val="none" w:sz="0" w:space="0" w:color="auto"/>
        <w:bottom w:val="none" w:sz="0" w:space="0" w:color="auto"/>
        <w:right w:val="none" w:sz="0" w:space="0" w:color="auto"/>
      </w:divBdr>
    </w:div>
    <w:div w:id="1177698405">
      <w:bodyDiv w:val="1"/>
      <w:marLeft w:val="0"/>
      <w:marRight w:val="0"/>
      <w:marTop w:val="0"/>
      <w:marBottom w:val="0"/>
      <w:divBdr>
        <w:top w:val="none" w:sz="0" w:space="0" w:color="auto"/>
        <w:left w:val="none" w:sz="0" w:space="0" w:color="auto"/>
        <w:bottom w:val="none" w:sz="0" w:space="0" w:color="auto"/>
        <w:right w:val="none" w:sz="0" w:space="0" w:color="auto"/>
      </w:divBdr>
    </w:div>
    <w:div w:id="1188299629">
      <w:bodyDiv w:val="1"/>
      <w:marLeft w:val="0"/>
      <w:marRight w:val="0"/>
      <w:marTop w:val="0"/>
      <w:marBottom w:val="0"/>
      <w:divBdr>
        <w:top w:val="none" w:sz="0" w:space="0" w:color="auto"/>
        <w:left w:val="none" w:sz="0" w:space="0" w:color="auto"/>
        <w:bottom w:val="none" w:sz="0" w:space="0" w:color="auto"/>
        <w:right w:val="none" w:sz="0" w:space="0" w:color="auto"/>
      </w:divBdr>
    </w:div>
    <w:div w:id="1188520632">
      <w:bodyDiv w:val="1"/>
      <w:marLeft w:val="0"/>
      <w:marRight w:val="0"/>
      <w:marTop w:val="0"/>
      <w:marBottom w:val="0"/>
      <w:divBdr>
        <w:top w:val="none" w:sz="0" w:space="0" w:color="auto"/>
        <w:left w:val="none" w:sz="0" w:space="0" w:color="auto"/>
        <w:bottom w:val="none" w:sz="0" w:space="0" w:color="auto"/>
        <w:right w:val="none" w:sz="0" w:space="0" w:color="auto"/>
      </w:divBdr>
    </w:div>
    <w:div w:id="1194345106">
      <w:bodyDiv w:val="1"/>
      <w:marLeft w:val="0"/>
      <w:marRight w:val="0"/>
      <w:marTop w:val="0"/>
      <w:marBottom w:val="0"/>
      <w:divBdr>
        <w:top w:val="none" w:sz="0" w:space="0" w:color="auto"/>
        <w:left w:val="none" w:sz="0" w:space="0" w:color="auto"/>
        <w:bottom w:val="none" w:sz="0" w:space="0" w:color="auto"/>
        <w:right w:val="none" w:sz="0" w:space="0" w:color="auto"/>
      </w:divBdr>
    </w:div>
    <w:div w:id="1200244889">
      <w:bodyDiv w:val="1"/>
      <w:marLeft w:val="0"/>
      <w:marRight w:val="0"/>
      <w:marTop w:val="0"/>
      <w:marBottom w:val="0"/>
      <w:divBdr>
        <w:top w:val="none" w:sz="0" w:space="0" w:color="auto"/>
        <w:left w:val="none" w:sz="0" w:space="0" w:color="auto"/>
        <w:bottom w:val="none" w:sz="0" w:space="0" w:color="auto"/>
        <w:right w:val="none" w:sz="0" w:space="0" w:color="auto"/>
      </w:divBdr>
    </w:div>
    <w:div w:id="1205823891">
      <w:bodyDiv w:val="1"/>
      <w:marLeft w:val="0"/>
      <w:marRight w:val="0"/>
      <w:marTop w:val="0"/>
      <w:marBottom w:val="0"/>
      <w:divBdr>
        <w:top w:val="none" w:sz="0" w:space="0" w:color="auto"/>
        <w:left w:val="none" w:sz="0" w:space="0" w:color="auto"/>
        <w:bottom w:val="none" w:sz="0" w:space="0" w:color="auto"/>
        <w:right w:val="none" w:sz="0" w:space="0" w:color="auto"/>
      </w:divBdr>
    </w:div>
    <w:div w:id="1208376105">
      <w:bodyDiv w:val="1"/>
      <w:marLeft w:val="0"/>
      <w:marRight w:val="0"/>
      <w:marTop w:val="0"/>
      <w:marBottom w:val="0"/>
      <w:divBdr>
        <w:top w:val="none" w:sz="0" w:space="0" w:color="auto"/>
        <w:left w:val="none" w:sz="0" w:space="0" w:color="auto"/>
        <w:bottom w:val="none" w:sz="0" w:space="0" w:color="auto"/>
        <w:right w:val="none" w:sz="0" w:space="0" w:color="auto"/>
      </w:divBdr>
    </w:div>
    <w:div w:id="1213809994">
      <w:bodyDiv w:val="1"/>
      <w:marLeft w:val="0"/>
      <w:marRight w:val="0"/>
      <w:marTop w:val="0"/>
      <w:marBottom w:val="0"/>
      <w:divBdr>
        <w:top w:val="none" w:sz="0" w:space="0" w:color="auto"/>
        <w:left w:val="none" w:sz="0" w:space="0" w:color="auto"/>
        <w:bottom w:val="none" w:sz="0" w:space="0" w:color="auto"/>
        <w:right w:val="none" w:sz="0" w:space="0" w:color="auto"/>
      </w:divBdr>
    </w:div>
    <w:div w:id="1217201966">
      <w:bodyDiv w:val="1"/>
      <w:marLeft w:val="0"/>
      <w:marRight w:val="0"/>
      <w:marTop w:val="0"/>
      <w:marBottom w:val="0"/>
      <w:divBdr>
        <w:top w:val="none" w:sz="0" w:space="0" w:color="auto"/>
        <w:left w:val="none" w:sz="0" w:space="0" w:color="auto"/>
        <w:bottom w:val="none" w:sz="0" w:space="0" w:color="auto"/>
        <w:right w:val="none" w:sz="0" w:space="0" w:color="auto"/>
      </w:divBdr>
    </w:div>
    <w:div w:id="1221870313">
      <w:bodyDiv w:val="1"/>
      <w:marLeft w:val="0"/>
      <w:marRight w:val="0"/>
      <w:marTop w:val="0"/>
      <w:marBottom w:val="0"/>
      <w:divBdr>
        <w:top w:val="none" w:sz="0" w:space="0" w:color="auto"/>
        <w:left w:val="none" w:sz="0" w:space="0" w:color="auto"/>
        <w:bottom w:val="none" w:sz="0" w:space="0" w:color="auto"/>
        <w:right w:val="none" w:sz="0" w:space="0" w:color="auto"/>
      </w:divBdr>
    </w:div>
    <w:div w:id="1225025420">
      <w:bodyDiv w:val="1"/>
      <w:marLeft w:val="0"/>
      <w:marRight w:val="0"/>
      <w:marTop w:val="0"/>
      <w:marBottom w:val="0"/>
      <w:divBdr>
        <w:top w:val="none" w:sz="0" w:space="0" w:color="auto"/>
        <w:left w:val="none" w:sz="0" w:space="0" w:color="auto"/>
        <w:bottom w:val="none" w:sz="0" w:space="0" w:color="auto"/>
        <w:right w:val="none" w:sz="0" w:space="0" w:color="auto"/>
      </w:divBdr>
    </w:div>
    <w:div w:id="1227959540">
      <w:bodyDiv w:val="1"/>
      <w:marLeft w:val="0"/>
      <w:marRight w:val="0"/>
      <w:marTop w:val="0"/>
      <w:marBottom w:val="0"/>
      <w:divBdr>
        <w:top w:val="none" w:sz="0" w:space="0" w:color="auto"/>
        <w:left w:val="none" w:sz="0" w:space="0" w:color="auto"/>
        <w:bottom w:val="none" w:sz="0" w:space="0" w:color="auto"/>
        <w:right w:val="none" w:sz="0" w:space="0" w:color="auto"/>
      </w:divBdr>
    </w:div>
    <w:div w:id="1229415449">
      <w:bodyDiv w:val="1"/>
      <w:marLeft w:val="0"/>
      <w:marRight w:val="0"/>
      <w:marTop w:val="0"/>
      <w:marBottom w:val="0"/>
      <w:divBdr>
        <w:top w:val="none" w:sz="0" w:space="0" w:color="auto"/>
        <w:left w:val="none" w:sz="0" w:space="0" w:color="auto"/>
        <w:bottom w:val="none" w:sz="0" w:space="0" w:color="auto"/>
        <w:right w:val="none" w:sz="0" w:space="0" w:color="auto"/>
      </w:divBdr>
    </w:div>
    <w:div w:id="1236016460">
      <w:bodyDiv w:val="1"/>
      <w:marLeft w:val="0"/>
      <w:marRight w:val="0"/>
      <w:marTop w:val="0"/>
      <w:marBottom w:val="0"/>
      <w:divBdr>
        <w:top w:val="none" w:sz="0" w:space="0" w:color="auto"/>
        <w:left w:val="none" w:sz="0" w:space="0" w:color="auto"/>
        <w:bottom w:val="none" w:sz="0" w:space="0" w:color="auto"/>
        <w:right w:val="none" w:sz="0" w:space="0" w:color="auto"/>
      </w:divBdr>
    </w:div>
    <w:div w:id="1252424693">
      <w:bodyDiv w:val="1"/>
      <w:marLeft w:val="0"/>
      <w:marRight w:val="0"/>
      <w:marTop w:val="0"/>
      <w:marBottom w:val="0"/>
      <w:divBdr>
        <w:top w:val="none" w:sz="0" w:space="0" w:color="auto"/>
        <w:left w:val="none" w:sz="0" w:space="0" w:color="auto"/>
        <w:bottom w:val="none" w:sz="0" w:space="0" w:color="auto"/>
        <w:right w:val="none" w:sz="0" w:space="0" w:color="auto"/>
      </w:divBdr>
    </w:div>
    <w:div w:id="1256282302">
      <w:bodyDiv w:val="1"/>
      <w:marLeft w:val="0"/>
      <w:marRight w:val="0"/>
      <w:marTop w:val="0"/>
      <w:marBottom w:val="0"/>
      <w:divBdr>
        <w:top w:val="none" w:sz="0" w:space="0" w:color="auto"/>
        <w:left w:val="none" w:sz="0" w:space="0" w:color="auto"/>
        <w:bottom w:val="none" w:sz="0" w:space="0" w:color="auto"/>
        <w:right w:val="none" w:sz="0" w:space="0" w:color="auto"/>
      </w:divBdr>
    </w:div>
    <w:div w:id="1262420010">
      <w:bodyDiv w:val="1"/>
      <w:marLeft w:val="0"/>
      <w:marRight w:val="0"/>
      <w:marTop w:val="0"/>
      <w:marBottom w:val="0"/>
      <w:divBdr>
        <w:top w:val="none" w:sz="0" w:space="0" w:color="auto"/>
        <w:left w:val="none" w:sz="0" w:space="0" w:color="auto"/>
        <w:bottom w:val="none" w:sz="0" w:space="0" w:color="auto"/>
        <w:right w:val="none" w:sz="0" w:space="0" w:color="auto"/>
      </w:divBdr>
    </w:div>
    <w:div w:id="1263030201">
      <w:bodyDiv w:val="1"/>
      <w:marLeft w:val="0"/>
      <w:marRight w:val="0"/>
      <w:marTop w:val="0"/>
      <w:marBottom w:val="0"/>
      <w:divBdr>
        <w:top w:val="none" w:sz="0" w:space="0" w:color="auto"/>
        <w:left w:val="none" w:sz="0" w:space="0" w:color="auto"/>
        <w:bottom w:val="none" w:sz="0" w:space="0" w:color="auto"/>
        <w:right w:val="none" w:sz="0" w:space="0" w:color="auto"/>
      </w:divBdr>
    </w:div>
    <w:div w:id="1267886571">
      <w:bodyDiv w:val="1"/>
      <w:marLeft w:val="0"/>
      <w:marRight w:val="0"/>
      <w:marTop w:val="0"/>
      <w:marBottom w:val="0"/>
      <w:divBdr>
        <w:top w:val="none" w:sz="0" w:space="0" w:color="auto"/>
        <w:left w:val="none" w:sz="0" w:space="0" w:color="auto"/>
        <w:bottom w:val="none" w:sz="0" w:space="0" w:color="auto"/>
        <w:right w:val="none" w:sz="0" w:space="0" w:color="auto"/>
      </w:divBdr>
    </w:div>
    <w:div w:id="1302804789">
      <w:bodyDiv w:val="1"/>
      <w:marLeft w:val="0"/>
      <w:marRight w:val="0"/>
      <w:marTop w:val="0"/>
      <w:marBottom w:val="0"/>
      <w:divBdr>
        <w:top w:val="none" w:sz="0" w:space="0" w:color="auto"/>
        <w:left w:val="none" w:sz="0" w:space="0" w:color="auto"/>
        <w:bottom w:val="none" w:sz="0" w:space="0" w:color="auto"/>
        <w:right w:val="none" w:sz="0" w:space="0" w:color="auto"/>
      </w:divBdr>
    </w:div>
    <w:div w:id="1305699529">
      <w:bodyDiv w:val="1"/>
      <w:marLeft w:val="0"/>
      <w:marRight w:val="0"/>
      <w:marTop w:val="0"/>
      <w:marBottom w:val="0"/>
      <w:divBdr>
        <w:top w:val="none" w:sz="0" w:space="0" w:color="auto"/>
        <w:left w:val="none" w:sz="0" w:space="0" w:color="auto"/>
        <w:bottom w:val="none" w:sz="0" w:space="0" w:color="auto"/>
        <w:right w:val="none" w:sz="0" w:space="0" w:color="auto"/>
      </w:divBdr>
    </w:div>
    <w:div w:id="1323774977">
      <w:bodyDiv w:val="1"/>
      <w:marLeft w:val="0"/>
      <w:marRight w:val="0"/>
      <w:marTop w:val="0"/>
      <w:marBottom w:val="0"/>
      <w:divBdr>
        <w:top w:val="none" w:sz="0" w:space="0" w:color="auto"/>
        <w:left w:val="none" w:sz="0" w:space="0" w:color="auto"/>
        <w:bottom w:val="none" w:sz="0" w:space="0" w:color="auto"/>
        <w:right w:val="none" w:sz="0" w:space="0" w:color="auto"/>
      </w:divBdr>
    </w:div>
    <w:div w:id="1326978647">
      <w:bodyDiv w:val="1"/>
      <w:marLeft w:val="0"/>
      <w:marRight w:val="0"/>
      <w:marTop w:val="0"/>
      <w:marBottom w:val="0"/>
      <w:divBdr>
        <w:top w:val="none" w:sz="0" w:space="0" w:color="auto"/>
        <w:left w:val="none" w:sz="0" w:space="0" w:color="auto"/>
        <w:bottom w:val="none" w:sz="0" w:space="0" w:color="auto"/>
        <w:right w:val="none" w:sz="0" w:space="0" w:color="auto"/>
      </w:divBdr>
    </w:div>
    <w:div w:id="1336804591">
      <w:bodyDiv w:val="1"/>
      <w:marLeft w:val="0"/>
      <w:marRight w:val="0"/>
      <w:marTop w:val="0"/>
      <w:marBottom w:val="0"/>
      <w:divBdr>
        <w:top w:val="none" w:sz="0" w:space="0" w:color="auto"/>
        <w:left w:val="none" w:sz="0" w:space="0" w:color="auto"/>
        <w:bottom w:val="none" w:sz="0" w:space="0" w:color="auto"/>
        <w:right w:val="none" w:sz="0" w:space="0" w:color="auto"/>
      </w:divBdr>
    </w:div>
    <w:div w:id="1342783172">
      <w:bodyDiv w:val="1"/>
      <w:marLeft w:val="0"/>
      <w:marRight w:val="0"/>
      <w:marTop w:val="0"/>
      <w:marBottom w:val="0"/>
      <w:divBdr>
        <w:top w:val="none" w:sz="0" w:space="0" w:color="auto"/>
        <w:left w:val="none" w:sz="0" w:space="0" w:color="auto"/>
        <w:bottom w:val="none" w:sz="0" w:space="0" w:color="auto"/>
        <w:right w:val="none" w:sz="0" w:space="0" w:color="auto"/>
      </w:divBdr>
    </w:div>
    <w:div w:id="1352294771">
      <w:bodyDiv w:val="1"/>
      <w:marLeft w:val="0"/>
      <w:marRight w:val="0"/>
      <w:marTop w:val="0"/>
      <w:marBottom w:val="0"/>
      <w:divBdr>
        <w:top w:val="none" w:sz="0" w:space="0" w:color="auto"/>
        <w:left w:val="none" w:sz="0" w:space="0" w:color="auto"/>
        <w:bottom w:val="none" w:sz="0" w:space="0" w:color="auto"/>
        <w:right w:val="none" w:sz="0" w:space="0" w:color="auto"/>
      </w:divBdr>
    </w:div>
    <w:div w:id="1356035038">
      <w:bodyDiv w:val="1"/>
      <w:marLeft w:val="0"/>
      <w:marRight w:val="0"/>
      <w:marTop w:val="0"/>
      <w:marBottom w:val="0"/>
      <w:divBdr>
        <w:top w:val="none" w:sz="0" w:space="0" w:color="auto"/>
        <w:left w:val="none" w:sz="0" w:space="0" w:color="auto"/>
        <w:bottom w:val="none" w:sz="0" w:space="0" w:color="auto"/>
        <w:right w:val="none" w:sz="0" w:space="0" w:color="auto"/>
      </w:divBdr>
    </w:div>
    <w:div w:id="1371103088">
      <w:bodyDiv w:val="1"/>
      <w:marLeft w:val="0"/>
      <w:marRight w:val="0"/>
      <w:marTop w:val="0"/>
      <w:marBottom w:val="0"/>
      <w:divBdr>
        <w:top w:val="none" w:sz="0" w:space="0" w:color="auto"/>
        <w:left w:val="none" w:sz="0" w:space="0" w:color="auto"/>
        <w:bottom w:val="none" w:sz="0" w:space="0" w:color="auto"/>
        <w:right w:val="none" w:sz="0" w:space="0" w:color="auto"/>
      </w:divBdr>
    </w:div>
    <w:div w:id="1400397888">
      <w:bodyDiv w:val="1"/>
      <w:marLeft w:val="0"/>
      <w:marRight w:val="0"/>
      <w:marTop w:val="0"/>
      <w:marBottom w:val="0"/>
      <w:divBdr>
        <w:top w:val="none" w:sz="0" w:space="0" w:color="auto"/>
        <w:left w:val="none" w:sz="0" w:space="0" w:color="auto"/>
        <w:bottom w:val="none" w:sz="0" w:space="0" w:color="auto"/>
        <w:right w:val="none" w:sz="0" w:space="0" w:color="auto"/>
      </w:divBdr>
    </w:div>
    <w:div w:id="1405878399">
      <w:bodyDiv w:val="1"/>
      <w:marLeft w:val="0"/>
      <w:marRight w:val="0"/>
      <w:marTop w:val="0"/>
      <w:marBottom w:val="0"/>
      <w:divBdr>
        <w:top w:val="none" w:sz="0" w:space="0" w:color="auto"/>
        <w:left w:val="none" w:sz="0" w:space="0" w:color="auto"/>
        <w:bottom w:val="none" w:sz="0" w:space="0" w:color="auto"/>
        <w:right w:val="none" w:sz="0" w:space="0" w:color="auto"/>
      </w:divBdr>
    </w:div>
    <w:div w:id="1423642118">
      <w:bodyDiv w:val="1"/>
      <w:marLeft w:val="0"/>
      <w:marRight w:val="0"/>
      <w:marTop w:val="0"/>
      <w:marBottom w:val="0"/>
      <w:divBdr>
        <w:top w:val="none" w:sz="0" w:space="0" w:color="auto"/>
        <w:left w:val="none" w:sz="0" w:space="0" w:color="auto"/>
        <w:bottom w:val="none" w:sz="0" w:space="0" w:color="auto"/>
        <w:right w:val="none" w:sz="0" w:space="0" w:color="auto"/>
      </w:divBdr>
    </w:div>
    <w:div w:id="1436559792">
      <w:bodyDiv w:val="1"/>
      <w:marLeft w:val="0"/>
      <w:marRight w:val="0"/>
      <w:marTop w:val="0"/>
      <w:marBottom w:val="0"/>
      <w:divBdr>
        <w:top w:val="none" w:sz="0" w:space="0" w:color="auto"/>
        <w:left w:val="none" w:sz="0" w:space="0" w:color="auto"/>
        <w:bottom w:val="none" w:sz="0" w:space="0" w:color="auto"/>
        <w:right w:val="none" w:sz="0" w:space="0" w:color="auto"/>
      </w:divBdr>
    </w:div>
    <w:div w:id="1440031557">
      <w:bodyDiv w:val="1"/>
      <w:marLeft w:val="0"/>
      <w:marRight w:val="0"/>
      <w:marTop w:val="0"/>
      <w:marBottom w:val="0"/>
      <w:divBdr>
        <w:top w:val="none" w:sz="0" w:space="0" w:color="auto"/>
        <w:left w:val="none" w:sz="0" w:space="0" w:color="auto"/>
        <w:bottom w:val="none" w:sz="0" w:space="0" w:color="auto"/>
        <w:right w:val="none" w:sz="0" w:space="0" w:color="auto"/>
      </w:divBdr>
    </w:div>
    <w:div w:id="1443066191">
      <w:bodyDiv w:val="1"/>
      <w:marLeft w:val="0"/>
      <w:marRight w:val="0"/>
      <w:marTop w:val="0"/>
      <w:marBottom w:val="0"/>
      <w:divBdr>
        <w:top w:val="none" w:sz="0" w:space="0" w:color="auto"/>
        <w:left w:val="none" w:sz="0" w:space="0" w:color="auto"/>
        <w:bottom w:val="none" w:sz="0" w:space="0" w:color="auto"/>
        <w:right w:val="none" w:sz="0" w:space="0" w:color="auto"/>
      </w:divBdr>
    </w:div>
    <w:div w:id="1455560231">
      <w:bodyDiv w:val="1"/>
      <w:marLeft w:val="0"/>
      <w:marRight w:val="0"/>
      <w:marTop w:val="0"/>
      <w:marBottom w:val="0"/>
      <w:divBdr>
        <w:top w:val="none" w:sz="0" w:space="0" w:color="auto"/>
        <w:left w:val="none" w:sz="0" w:space="0" w:color="auto"/>
        <w:bottom w:val="none" w:sz="0" w:space="0" w:color="auto"/>
        <w:right w:val="none" w:sz="0" w:space="0" w:color="auto"/>
      </w:divBdr>
    </w:div>
    <w:div w:id="1476292056">
      <w:bodyDiv w:val="1"/>
      <w:marLeft w:val="0"/>
      <w:marRight w:val="0"/>
      <w:marTop w:val="0"/>
      <w:marBottom w:val="0"/>
      <w:divBdr>
        <w:top w:val="none" w:sz="0" w:space="0" w:color="auto"/>
        <w:left w:val="none" w:sz="0" w:space="0" w:color="auto"/>
        <w:bottom w:val="none" w:sz="0" w:space="0" w:color="auto"/>
        <w:right w:val="none" w:sz="0" w:space="0" w:color="auto"/>
      </w:divBdr>
    </w:div>
    <w:div w:id="1484353558">
      <w:bodyDiv w:val="1"/>
      <w:marLeft w:val="0"/>
      <w:marRight w:val="0"/>
      <w:marTop w:val="0"/>
      <w:marBottom w:val="0"/>
      <w:divBdr>
        <w:top w:val="none" w:sz="0" w:space="0" w:color="auto"/>
        <w:left w:val="none" w:sz="0" w:space="0" w:color="auto"/>
        <w:bottom w:val="none" w:sz="0" w:space="0" w:color="auto"/>
        <w:right w:val="none" w:sz="0" w:space="0" w:color="auto"/>
      </w:divBdr>
    </w:div>
    <w:div w:id="1485852460">
      <w:bodyDiv w:val="1"/>
      <w:marLeft w:val="0"/>
      <w:marRight w:val="0"/>
      <w:marTop w:val="0"/>
      <w:marBottom w:val="0"/>
      <w:divBdr>
        <w:top w:val="none" w:sz="0" w:space="0" w:color="auto"/>
        <w:left w:val="none" w:sz="0" w:space="0" w:color="auto"/>
        <w:bottom w:val="none" w:sz="0" w:space="0" w:color="auto"/>
        <w:right w:val="none" w:sz="0" w:space="0" w:color="auto"/>
      </w:divBdr>
    </w:div>
    <w:div w:id="1486360921">
      <w:bodyDiv w:val="1"/>
      <w:marLeft w:val="0"/>
      <w:marRight w:val="0"/>
      <w:marTop w:val="0"/>
      <w:marBottom w:val="0"/>
      <w:divBdr>
        <w:top w:val="none" w:sz="0" w:space="0" w:color="auto"/>
        <w:left w:val="none" w:sz="0" w:space="0" w:color="auto"/>
        <w:bottom w:val="none" w:sz="0" w:space="0" w:color="auto"/>
        <w:right w:val="none" w:sz="0" w:space="0" w:color="auto"/>
      </w:divBdr>
    </w:div>
    <w:div w:id="1493644568">
      <w:bodyDiv w:val="1"/>
      <w:marLeft w:val="0"/>
      <w:marRight w:val="0"/>
      <w:marTop w:val="0"/>
      <w:marBottom w:val="0"/>
      <w:divBdr>
        <w:top w:val="none" w:sz="0" w:space="0" w:color="auto"/>
        <w:left w:val="none" w:sz="0" w:space="0" w:color="auto"/>
        <w:bottom w:val="none" w:sz="0" w:space="0" w:color="auto"/>
        <w:right w:val="none" w:sz="0" w:space="0" w:color="auto"/>
      </w:divBdr>
    </w:div>
    <w:div w:id="1494564243">
      <w:bodyDiv w:val="1"/>
      <w:marLeft w:val="0"/>
      <w:marRight w:val="0"/>
      <w:marTop w:val="0"/>
      <w:marBottom w:val="0"/>
      <w:divBdr>
        <w:top w:val="none" w:sz="0" w:space="0" w:color="auto"/>
        <w:left w:val="none" w:sz="0" w:space="0" w:color="auto"/>
        <w:bottom w:val="none" w:sz="0" w:space="0" w:color="auto"/>
        <w:right w:val="none" w:sz="0" w:space="0" w:color="auto"/>
      </w:divBdr>
    </w:div>
    <w:div w:id="1497765807">
      <w:bodyDiv w:val="1"/>
      <w:marLeft w:val="0"/>
      <w:marRight w:val="0"/>
      <w:marTop w:val="0"/>
      <w:marBottom w:val="0"/>
      <w:divBdr>
        <w:top w:val="none" w:sz="0" w:space="0" w:color="auto"/>
        <w:left w:val="none" w:sz="0" w:space="0" w:color="auto"/>
        <w:bottom w:val="none" w:sz="0" w:space="0" w:color="auto"/>
        <w:right w:val="none" w:sz="0" w:space="0" w:color="auto"/>
      </w:divBdr>
    </w:div>
    <w:div w:id="1521241200">
      <w:bodyDiv w:val="1"/>
      <w:marLeft w:val="0"/>
      <w:marRight w:val="0"/>
      <w:marTop w:val="0"/>
      <w:marBottom w:val="0"/>
      <w:divBdr>
        <w:top w:val="none" w:sz="0" w:space="0" w:color="auto"/>
        <w:left w:val="none" w:sz="0" w:space="0" w:color="auto"/>
        <w:bottom w:val="none" w:sz="0" w:space="0" w:color="auto"/>
        <w:right w:val="none" w:sz="0" w:space="0" w:color="auto"/>
      </w:divBdr>
    </w:div>
    <w:div w:id="1523326155">
      <w:bodyDiv w:val="1"/>
      <w:marLeft w:val="0"/>
      <w:marRight w:val="0"/>
      <w:marTop w:val="0"/>
      <w:marBottom w:val="0"/>
      <w:divBdr>
        <w:top w:val="none" w:sz="0" w:space="0" w:color="auto"/>
        <w:left w:val="none" w:sz="0" w:space="0" w:color="auto"/>
        <w:bottom w:val="none" w:sz="0" w:space="0" w:color="auto"/>
        <w:right w:val="none" w:sz="0" w:space="0" w:color="auto"/>
      </w:divBdr>
    </w:div>
    <w:div w:id="1532036347">
      <w:bodyDiv w:val="1"/>
      <w:marLeft w:val="0"/>
      <w:marRight w:val="0"/>
      <w:marTop w:val="0"/>
      <w:marBottom w:val="0"/>
      <w:divBdr>
        <w:top w:val="none" w:sz="0" w:space="0" w:color="auto"/>
        <w:left w:val="none" w:sz="0" w:space="0" w:color="auto"/>
        <w:bottom w:val="none" w:sz="0" w:space="0" w:color="auto"/>
        <w:right w:val="none" w:sz="0" w:space="0" w:color="auto"/>
      </w:divBdr>
    </w:div>
    <w:div w:id="1538547444">
      <w:bodyDiv w:val="1"/>
      <w:marLeft w:val="0"/>
      <w:marRight w:val="0"/>
      <w:marTop w:val="0"/>
      <w:marBottom w:val="0"/>
      <w:divBdr>
        <w:top w:val="none" w:sz="0" w:space="0" w:color="auto"/>
        <w:left w:val="none" w:sz="0" w:space="0" w:color="auto"/>
        <w:bottom w:val="none" w:sz="0" w:space="0" w:color="auto"/>
        <w:right w:val="none" w:sz="0" w:space="0" w:color="auto"/>
      </w:divBdr>
    </w:div>
    <w:div w:id="1544051732">
      <w:bodyDiv w:val="1"/>
      <w:marLeft w:val="0"/>
      <w:marRight w:val="0"/>
      <w:marTop w:val="0"/>
      <w:marBottom w:val="0"/>
      <w:divBdr>
        <w:top w:val="none" w:sz="0" w:space="0" w:color="auto"/>
        <w:left w:val="none" w:sz="0" w:space="0" w:color="auto"/>
        <w:bottom w:val="none" w:sz="0" w:space="0" w:color="auto"/>
        <w:right w:val="none" w:sz="0" w:space="0" w:color="auto"/>
      </w:divBdr>
    </w:div>
    <w:div w:id="1545480205">
      <w:bodyDiv w:val="1"/>
      <w:marLeft w:val="0"/>
      <w:marRight w:val="0"/>
      <w:marTop w:val="0"/>
      <w:marBottom w:val="0"/>
      <w:divBdr>
        <w:top w:val="none" w:sz="0" w:space="0" w:color="auto"/>
        <w:left w:val="none" w:sz="0" w:space="0" w:color="auto"/>
        <w:bottom w:val="none" w:sz="0" w:space="0" w:color="auto"/>
        <w:right w:val="none" w:sz="0" w:space="0" w:color="auto"/>
      </w:divBdr>
    </w:div>
    <w:div w:id="1549955557">
      <w:bodyDiv w:val="1"/>
      <w:marLeft w:val="0"/>
      <w:marRight w:val="0"/>
      <w:marTop w:val="0"/>
      <w:marBottom w:val="0"/>
      <w:divBdr>
        <w:top w:val="none" w:sz="0" w:space="0" w:color="auto"/>
        <w:left w:val="none" w:sz="0" w:space="0" w:color="auto"/>
        <w:bottom w:val="none" w:sz="0" w:space="0" w:color="auto"/>
        <w:right w:val="none" w:sz="0" w:space="0" w:color="auto"/>
      </w:divBdr>
    </w:div>
    <w:div w:id="1558541631">
      <w:bodyDiv w:val="1"/>
      <w:marLeft w:val="0"/>
      <w:marRight w:val="0"/>
      <w:marTop w:val="0"/>
      <w:marBottom w:val="0"/>
      <w:divBdr>
        <w:top w:val="none" w:sz="0" w:space="0" w:color="auto"/>
        <w:left w:val="none" w:sz="0" w:space="0" w:color="auto"/>
        <w:bottom w:val="none" w:sz="0" w:space="0" w:color="auto"/>
        <w:right w:val="none" w:sz="0" w:space="0" w:color="auto"/>
      </w:divBdr>
    </w:div>
    <w:div w:id="1561134254">
      <w:bodyDiv w:val="1"/>
      <w:marLeft w:val="0"/>
      <w:marRight w:val="0"/>
      <w:marTop w:val="0"/>
      <w:marBottom w:val="0"/>
      <w:divBdr>
        <w:top w:val="none" w:sz="0" w:space="0" w:color="auto"/>
        <w:left w:val="none" w:sz="0" w:space="0" w:color="auto"/>
        <w:bottom w:val="none" w:sz="0" w:space="0" w:color="auto"/>
        <w:right w:val="none" w:sz="0" w:space="0" w:color="auto"/>
      </w:divBdr>
    </w:div>
    <w:div w:id="1575436829">
      <w:bodyDiv w:val="1"/>
      <w:marLeft w:val="0"/>
      <w:marRight w:val="0"/>
      <w:marTop w:val="0"/>
      <w:marBottom w:val="0"/>
      <w:divBdr>
        <w:top w:val="none" w:sz="0" w:space="0" w:color="auto"/>
        <w:left w:val="none" w:sz="0" w:space="0" w:color="auto"/>
        <w:bottom w:val="none" w:sz="0" w:space="0" w:color="auto"/>
        <w:right w:val="none" w:sz="0" w:space="0" w:color="auto"/>
      </w:divBdr>
    </w:div>
    <w:div w:id="1579092754">
      <w:bodyDiv w:val="1"/>
      <w:marLeft w:val="0"/>
      <w:marRight w:val="0"/>
      <w:marTop w:val="0"/>
      <w:marBottom w:val="0"/>
      <w:divBdr>
        <w:top w:val="none" w:sz="0" w:space="0" w:color="auto"/>
        <w:left w:val="none" w:sz="0" w:space="0" w:color="auto"/>
        <w:bottom w:val="none" w:sz="0" w:space="0" w:color="auto"/>
        <w:right w:val="none" w:sz="0" w:space="0" w:color="auto"/>
      </w:divBdr>
    </w:div>
    <w:div w:id="1583564020">
      <w:bodyDiv w:val="1"/>
      <w:marLeft w:val="0"/>
      <w:marRight w:val="0"/>
      <w:marTop w:val="0"/>
      <w:marBottom w:val="0"/>
      <w:divBdr>
        <w:top w:val="none" w:sz="0" w:space="0" w:color="auto"/>
        <w:left w:val="none" w:sz="0" w:space="0" w:color="auto"/>
        <w:bottom w:val="none" w:sz="0" w:space="0" w:color="auto"/>
        <w:right w:val="none" w:sz="0" w:space="0" w:color="auto"/>
      </w:divBdr>
    </w:div>
    <w:div w:id="1592153949">
      <w:bodyDiv w:val="1"/>
      <w:marLeft w:val="0"/>
      <w:marRight w:val="0"/>
      <w:marTop w:val="0"/>
      <w:marBottom w:val="0"/>
      <w:divBdr>
        <w:top w:val="none" w:sz="0" w:space="0" w:color="auto"/>
        <w:left w:val="none" w:sz="0" w:space="0" w:color="auto"/>
        <w:bottom w:val="none" w:sz="0" w:space="0" w:color="auto"/>
        <w:right w:val="none" w:sz="0" w:space="0" w:color="auto"/>
      </w:divBdr>
    </w:div>
    <w:div w:id="1601452616">
      <w:bodyDiv w:val="1"/>
      <w:marLeft w:val="0"/>
      <w:marRight w:val="0"/>
      <w:marTop w:val="0"/>
      <w:marBottom w:val="0"/>
      <w:divBdr>
        <w:top w:val="none" w:sz="0" w:space="0" w:color="auto"/>
        <w:left w:val="none" w:sz="0" w:space="0" w:color="auto"/>
        <w:bottom w:val="none" w:sz="0" w:space="0" w:color="auto"/>
        <w:right w:val="none" w:sz="0" w:space="0" w:color="auto"/>
      </w:divBdr>
    </w:div>
    <w:div w:id="1605648546">
      <w:bodyDiv w:val="1"/>
      <w:marLeft w:val="0"/>
      <w:marRight w:val="0"/>
      <w:marTop w:val="0"/>
      <w:marBottom w:val="0"/>
      <w:divBdr>
        <w:top w:val="none" w:sz="0" w:space="0" w:color="auto"/>
        <w:left w:val="none" w:sz="0" w:space="0" w:color="auto"/>
        <w:bottom w:val="none" w:sz="0" w:space="0" w:color="auto"/>
        <w:right w:val="none" w:sz="0" w:space="0" w:color="auto"/>
      </w:divBdr>
    </w:div>
    <w:div w:id="1606420935">
      <w:bodyDiv w:val="1"/>
      <w:marLeft w:val="0"/>
      <w:marRight w:val="0"/>
      <w:marTop w:val="0"/>
      <w:marBottom w:val="0"/>
      <w:divBdr>
        <w:top w:val="none" w:sz="0" w:space="0" w:color="auto"/>
        <w:left w:val="none" w:sz="0" w:space="0" w:color="auto"/>
        <w:bottom w:val="none" w:sz="0" w:space="0" w:color="auto"/>
        <w:right w:val="none" w:sz="0" w:space="0" w:color="auto"/>
      </w:divBdr>
    </w:div>
    <w:div w:id="1615672833">
      <w:bodyDiv w:val="1"/>
      <w:marLeft w:val="0"/>
      <w:marRight w:val="0"/>
      <w:marTop w:val="0"/>
      <w:marBottom w:val="0"/>
      <w:divBdr>
        <w:top w:val="none" w:sz="0" w:space="0" w:color="auto"/>
        <w:left w:val="none" w:sz="0" w:space="0" w:color="auto"/>
        <w:bottom w:val="none" w:sz="0" w:space="0" w:color="auto"/>
        <w:right w:val="none" w:sz="0" w:space="0" w:color="auto"/>
      </w:divBdr>
    </w:div>
    <w:div w:id="1629434921">
      <w:bodyDiv w:val="1"/>
      <w:marLeft w:val="0"/>
      <w:marRight w:val="0"/>
      <w:marTop w:val="0"/>
      <w:marBottom w:val="0"/>
      <w:divBdr>
        <w:top w:val="none" w:sz="0" w:space="0" w:color="auto"/>
        <w:left w:val="none" w:sz="0" w:space="0" w:color="auto"/>
        <w:bottom w:val="none" w:sz="0" w:space="0" w:color="auto"/>
        <w:right w:val="none" w:sz="0" w:space="0" w:color="auto"/>
      </w:divBdr>
    </w:div>
    <w:div w:id="1630162788">
      <w:bodyDiv w:val="1"/>
      <w:marLeft w:val="0"/>
      <w:marRight w:val="0"/>
      <w:marTop w:val="0"/>
      <w:marBottom w:val="0"/>
      <w:divBdr>
        <w:top w:val="none" w:sz="0" w:space="0" w:color="auto"/>
        <w:left w:val="none" w:sz="0" w:space="0" w:color="auto"/>
        <w:bottom w:val="none" w:sz="0" w:space="0" w:color="auto"/>
        <w:right w:val="none" w:sz="0" w:space="0" w:color="auto"/>
      </w:divBdr>
    </w:div>
    <w:div w:id="1638148926">
      <w:bodyDiv w:val="1"/>
      <w:marLeft w:val="0"/>
      <w:marRight w:val="0"/>
      <w:marTop w:val="0"/>
      <w:marBottom w:val="0"/>
      <w:divBdr>
        <w:top w:val="none" w:sz="0" w:space="0" w:color="auto"/>
        <w:left w:val="none" w:sz="0" w:space="0" w:color="auto"/>
        <w:bottom w:val="none" w:sz="0" w:space="0" w:color="auto"/>
        <w:right w:val="none" w:sz="0" w:space="0" w:color="auto"/>
      </w:divBdr>
    </w:div>
    <w:div w:id="1640572678">
      <w:bodyDiv w:val="1"/>
      <w:marLeft w:val="0"/>
      <w:marRight w:val="0"/>
      <w:marTop w:val="0"/>
      <w:marBottom w:val="0"/>
      <w:divBdr>
        <w:top w:val="none" w:sz="0" w:space="0" w:color="auto"/>
        <w:left w:val="none" w:sz="0" w:space="0" w:color="auto"/>
        <w:bottom w:val="none" w:sz="0" w:space="0" w:color="auto"/>
        <w:right w:val="none" w:sz="0" w:space="0" w:color="auto"/>
      </w:divBdr>
    </w:div>
    <w:div w:id="1643609525">
      <w:bodyDiv w:val="1"/>
      <w:marLeft w:val="0"/>
      <w:marRight w:val="0"/>
      <w:marTop w:val="0"/>
      <w:marBottom w:val="0"/>
      <w:divBdr>
        <w:top w:val="none" w:sz="0" w:space="0" w:color="auto"/>
        <w:left w:val="none" w:sz="0" w:space="0" w:color="auto"/>
        <w:bottom w:val="none" w:sz="0" w:space="0" w:color="auto"/>
        <w:right w:val="none" w:sz="0" w:space="0" w:color="auto"/>
      </w:divBdr>
    </w:div>
    <w:div w:id="1644195671">
      <w:bodyDiv w:val="1"/>
      <w:marLeft w:val="0"/>
      <w:marRight w:val="0"/>
      <w:marTop w:val="0"/>
      <w:marBottom w:val="0"/>
      <w:divBdr>
        <w:top w:val="none" w:sz="0" w:space="0" w:color="auto"/>
        <w:left w:val="none" w:sz="0" w:space="0" w:color="auto"/>
        <w:bottom w:val="none" w:sz="0" w:space="0" w:color="auto"/>
        <w:right w:val="none" w:sz="0" w:space="0" w:color="auto"/>
      </w:divBdr>
    </w:div>
    <w:div w:id="1669408598">
      <w:bodyDiv w:val="1"/>
      <w:marLeft w:val="0"/>
      <w:marRight w:val="0"/>
      <w:marTop w:val="0"/>
      <w:marBottom w:val="0"/>
      <w:divBdr>
        <w:top w:val="none" w:sz="0" w:space="0" w:color="auto"/>
        <w:left w:val="none" w:sz="0" w:space="0" w:color="auto"/>
        <w:bottom w:val="none" w:sz="0" w:space="0" w:color="auto"/>
        <w:right w:val="none" w:sz="0" w:space="0" w:color="auto"/>
      </w:divBdr>
    </w:div>
    <w:div w:id="1672373883">
      <w:bodyDiv w:val="1"/>
      <w:marLeft w:val="0"/>
      <w:marRight w:val="0"/>
      <w:marTop w:val="0"/>
      <w:marBottom w:val="0"/>
      <w:divBdr>
        <w:top w:val="none" w:sz="0" w:space="0" w:color="auto"/>
        <w:left w:val="none" w:sz="0" w:space="0" w:color="auto"/>
        <w:bottom w:val="none" w:sz="0" w:space="0" w:color="auto"/>
        <w:right w:val="none" w:sz="0" w:space="0" w:color="auto"/>
      </w:divBdr>
    </w:div>
    <w:div w:id="1685278393">
      <w:bodyDiv w:val="1"/>
      <w:marLeft w:val="0"/>
      <w:marRight w:val="0"/>
      <w:marTop w:val="0"/>
      <w:marBottom w:val="0"/>
      <w:divBdr>
        <w:top w:val="none" w:sz="0" w:space="0" w:color="auto"/>
        <w:left w:val="none" w:sz="0" w:space="0" w:color="auto"/>
        <w:bottom w:val="none" w:sz="0" w:space="0" w:color="auto"/>
        <w:right w:val="none" w:sz="0" w:space="0" w:color="auto"/>
      </w:divBdr>
    </w:div>
    <w:div w:id="1715035795">
      <w:bodyDiv w:val="1"/>
      <w:marLeft w:val="0"/>
      <w:marRight w:val="0"/>
      <w:marTop w:val="0"/>
      <w:marBottom w:val="0"/>
      <w:divBdr>
        <w:top w:val="none" w:sz="0" w:space="0" w:color="auto"/>
        <w:left w:val="none" w:sz="0" w:space="0" w:color="auto"/>
        <w:bottom w:val="none" w:sz="0" w:space="0" w:color="auto"/>
        <w:right w:val="none" w:sz="0" w:space="0" w:color="auto"/>
      </w:divBdr>
    </w:div>
    <w:div w:id="1715422675">
      <w:bodyDiv w:val="1"/>
      <w:marLeft w:val="0"/>
      <w:marRight w:val="0"/>
      <w:marTop w:val="0"/>
      <w:marBottom w:val="0"/>
      <w:divBdr>
        <w:top w:val="none" w:sz="0" w:space="0" w:color="auto"/>
        <w:left w:val="none" w:sz="0" w:space="0" w:color="auto"/>
        <w:bottom w:val="none" w:sz="0" w:space="0" w:color="auto"/>
        <w:right w:val="none" w:sz="0" w:space="0" w:color="auto"/>
      </w:divBdr>
    </w:div>
    <w:div w:id="1732147374">
      <w:bodyDiv w:val="1"/>
      <w:marLeft w:val="0"/>
      <w:marRight w:val="0"/>
      <w:marTop w:val="0"/>
      <w:marBottom w:val="0"/>
      <w:divBdr>
        <w:top w:val="none" w:sz="0" w:space="0" w:color="auto"/>
        <w:left w:val="none" w:sz="0" w:space="0" w:color="auto"/>
        <w:bottom w:val="none" w:sz="0" w:space="0" w:color="auto"/>
        <w:right w:val="none" w:sz="0" w:space="0" w:color="auto"/>
      </w:divBdr>
    </w:div>
    <w:div w:id="1734428751">
      <w:bodyDiv w:val="1"/>
      <w:marLeft w:val="0"/>
      <w:marRight w:val="0"/>
      <w:marTop w:val="0"/>
      <w:marBottom w:val="0"/>
      <w:divBdr>
        <w:top w:val="none" w:sz="0" w:space="0" w:color="auto"/>
        <w:left w:val="none" w:sz="0" w:space="0" w:color="auto"/>
        <w:bottom w:val="none" w:sz="0" w:space="0" w:color="auto"/>
        <w:right w:val="none" w:sz="0" w:space="0" w:color="auto"/>
      </w:divBdr>
    </w:div>
    <w:div w:id="1741169464">
      <w:bodyDiv w:val="1"/>
      <w:marLeft w:val="0"/>
      <w:marRight w:val="0"/>
      <w:marTop w:val="0"/>
      <w:marBottom w:val="0"/>
      <w:divBdr>
        <w:top w:val="none" w:sz="0" w:space="0" w:color="auto"/>
        <w:left w:val="none" w:sz="0" w:space="0" w:color="auto"/>
        <w:bottom w:val="none" w:sz="0" w:space="0" w:color="auto"/>
        <w:right w:val="none" w:sz="0" w:space="0" w:color="auto"/>
      </w:divBdr>
    </w:div>
    <w:div w:id="1744374680">
      <w:bodyDiv w:val="1"/>
      <w:marLeft w:val="0"/>
      <w:marRight w:val="0"/>
      <w:marTop w:val="0"/>
      <w:marBottom w:val="0"/>
      <w:divBdr>
        <w:top w:val="none" w:sz="0" w:space="0" w:color="auto"/>
        <w:left w:val="none" w:sz="0" w:space="0" w:color="auto"/>
        <w:bottom w:val="none" w:sz="0" w:space="0" w:color="auto"/>
        <w:right w:val="none" w:sz="0" w:space="0" w:color="auto"/>
      </w:divBdr>
    </w:div>
    <w:div w:id="1748073527">
      <w:bodyDiv w:val="1"/>
      <w:marLeft w:val="0"/>
      <w:marRight w:val="0"/>
      <w:marTop w:val="0"/>
      <w:marBottom w:val="0"/>
      <w:divBdr>
        <w:top w:val="none" w:sz="0" w:space="0" w:color="auto"/>
        <w:left w:val="none" w:sz="0" w:space="0" w:color="auto"/>
        <w:bottom w:val="none" w:sz="0" w:space="0" w:color="auto"/>
        <w:right w:val="none" w:sz="0" w:space="0" w:color="auto"/>
      </w:divBdr>
    </w:div>
    <w:div w:id="1771856832">
      <w:bodyDiv w:val="1"/>
      <w:marLeft w:val="0"/>
      <w:marRight w:val="0"/>
      <w:marTop w:val="0"/>
      <w:marBottom w:val="0"/>
      <w:divBdr>
        <w:top w:val="none" w:sz="0" w:space="0" w:color="auto"/>
        <w:left w:val="none" w:sz="0" w:space="0" w:color="auto"/>
        <w:bottom w:val="none" w:sz="0" w:space="0" w:color="auto"/>
        <w:right w:val="none" w:sz="0" w:space="0" w:color="auto"/>
      </w:divBdr>
    </w:div>
    <w:div w:id="1775006623">
      <w:bodyDiv w:val="1"/>
      <w:marLeft w:val="0"/>
      <w:marRight w:val="0"/>
      <w:marTop w:val="0"/>
      <w:marBottom w:val="0"/>
      <w:divBdr>
        <w:top w:val="none" w:sz="0" w:space="0" w:color="auto"/>
        <w:left w:val="none" w:sz="0" w:space="0" w:color="auto"/>
        <w:bottom w:val="none" w:sz="0" w:space="0" w:color="auto"/>
        <w:right w:val="none" w:sz="0" w:space="0" w:color="auto"/>
      </w:divBdr>
    </w:div>
    <w:div w:id="1784692374">
      <w:bodyDiv w:val="1"/>
      <w:marLeft w:val="0"/>
      <w:marRight w:val="0"/>
      <w:marTop w:val="0"/>
      <w:marBottom w:val="0"/>
      <w:divBdr>
        <w:top w:val="none" w:sz="0" w:space="0" w:color="auto"/>
        <w:left w:val="none" w:sz="0" w:space="0" w:color="auto"/>
        <w:bottom w:val="none" w:sz="0" w:space="0" w:color="auto"/>
        <w:right w:val="none" w:sz="0" w:space="0" w:color="auto"/>
      </w:divBdr>
    </w:div>
    <w:div w:id="1794396938">
      <w:bodyDiv w:val="1"/>
      <w:marLeft w:val="0"/>
      <w:marRight w:val="0"/>
      <w:marTop w:val="0"/>
      <w:marBottom w:val="0"/>
      <w:divBdr>
        <w:top w:val="none" w:sz="0" w:space="0" w:color="auto"/>
        <w:left w:val="none" w:sz="0" w:space="0" w:color="auto"/>
        <w:bottom w:val="none" w:sz="0" w:space="0" w:color="auto"/>
        <w:right w:val="none" w:sz="0" w:space="0" w:color="auto"/>
      </w:divBdr>
    </w:div>
    <w:div w:id="1801143234">
      <w:bodyDiv w:val="1"/>
      <w:marLeft w:val="0"/>
      <w:marRight w:val="0"/>
      <w:marTop w:val="0"/>
      <w:marBottom w:val="0"/>
      <w:divBdr>
        <w:top w:val="none" w:sz="0" w:space="0" w:color="auto"/>
        <w:left w:val="none" w:sz="0" w:space="0" w:color="auto"/>
        <w:bottom w:val="none" w:sz="0" w:space="0" w:color="auto"/>
        <w:right w:val="none" w:sz="0" w:space="0" w:color="auto"/>
      </w:divBdr>
    </w:div>
    <w:div w:id="1805925671">
      <w:bodyDiv w:val="1"/>
      <w:marLeft w:val="0"/>
      <w:marRight w:val="0"/>
      <w:marTop w:val="0"/>
      <w:marBottom w:val="0"/>
      <w:divBdr>
        <w:top w:val="none" w:sz="0" w:space="0" w:color="auto"/>
        <w:left w:val="none" w:sz="0" w:space="0" w:color="auto"/>
        <w:bottom w:val="none" w:sz="0" w:space="0" w:color="auto"/>
        <w:right w:val="none" w:sz="0" w:space="0" w:color="auto"/>
      </w:divBdr>
    </w:div>
    <w:div w:id="1808081099">
      <w:bodyDiv w:val="1"/>
      <w:marLeft w:val="0"/>
      <w:marRight w:val="0"/>
      <w:marTop w:val="0"/>
      <w:marBottom w:val="0"/>
      <w:divBdr>
        <w:top w:val="none" w:sz="0" w:space="0" w:color="auto"/>
        <w:left w:val="none" w:sz="0" w:space="0" w:color="auto"/>
        <w:bottom w:val="none" w:sz="0" w:space="0" w:color="auto"/>
        <w:right w:val="none" w:sz="0" w:space="0" w:color="auto"/>
      </w:divBdr>
    </w:div>
    <w:div w:id="1824154160">
      <w:bodyDiv w:val="1"/>
      <w:marLeft w:val="0"/>
      <w:marRight w:val="0"/>
      <w:marTop w:val="0"/>
      <w:marBottom w:val="0"/>
      <w:divBdr>
        <w:top w:val="none" w:sz="0" w:space="0" w:color="auto"/>
        <w:left w:val="none" w:sz="0" w:space="0" w:color="auto"/>
        <w:bottom w:val="none" w:sz="0" w:space="0" w:color="auto"/>
        <w:right w:val="none" w:sz="0" w:space="0" w:color="auto"/>
      </w:divBdr>
    </w:div>
    <w:div w:id="1827549016">
      <w:bodyDiv w:val="1"/>
      <w:marLeft w:val="0"/>
      <w:marRight w:val="0"/>
      <w:marTop w:val="0"/>
      <w:marBottom w:val="0"/>
      <w:divBdr>
        <w:top w:val="none" w:sz="0" w:space="0" w:color="auto"/>
        <w:left w:val="none" w:sz="0" w:space="0" w:color="auto"/>
        <w:bottom w:val="none" w:sz="0" w:space="0" w:color="auto"/>
        <w:right w:val="none" w:sz="0" w:space="0" w:color="auto"/>
      </w:divBdr>
    </w:div>
    <w:div w:id="1827623195">
      <w:bodyDiv w:val="1"/>
      <w:marLeft w:val="0"/>
      <w:marRight w:val="0"/>
      <w:marTop w:val="0"/>
      <w:marBottom w:val="0"/>
      <w:divBdr>
        <w:top w:val="none" w:sz="0" w:space="0" w:color="auto"/>
        <w:left w:val="none" w:sz="0" w:space="0" w:color="auto"/>
        <w:bottom w:val="none" w:sz="0" w:space="0" w:color="auto"/>
        <w:right w:val="none" w:sz="0" w:space="0" w:color="auto"/>
      </w:divBdr>
    </w:div>
    <w:div w:id="1828396768">
      <w:bodyDiv w:val="1"/>
      <w:marLeft w:val="0"/>
      <w:marRight w:val="0"/>
      <w:marTop w:val="0"/>
      <w:marBottom w:val="0"/>
      <w:divBdr>
        <w:top w:val="none" w:sz="0" w:space="0" w:color="auto"/>
        <w:left w:val="none" w:sz="0" w:space="0" w:color="auto"/>
        <w:bottom w:val="none" w:sz="0" w:space="0" w:color="auto"/>
        <w:right w:val="none" w:sz="0" w:space="0" w:color="auto"/>
      </w:divBdr>
    </w:div>
    <w:div w:id="1836141508">
      <w:bodyDiv w:val="1"/>
      <w:marLeft w:val="0"/>
      <w:marRight w:val="0"/>
      <w:marTop w:val="0"/>
      <w:marBottom w:val="0"/>
      <w:divBdr>
        <w:top w:val="none" w:sz="0" w:space="0" w:color="auto"/>
        <w:left w:val="none" w:sz="0" w:space="0" w:color="auto"/>
        <w:bottom w:val="none" w:sz="0" w:space="0" w:color="auto"/>
        <w:right w:val="none" w:sz="0" w:space="0" w:color="auto"/>
      </w:divBdr>
    </w:div>
    <w:div w:id="1847789703">
      <w:bodyDiv w:val="1"/>
      <w:marLeft w:val="0"/>
      <w:marRight w:val="0"/>
      <w:marTop w:val="0"/>
      <w:marBottom w:val="0"/>
      <w:divBdr>
        <w:top w:val="none" w:sz="0" w:space="0" w:color="auto"/>
        <w:left w:val="none" w:sz="0" w:space="0" w:color="auto"/>
        <w:bottom w:val="none" w:sz="0" w:space="0" w:color="auto"/>
        <w:right w:val="none" w:sz="0" w:space="0" w:color="auto"/>
      </w:divBdr>
    </w:div>
    <w:div w:id="1851488083">
      <w:bodyDiv w:val="1"/>
      <w:marLeft w:val="0"/>
      <w:marRight w:val="0"/>
      <w:marTop w:val="0"/>
      <w:marBottom w:val="0"/>
      <w:divBdr>
        <w:top w:val="none" w:sz="0" w:space="0" w:color="auto"/>
        <w:left w:val="none" w:sz="0" w:space="0" w:color="auto"/>
        <w:bottom w:val="none" w:sz="0" w:space="0" w:color="auto"/>
        <w:right w:val="none" w:sz="0" w:space="0" w:color="auto"/>
      </w:divBdr>
    </w:div>
    <w:div w:id="1852907971">
      <w:bodyDiv w:val="1"/>
      <w:marLeft w:val="0"/>
      <w:marRight w:val="0"/>
      <w:marTop w:val="0"/>
      <w:marBottom w:val="0"/>
      <w:divBdr>
        <w:top w:val="none" w:sz="0" w:space="0" w:color="auto"/>
        <w:left w:val="none" w:sz="0" w:space="0" w:color="auto"/>
        <w:bottom w:val="none" w:sz="0" w:space="0" w:color="auto"/>
        <w:right w:val="none" w:sz="0" w:space="0" w:color="auto"/>
      </w:divBdr>
    </w:div>
    <w:div w:id="1880779388">
      <w:bodyDiv w:val="1"/>
      <w:marLeft w:val="0"/>
      <w:marRight w:val="0"/>
      <w:marTop w:val="0"/>
      <w:marBottom w:val="0"/>
      <w:divBdr>
        <w:top w:val="none" w:sz="0" w:space="0" w:color="auto"/>
        <w:left w:val="none" w:sz="0" w:space="0" w:color="auto"/>
        <w:bottom w:val="none" w:sz="0" w:space="0" w:color="auto"/>
        <w:right w:val="none" w:sz="0" w:space="0" w:color="auto"/>
      </w:divBdr>
    </w:div>
    <w:div w:id="1885942823">
      <w:bodyDiv w:val="1"/>
      <w:marLeft w:val="0"/>
      <w:marRight w:val="0"/>
      <w:marTop w:val="0"/>
      <w:marBottom w:val="0"/>
      <w:divBdr>
        <w:top w:val="none" w:sz="0" w:space="0" w:color="auto"/>
        <w:left w:val="none" w:sz="0" w:space="0" w:color="auto"/>
        <w:bottom w:val="none" w:sz="0" w:space="0" w:color="auto"/>
        <w:right w:val="none" w:sz="0" w:space="0" w:color="auto"/>
      </w:divBdr>
    </w:div>
    <w:div w:id="1886213574">
      <w:bodyDiv w:val="1"/>
      <w:marLeft w:val="0"/>
      <w:marRight w:val="0"/>
      <w:marTop w:val="0"/>
      <w:marBottom w:val="0"/>
      <w:divBdr>
        <w:top w:val="none" w:sz="0" w:space="0" w:color="auto"/>
        <w:left w:val="none" w:sz="0" w:space="0" w:color="auto"/>
        <w:bottom w:val="none" w:sz="0" w:space="0" w:color="auto"/>
        <w:right w:val="none" w:sz="0" w:space="0" w:color="auto"/>
      </w:divBdr>
    </w:div>
    <w:div w:id="1905410639">
      <w:bodyDiv w:val="1"/>
      <w:marLeft w:val="0"/>
      <w:marRight w:val="0"/>
      <w:marTop w:val="0"/>
      <w:marBottom w:val="0"/>
      <w:divBdr>
        <w:top w:val="none" w:sz="0" w:space="0" w:color="auto"/>
        <w:left w:val="none" w:sz="0" w:space="0" w:color="auto"/>
        <w:bottom w:val="none" w:sz="0" w:space="0" w:color="auto"/>
        <w:right w:val="none" w:sz="0" w:space="0" w:color="auto"/>
      </w:divBdr>
    </w:div>
    <w:div w:id="1908345680">
      <w:bodyDiv w:val="1"/>
      <w:marLeft w:val="0"/>
      <w:marRight w:val="0"/>
      <w:marTop w:val="0"/>
      <w:marBottom w:val="0"/>
      <w:divBdr>
        <w:top w:val="none" w:sz="0" w:space="0" w:color="auto"/>
        <w:left w:val="none" w:sz="0" w:space="0" w:color="auto"/>
        <w:bottom w:val="none" w:sz="0" w:space="0" w:color="auto"/>
        <w:right w:val="none" w:sz="0" w:space="0" w:color="auto"/>
      </w:divBdr>
    </w:div>
    <w:div w:id="1908570115">
      <w:bodyDiv w:val="1"/>
      <w:marLeft w:val="0"/>
      <w:marRight w:val="0"/>
      <w:marTop w:val="0"/>
      <w:marBottom w:val="0"/>
      <w:divBdr>
        <w:top w:val="none" w:sz="0" w:space="0" w:color="auto"/>
        <w:left w:val="none" w:sz="0" w:space="0" w:color="auto"/>
        <w:bottom w:val="none" w:sz="0" w:space="0" w:color="auto"/>
        <w:right w:val="none" w:sz="0" w:space="0" w:color="auto"/>
      </w:divBdr>
    </w:div>
    <w:div w:id="1914271503">
      <w:bodyDiv w:val="1"/>
      <w:marLeft w:val="0"/>
      <w:marRight w:val="0"/>
      <w:marTop w:val="0"/>
      <w:marBottom w:val="0"/>
      <w:divBdr>
        <w:top w:val="none" w:sz="0" w:space="0" w:color="auto"/>
        <w:left w:val="none" w:sz="0" w:space="0" w:color="auto"/>
        <w:bottom w:val="none" w:sz="0" w:space="0" w:color="auto"/>
        <w:right w:val="none" w:sz="0" w:space="0" w:color="auto"/>
      </w:divBdr>
    </w:div>
    <w:div w:id="1924215375">
      <w:bodyDiv w:val="1"/>
      <w:marLeft w:val="0"/>
      <w:marRight w:val="0"/>
      <w:marTop w:val="0"/>
      <w:marBottom w:val="0"/>
      <w:divBdr>
        <w:top w:val="none" w:sz="0" w:space="0" w:color="auto"/>
        <w:left w:val="none" w:sz="0" w:space="0" w:color="auto"/>
        <w:bottom w:val="none" w:sz="0" w:space="0" w:color="auto"/>
        <w:right w:val="none" w:sz="0" w:space="0" w:color="auto"/>
      </w:divBdr>
    </w:div>
    <w:div w:id="1927956465">
      <w:bodyDiv w:val="1"/>
      <w:marLeft w:val="0"/>
      <w:marRight w:val="0"/>
      <w:marTop w:val="0"/>
      <w:marBottom w:val="0"/>
      <w:divBdr>
        <w:top w:val="none" w:sz="0" w:space="0" w:color="auto"/>
        <w:left w:val="none" w:sz="0" w:space="0" w:color="auto"/>
        <w:bottom w:val="none" w:sz="0" w:space="0" w:color="auto"/>
        <w:right w:val="none" w:sz="0" w:space="0" w:color="auto"/>
      </w:divBdr>
    </w:div>
    <w:div w:id="1961378813">
      <w:bodyDiv w:val="1"/>
      <w:marLeft w:val="0"/>
      <w:marRight w:val="0"/>
      <w:marTop w:val="0"/>
      <w:marBottom w:val="0"/>
      <w:divBdr>
        <w:top w:val="none" w:sz="0" w:space="0" w:color="auto"/>
        <w:left w:val="none" w:sz="0" w:space="0" w:color="auto"/>
        <w:bottom w:val="none" w:sz="0" w:space="0" w:color="auto"/>
        <w:right w:val="none" w:sz="0" w:space="0" w:color="auto"/>
      </w:divBdr>
    </w:div>
    <w:div w:id="1964799180">
      <w:bodyDiv w:val="1"/>
      <w:marLeft w:val="0"/>
      <w:marRight w:val="0"/>
      <w:marTop w:val="0"/>
      <w:marBottom w:val="0"/>
      <w:divBdr>
        <w:top w:val="none" w:sz="0" w:space="0" w:color="auto"/>
        <w:left w:val="none" w:sz="0" w:space="0" w:color="auto"/>
        <w:bottom w:val="none" w:sz="0" w:space="0" w:color="auto"/>
        <w:right w:val="none" w:sz="0" w:space="0" w:color="auto"/>
      </w:divBdr>
    </w:div>
    <w:div w:id="1965038569">
      <w:bodyDiv w:val="1"/>
      <w:marLeft w:val="0"/>
      <w:marRight w:val="0"/>
      <w:marTop w:val="0"/>
      <w:marBottom w:val="0"/>
      <w:divBdr>
        <w:top w:val="none" w:sz="0" w:space="0" w:color="auto"/>
        <w:left w:val="none" w:sz="0" w:space="0" w:color="auto"/>
        <w:bottom w:val="none" w:sz="0" w:space="0" w:color="auto"/>
        <w:right w:val="none" w:sz="0" w:space="0" w:color="auto"/>
      </w:divBdr>
    </w:div>
    <w:div w:id="1966152377">
      <w:bodyDiv w:val="1"/>
      <w:marLeft w:val="0"/>
      <w:marRight w:val="0"/>
      <w:marTop w:val="0"/>
      <w:marBottom w:val="0"/>
      <w:divBdr>
        <w:top w:val="none" w:sz="0" w:space="0" w:color="auto"/>
        <w:left w:val="none" w:sz="0" w:space="0" w:color="auto"/>
        <w:bottom w:val="none" w:sz="0" w:space="0" w:color="auto"/>
        <w:right w:val="none" w:sz="0" w:space="0" w:color="auto"/>
      </w:divBdr>
    </w:div>
    <w:div w:id="1982154200">
      <w:bodyDiv w:val="1"/>
      <w:marLeft w:val="0"/>
      <w:marRight w:val="0"/>
      <w:marTop w:val="0"/>
      <w:marBottom w:val="0"/>
      <w:divBdr>
        <w:top w:val="none" w:sz="0" w:space="0" w:color="auto"/>
        <w:left w:val="none" w:sz="0" w:space="0" w:color="auto"/>
        <w:bottom w:val="none" w:sz="0" w:space="0" w:color="auto"/>
        <w:right w:val="none" w:sz="0" w:space="0" w:color="auto"/>
      </w:divBdr>
    </w:div>
    <w:div w:id="1989043711">
      <w:bodyDiv w:val="1"/>
      <w:marLeft w:val="0"/>
      <w:marRight w:val="0"/>
      <w:marTop w:val="0"/>
      <w:marBottom w:val="0"/>
      <w:divBdr>
        <w:top w:val="none" w:sz="0" w:space="0" w:color="auto"/>
        <w:left w:val="none" w:sz="0" w:space="0" w:color="auto"/>
        <w:bottom w:val="none" w:sz="0" w:space="0" w:color="auto"/>
        <w:right w:val="none" w:sz="0" w:space="0" w:color="auto"/>
      </w:divBdr>
    </w:div>
    <w:div w:id="2000814190">
      <w:bodyDiv w:val="1"/>
      <w:marLeft w:val="0"/>
      <w:marRight w:val="0"/>
      <w:marTop w:val="0"/>
      <w:marBottom w:val="0"/>
      <w:divBdr>
        <w:top w:val="none" w:sz="0" w:space="0" w:color="auto"/>
        <w:left w:val="none" w:sz="0" w:space="0" w:color="auto"/>
        <w:bottom w:val="none" w:sz="0" w:space="0" w:color="auto"/>
        <w:right w:val="none" w:sz="0" w:space="0" w:color="auto"/>
      </w:divBdr>
    </w:div>
    <w:div w:id="2011441789">
      <w:bodyDiv w:val="1"/>
      <w:marLeft w:val="0"/>
      <w:marRight w:val="0"/>
      <w:marTop w:val="0"/>
      <w:marBottom w:val="0"/>
      <w:divBdr>
        <w:top w:val="none" w:sz="0" w:space="0" w:color="auto"/>
        <w:left w:val="none" w:sz="0" w:space="0" w:color="auto"/>
        <w:bottom w:val="none" w:sz="0" w:space="0" w:color="auto"/>
        <w:right w:val="none" w:sz="0" w:space="0" w:color="auto"/>
      </w:divBdr>
    </w:div>
    <w:div w:id="2021813651">
      <w:bodyDiv w:val="1"/>
      <w:marLeft w:val="0"/>
      <w:marRight w:val="0"/>
      <w:marTop w:val="0"/>
      <w:marBottom w:val="0"/>
      <w:divBdr>
        <w:top w:val="none" w:sz="0" w:space="0" w:color="auto"/>
        <w:left w:val="none" w:sz="0" w:space="0" w:color="auto"/>
        <w:bottom w:val="none" w:sz="0" w:space="0" w:color="auto"/>
        <w:right w:val="none" w:sz="0" w:space="0" w:color="auto"/>
      </w:divBdr>
    </w:div>
    <w:div w:id="2027367706">
      <w:bodyDiv w:val="1"/>
      <w:marLeft w:val="0"/>
      <w:marRight w:val="0"/>
      <w:marTop w:val="0"/>
      <w:marBottom w:val="0"/>
      <w:divBdr>
        <w:top w:val="none" w:sz="0" w:space="0" w:color="auto"/>
        <w:left w:val="none" w:sz="0" w:space="0" w:color="auto"/>
        <w:bottom w:val="none" w:sz="0" w:space="0" w:color="auto"/>
        <w:right w:val="none" w:sz="0" w:space="0" w:color="auto"/>
      </w:divBdr>
    </w:div>
    <w:div w:id="2027560040">
      <w:bodyDiv w:val="1"/>
      <w:marLeft w:val="0"/>
      <w:marRight w:val="0"/>
      <w:marTop w:val="0"/>
      <w:marBottom w:val="0"/>
      <w:divBdr>
        <w:top w:val="none" w:sz="0" w:space="0" w:color="auto"/>
        <w:left w:val="none" w:sz="0" w:space="0" w:color="auto"/>
        <w:bottom w:val="none" w:sz="0" w:space="0" w:color="auto"/>
        <w:right w:val="none" w:sz="0" w:space="0" w:color="auto"/>
      </w:divBdr>
    </w:div>
    <w:div w:id="2034451777">
      <w:bodyDiv w:val="1"/>
      <w:marLeft w:val="0"/>
      <w:marRight w:val="0"/>
      <w:marTop w:val="0"/>
      <w:marBottom w:val="0"/>
      <w:divBdr>
        <w:top w:val="none" w:sz="0" w:space="0" w:color="auto"/>
        <w:left w:val="none" w:sz="0" w:space="0" w:color="auto"/>
        <w:bottom w:val="none" w:sz="0" w:space="0" w:color="auto"/>
        <w:right w:val="none" w:sz="0" w:space="0" w:color="auto"/>
      </w:divBdr>
    </w:div>
    <w:div w:id="2040399677">
      <w:bodyDiv w:val="1"/>
      <w:marLeft w:val="0"/>
      <w:marRight w:val="0"/>
      <w:marTop w:val="0"/>
      <w:marBottom w:val="0"/>
      <w:divBdr>
        <w:top w:val="none" w:sz="0" w:space="0" w:color="auto"/>
        <w:left w:val="none" w:sz="0" w:space="0" w:color="auto"/>
        <w:bottom w:val="none" w:sz="0" w:space="0" w:color="auto"/>
        <w:right w:val="none" w:sz="0" w:space="0" w:color="auto"/>
      </w:divBdr>
    </w:div>
    <w:div w:id="2046982111">
      <w:bodyDiv w:val="1"/>
      <w:marLeft w:val="0"/>
      <w:marRight w:val="0"/>
      <w:marTop w:val="0"/>
      <w:marBottom w:val="0"/>
      <w:divBdr>
        <w:top w:val="none" w:sz="0" w:space="0" w:color="auto"/>
        <w:left w:val="none" w:sz="0" w:space="0" w:color="auto"/>
        <w:bottom w:val="none" w:sz="0" w:space="0" w:color="auto"/>
        <w:right w:val="none" w:sz="0" w:space="0" w:color="auto"/>
      </w:divBdr>
    </w:div>
    <w:div w:id="2048333656">
      <w:bodyDiv w:val="1"/>
      <w:marLeft w:val="0"/>
      <w:marRight w:val="0"/>
      <w:marTop w:val="0"/>
      <w:marBottom w:val="0"/>
      <w:divBdr>
        <w:top w:val="none" w:sz="0" w:space="0" w:color="auto"/>
        <w:left w:val="none" w:sz="0" w:space="0" w:color="auto"/>
        <w:bottom w:val="none" w:sz="0" w:space="0" w:color="auto"/>
        <w:right w:val="none" w:sz="0" w:space="0" w:color="auto"/>
      </w:divBdr>
    </w:div>
    <w:div w:id="2052684045">
      <w:bodyDiv w:val="1"/>
      <w:marLeft w:val="0"/>
      <w:marRight w:val="0"/>
      <w:marTop w:val="0"/>
      <w:marBottom w:val="0"/>
      <w:divBdr>
        <w:top w:val="none" w:sz="0" w:space="0" w:color="auto"/>
        <w:left w:val="none" w:sz="0" w:space="0" w:color="auto"/>
        <w:bottom w:val="none" w:sz="0" w:space="0" w:color="auto"/>
        <w:right w:val="none" w:sz="0" w:space="0" w:color="auto"/>
      </w:divBdr>
    </w:div>
    <w:div w:id="2054037849">
      <w:bodyDiv w:val="1"/>
      <w:marLeft w:val="0"/>
      <w:marRight w:val="0"/>
      <w:marTop w:val="0"/>
      <w:marBottom w:val="0"/>
      <w:divBdr>
        <w:top w:val="none" w:sz="0" w:space="0" w:color="auto"/>
        <w:left w:val="none" w:sz="0" w:space="0" w:color="auto"/>
        <w:bottom w:val="none" w:sz="0" w:space="0" w:color="auto"/>
        <w:right w:val="none" w:sz="0" w:space="0" w:color="auto"/>
      </w:divBdr>
    </w:div>
    <w:div w:id="2057050095">
      <w:bodyDiv w:val="1"/>
      <w:marLeft w:val="0"/>
      <w:marRight w:val="0"/>
      <w:marTop w:val="0"/>
      <w:marBottom w:val="0"/>
      <w:divBdr>
        <w:top w:val="none" w:sz="0" w:space="0" w:color="auto"/>
        <w:left w:val="none" w:sz="0" w:space="0" w:color="auto"/>
        <w:bottom w:val="none" w:sz="0" w:space="0" w:color="auto"/>
        <w:right w:val="none" w:sz="0" w:space="0" w:color="auto"/>
      </w:divBdr>
    </w:div>
    <w:div w:id="2060395840">
      <w:bodyDiv w:val="1"/>
      <w:marLeft w:val="0"/>
      <w:marRight w:val="0"/>
      <w:marTop w:val="0"/>
      <w:marBottom w:val="0"/>
      <w:divBdr>
        <w:top w:val="none" w:sz="0" w:space="0" w:color="auto"/>
        <w:left w:val="none" w:sz="0" w:space="0" w:color="auto"/>
        <w:bottom w:val="none" w:sz="0" w:space="0" w:color="auto"/>
        <w:right w:val="none" w:sz="0" w:space="0" w:color="auto"/>
      </w:divBdr>
    </w:div>
    <w:div w:id="2063863773">
      <w:bodyDiv w:val="1"/>
      <w:marLeft w:val="0"/>
      <w:marRight w:val="0"/>
      <w:marTop w:val="0"/>
      <w:marBottom w:val="0"/>
      <w:divBdr>
        <w:top w:val="none" w:sz="0" w:space="0" w:color="auto"/>
        <w:left w:val="none" w:sz="0" w:space="0" w:color="auto"/>
        <w:bottom w:val="none" w:sz="0" w:space="0" w:color="auto"/>
        <w:right w:val="none" w:sz="0" w:space="0" w:color="auto"/>
      </w:divBdr>
    </w:div>
    <w:div w:id="2065592275">
      <w:bodyDiv w:val="1"/>
      <w:marLeft w:val="0"/>
      <w:marRight w:val="0"/>
      <w:marTop w:val="0"/>
      <w:marBottom w:val="0"/>
      <w:divBdr>
        <w:top w:val="none" w:sz="0" w:space="0" w:color="auto"/>
        <w:left w:val="none" w:sz="0" w:space="0" w:color="auto"/>
        <w:bottom w:val="none" w:sz="0" w:space="0" w:color="auto"/>
        <w:right w:val="none" w:sz="0" w:space="0" w:color="auto"/>
      </w:divBdr>
    </w:div>
    <w:div w:id="2072656987">
      <w:bodyDiv w:val="1"/>
      <w:marLeft w:val="0"/>
      <w:marRight w:val="0"/>
      <w:marTop w:val="0"/>
      <w:marBottom w:val="0"/>
      <w:divBdr>
        <w:top w:val="none" w:sz="0" w:space="0" w:color="auto"/>
        <w:left w:val="none" w:sz="0" w:space="0" w:color="auto"/>
        <w:bottom w:val="none" w:sz="0" w:space="0" w:color="auto"/>
        <w:right w:val="none" w:sz="0" w:space="0" w:color="auto"/>
      </w:divBdr>
    </w:div>
    <w:div w:id="2089230820">
      <w:bodyDiv w:val="1"/>
      <w:marLeft w:val="0"/>
      <w:marRight w:val="0"/>
      <w:marTop w:val="0"/>
      <w:marBottom w:val="0"/>
      <w:divBdr>
        <w:top w:val="none" w:sz="0" w:space="0" w:color="auto"/>
        <w:left w:val="none" w:sz="0" w:space="0" w:color="auto"/>
        <w:bottom w:val="none" w:sz="0" w:space="0" w:color="auto"/>
        <w:right w:val="none" w:sz="0" w:space="0" w:color="auto"/>
      </w:divBdr>
    </w:div>
    <w:div w:id="2096894780">
      <w:bodyDiv w:val="1"/>
      <w:marLeft w:val="0"/>
      <w:marRight w:val="0"/>
      <w:marTop w:val="0"/>
      <w:marBottom w:val="0"/>
      <w:divBdr>
        <w:top w:val="none" w:sz="0" w:space="0" w:color="auto"/>
        <w:left w:val="none" w:sz="0" w:space="0" w:color="auto"/>
        <w:bottom w:val="none" w:sz="0" w:space="0" w:color="auto"/>
        <w:right w:val="none" w:sz="0" w:space="0" w:color="auto"/>
      </w:divBdr>
    </w:div>
    <w:div w:id="2119059757">
      <w:bodyDiv w:val="1"/>
      <w:marLeft w:val="0"/>
      <w:marRight w:val="0"/>
      <w:marTop w:val="0"/>
      <w:marBottom w:val="0"/>
      <w:divBdr>
        <w:top w:val="none" w:sz="0" w:space="0" w:color="auto"/>
        <w:left w:val="none" w:sz="0" w:space="0" w:color="auto"/>
        <w:bottom w:val="none" w:sz="0" w:space="0" w:color="auto"/>
        <w:right w:val="none" w:sz="0" w:space="0" w:color="auto"/>
      </w:divBdr>
    </w:div>
    <w:div w:id="2128616586">
      <w:bodyDiv w:val="1"/>
      <w:marLeft w:val="0"/>
      <w:marRight w:val="0"/>
      <w:marTop w:val="0"/>
      <w:marBottom w:val="0"/>
      <w:divBdr>
        <w:top w:val="none" w:sz="0" w:space="0" w:color="auto"/>
        <w:left w:val="none" w:sz="0" w:space="0" w:color="auto"/>
        <w:bottom w:val="none" w:sz="0" w:space="0" w:color="auto"/>
        <w:right w:val="none" w:sz="0" w:space="0" w:color="auto"/>
      </w:divBdr>
    </w:div>
    <w:div w:id="2137094309">
      <w:bodyDiv w:val="1"/>
      <w:marLeft w:val="0"/>
      <w:marRight w:val="0"/>
      <w:marTop w:val="0"/>
      <w:marBottom w:val="0"/>
      <w:divBdr>
        <w:top w:val="none" w:sz="0" w:space="0" w:color="auto"/>
        <w:left w:val="none" w:sz="0" w:space="0" w:color="auto"/>
        <w:bottom w:val="none" w:sz="0" w:space="0" w:color="auto"/>
        <w:right w:val="none" w:sz="0" w:space="0" w:color="auto"/>
      </w:divBdr>
    </w:div>
    <w:div w:id="2137941812">
      <w:bodyDiv w:val="1"/>
      <w:marLeft w:val="0"/>
      <w:marRight w:val="0"/>
      <w:marTop w:val="0"/>
      <w:marBottom w:val="0"/>
      <w:divBdr>
        <w:top w:val="none" w:sz="0" w:space="0" w:color="auto"/>
        <w:left w:val="none" w:sz="0" w:space="0" w:color="auto"/>
        <w:bottom w:val="none" w:sz="0" w:space="0" w:color="auto"/>
        <w:right w:val="none" w:sz="0" w:space="0" w:color="auto"/>
      </w:divBdr>
    </w:div>
    <w:div w:id="2143452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2.xml"/><Relationship Id="rId21" Type="http://schemas.openxmlformats.org/officeDocument/2006/relationships/diagramQuickStyle" Target="diagrams/quickStyle1.xml"/><Relationship Id="rId42" Type="http://schemas.openxmlformats.org/officeDocument/2006/relationships/diagramColors" Target="diagrams/colors4.xml"/><Relationship Id="rId47" Type="http://schemas.openxmlformats.org/officeDocument/2006/relationships/diagramColors" Target="diagrams/colors5.xml"/><Relationship Id="rId63" Type="http://schemas.openxmlformats.org/officeDocument/2006/relationships/diagramData" Target="diagrams/data8.xml"/><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5.xml"/><Relationship Id="rId11" Type="http://schemas.openxmlformats.org/officeDocument/2006/relationships/image" Target="media/image1.jpeg"/><Relationship Id="rId24" Type="http://schemas.openxmlformats.org/officeDocument/2006/relationships/diagramData" Target="diagrams/data2.xml"/><Relationship Id="rId32" Type="http://schemas.openxmlformats.org/officeDocument/2006/relationships/chart" Target="charts/chart8.xml"/><Relationship Id="rId37" Type="http://schemas.microsoft.com/office/2007/relationships/diagramDrawing" Target="diagrams/drawing3.xml"/><Relationship Id="rId40" Type="http://schemas.openxmlformats.org/officeDocument/2006/relationships/diagramLayout" Target="diagrams/layout4.xml"/><Relationship Id="rId45" Type="http://schemas.openxmlformats.org/officeDocument/2006/relationships/diagramLayout" Target="diagrams/layout5.xml"/><Relationship Id="rId53" Type="http://schemas.openxmlformats.org/officeDocument/2006/relationships/diagramLayout" Target="diagrams/layout6.xml"/><Relationship Id="rId58" Type="http://schemas.openxmlformats.org/officeDocument/2006/relationships/diagramData" Target="diagrams/data7.xml"/><Relationship Id="rId66" Type="http://schemas.openxmlformats.org/officeDocument/2006/relationships/diagramColors" Target="diagrams/colors8.xml"/><Relationship Id="rId5" Type="http://schemas.openxmlformats.org/officeDocument/2006/relationships/numbering" Target="numbering.xml"/><Relationship Id="rId61" Type="http://schemas.openxmlformats.org/officeDocument/2006/relationships/diagramColors" Target="diagrams/colors7.xml"/><Relationship Id="rId19" Type="http://schemas.openxmlformats.org/officeDocument/2006/relationships/diagramData" Target="diagrams/data1.xml"/><Relationship Id="rId14" Type="http://schemas.openxmlformats.org/officeDocument/2006/relationships/hyperlink" Target="http://www.flddresources.org" TargetMode="Externa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chart" Target="charts/chart6.xml"/><Relationship Id="rId35" Type="http://schemas.openxmlformats.org/officeDocument/2006/relationships/diagramQuickStyle" Target="diagrams/quickStyle3.xml"/><Relationship Id="rId43" Type="http://schemas.microsoft.com/office/2007/relationships/diagramDrawing" Target="diagrams/drawing4.xml"/><Relationship Id="rId48" Type="http://schemas.microsoft.com/office/2007/relationships/diagramDrawing" Target="diagrams/drawing5.xml"/><Relationship Id="rId56" Type="http://schemas.microsoft.com/office/2007/relationships/diagramDrawing" Target="diagrams/drawing6.xml"/><Relationship Id="rId64" Type="http://schemas.openxmlformats.org/officeDocument/2006/relationships/diagramLayout" Target="diagrams/layout8.xml"/><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chart" Target="charts/chart1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diagramLayout" Target="diagrams/layout2.xml"/><Relationship Id="rId33" Type="http://schemas.openxmlformats.org/officeDocument/2006/relationships/diagramData" Target="diagrams/data3.xml"/><Relationship Id="rId38" Type="http://schemas.openxmlformats.org/officeDocument/2006/relationships/chart" Target="charts/chart9.xml"/><Relationship Id="rId46" Type="http://schemas.openxmlformats.org/officeDocument/2006/relationships/diagramQuickStyle" Target="diagrams/quickStyle5.xml"/><Relationship Id="rId59" Type="http://schemas.openxmlformats.org/officeDocument/2006/relationships/diagramLayout" Target="diagrams/layout7.xml"/><Relationship Id="rId67" Type="http://schemas.microsoft.com/office/2007/relationships/diagramDrawing" Target="diagrams/drawing8.xml"/><Relationship Id="rId20" Type="http://schemas.openxmlformats.org/officeDocument/2006/relationships/diagramLayout" Target="diagrams/layout1.xml"/><Relationship Id="rId41" Type="http://schemas.openxmlformats.org/officeDocument/2006/relationships/diagramQuickStyle" Target="diagrams/quickStyle4.xml"/><Relationship Id="rId54" Type="http://schemas.openxmlformats.org/officeDocument/2006/relationships/diagramQuickStyle" Target="diagrams/quickStyle6.xml"/><Relationship Id="rId62" Type="http://schemas.microsoft.com/office/2007/relationships/diagramDrawing" Target="diagrams/drawing7.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1.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diagramColors" Target="diagrams/colors3.xml"/><Relationship Id="rId49" Type="http://schemas.openxmlformats.org/officeDocument/2006/relationships/chart" Target="charts/chart10.xml"/><Relationship Id="rId57" Type="http://schemas.openxmlformats.org/officeDocument/2006/relationships/chart" Target="charts/chart13.xml"/><Relationship Id="rId10" Type="http://schemas.openxmlformats.org/officeDocument/2006/relationships/endnotes" Target="endnotes.xml"/><Relationship Id="rId31" Type="http://schemas.openxmlformats.org/officeDocument/2006/relationships/chart" Target="charts/chart7.xml"/><Relationship Id="rId44" Type="http://schemas.openxmlformats.org/officeDocument/2006/relationships/diagramData" Target="diagrams/data5.xml"/><Relationship Id="rId52" Type="http://schemas.openxmlformats.org/officeDocument/2006/relationships/diagramData" Target="diagrams/data6.xml"/><Relationship Id="rId60" Type="http://schemas.openxmlformats.org/officeDocument/2006/relationships/diagramQuickStyle" Target="diagrams/quickStyle7.xml"/><Relationship Id="rId65" Type="http://schemas.openxmlformats.org/officeDocument/2006/relationships/diagramQuickStyle" Target="diagrams/quickStyle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chart" Target="charts/chart4.xml"/><Relationship Id="rId39" Type="http://schemas.openxmlformats.org/officeDocument/2006/relationships/diagramData" Target="diagrams/data4.xml"/><Relationship Id="rId34" Type="http://schemas.openxmlformats.org/officeDocument/2006/relationships/diagramLayout" Target="diagrams/layout3.xml"/><Relationship Id="rId50" Type="http://schemas.openxmlformats.org/officeDocument/2006/relationships/chart" Target="charts/chart11.xml"/><Relationship Id="rId55" Type="http://schemas.openxmlformats.org/officeDocument/2006/relationships/diagramColors" Target="diagrams/colors6.xml"/></Relationships>
</file>

<file path=word/_rels/footnotes.xml.rels><?xml version="1.0" encoding="UTF-8" standalone="yes"?>
<Relationships xmlns="http://schemas.openxmlformats.org/package/2006/relationships"><Relationship Id="rId3" Type="http://schemas.openxmlformats.org/officeDocument/2006/relationships/hyperlink" Target="http://www.dfmc-florida.org/Public2/resourceCenter/providers/discoveryReviewTools/index.html" TargetMode="External"/><Relationship Id="rId2" Type="http://schemas.openxmlformats.org/officeDocument/2006/relationships/hyperlink" Target="http://www.dfmc-florida.org/Public2/resourceCenter/providers/discoveryReviewTools/index.html" TargetMode="External"/><Relationship Id="rId1" Type="http://schemas.openxmlformats.org/officeDocument/2006/relationships/hyperlink" Target="http://www.dfmc-florida.org/Public2/qualityCouncil/archive.html" TargetMode="External"/><Relationship Id="rId4" Type="http://schemas.openxmlformats.org/officeDocument/2006/relationships/hyperlink" Target="http://www.dfmc-florida.org/Public2/resourceCenter/providers/discoveryReviewTools/index.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Franklin Gothic Medium" panose="020B0603020102020204" pitchFamily="34" charset="0"/>
              </a:defRPr>
            </a:pPr>
            <a:r>
              <a:rPr lang="en-US" sz="1200" b="0">
                <a:latin typeface="Franklin Gothic Medium" panose="020B0603020102020204" pitchFamily="34" charset="0"/>
              </a:rPr>
              <a:t>Figure 1:  PCR</a:t>
            </a:r>
            <a:r>
              <a:rPr lang="en-US" sz="1200" b="0" baseline="0">
                <a:latin typeface="Franklin Gothic Medium" panose="020B0603020102020204" pitchFamily="34" charset="0"/>
              </a:rPr>
              <a:t> Distribution by Residence </a:t>
            </a:r>
          </a:p>
          <a:p>
            <a:pPr>
              <a:defRPr sz="1200" b="0">
                <a:latin typeface="Franklin Gothic Medium" panose="020B0603020102020204" pitchFamily="34" charset="0"/>
              </a:defRPr>
            </a:pPr>
            <a:r>
              <a:rPr lang="en-US" sz="1200" b="0" baseline="0">
                <a:latin typeface="Franklin Gothic Medium" panose="020B0603020102020204" pitchFamily="34" charset="0"/>
              </a:rPr>
              <a:t>January - June 2016</a:t>
            </a:r>
            <a:endParaRPr lang="en-US" sz="1200" b="0">
              <a:latin typeface="Franklin Gothic Medium" panose="020B0603020102020204" pitchFamily="34" charset="0"/>
            </a:endParaRPr>
          </a:p>
        </c:rich>
      </c:tx>
      <c:layout/>
      <c:overlay val="0"/>
    </c:title>
    <c:autoTitleDeleted val="0"/>
    <c:plotArea>
      <c:layout>
        <c:manualLayout>
          <c:layoutTarget val="inner"/>
          <c:xMode val="edge"/>
          <c:yMode val="edge"/>
          <c:x val="0.39569925634295711"/>
          <c:y val="0.20258401230283624"/>
          <c:w val="0.53214107611548556"/>
          <c:h val="0.57360378825266656"/>
        </c:manualLayout>
      </c:layout>
      <c:barChart>
        <c:barDir val="bar"/>
        <c:grouping val="clustered"/>
        <c:varyColors val="0"/>
        <c:ser>
          <c:idx val="1"/>
          <c:order val="0"/>
          <c:tx>
            <c:strRef>
              <c:f>'2. PCR Demographics '!$K$4</c:f>
              <c:strCache>
                <c:ptCount val="1"/>
                <c:pt idx="0">
                  <c:v>CDC+ (N=151)</c:v>
                </c:pt>
              </c:strCache>
            </c:strRef>
          </c:tx>
          <c:spPr>
            <a:solidFill>
              <a:schemeClr val="accent4">
                <a:lumMod val="60000"/>
                <a:lumOff val="40000"/>
              </a:schemeClr>
            </a:solidFill>
            <a:scene3d>
              <a:camera prst="orthographicFront"/>
              <a:lightRig rig="threePt" dir="t"/>
            </a:scene3d>
            <a:sp3d>
              <a:bevelT prst="angle"/>
            </a:sp3d>
          </c:spPr>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PCR Demographics '!$I$28:$I$31</c:f>
              <c:strCache>
                <c:ptCount val="4"/>
                <c:pt idx="0">
                  <c:v>Other</c:v>
                </c:pt>
                <c:pt idx="1">
                  <c:v>Group Home</c:v>
                </c:pt>
                <c:pt idx="2">
                  <c:v>Independent/ Supported Living</c:v>
                </c:pt>
                <c:pt idx="3">
                  <c:v>Family</c:v>
                </c:pt>
              </c:strCache>
            </c:strRef>
          </c:cat>
          <c:val>
            <c:numRef>
              <c:f>'2. PCR Demographics '!$K$28:$K$31</c:f>
              <c:numCache>
                <c:formatCode>0.0%</c:formatCode>
                <c:ptCount val="4"/>
                <c:pt idx="0">
                  <c:v>0</c:v>
                </c:pt>
                <c:pt idx="1">
                  <c:v>0</c:v>
                </c:pt>
                <c:pt idx="2">
                  <c:v>7.2847682119205295E-2</c:v>
                </c:pt>
                <c:pt idx="3">
                  <c:v>0.92715231788079466</c:v>
                </c:pt>
              </c:numCache>
            </c:numRef>
          </c:val>
          <c:extLst>
            <c:ext xmlns:c16="http://schemas.microsoft.com/office/drawing/2014/chart" uri="{C3380CC4-5D6E-409C-BE32-E72D297353CC}">
              <c16:uniqueId val="{00000000-98AB-43A9-9E80-32B564730D4A}"/>
            </c:ext>
          </c:extLst>
        </c:ser>
        <c:ser>
          <c:idx val="0"/>
          <c:order val="1"/>
          <c:tx>
            <c:strRef>
              <c:f>'2. PCR Demographics '!$J$4</c:f>
              <c:strCache>
                <c:ptCount val="1"/>
                <c:pt idx="0">
                  <c:v>DD Waiver (N=632)</c:v>
                </c:pt>
              </c:strCache>
            </c:strRef>
          </c:tx>
          <c:spPr>
            <a:solidFill>
              <a:schemeClr val="accent5">
                <a:lumMod val="40000"/>
                <a:lumOff val="60000"/>
              </a:schemeClr>
            </a:solidFill>
            <a:scene3d>
              <a:camera prst="orthographicFront"/>
              <a:lightRig rig="threePt" dir="t"/>
            </a:scene3d>
            <a:sp3d>
              <a:bevelT prst="angle"/>
            </a:sp3d>
          </c:spPr>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PCR Demographics '!$I$28:$I$31</c:f>
              <c:strCache>
                <c:ptCount val="4"/>
                <c:pt idx="0">
                  <c:v>Other</c:v>
                </c:pt>
                <c:pt idx="1">
                  <c:v>Group Home</c:v>
                </c:pt>
                <c:pt idx="2">
                  <c:v>Independent/ Supported Living</c:v>
                </c:pt>
                <c:pt idx="3">
                  <c:v>Family</c:v>
                </c:pt>
              </c:strCache>
            </c:strRef>
          </c:cat>
          <c:val>
            <c:numRef>
              <c:f>'2. PCR Demographics '!$J$28:$J$31</c:f>
              <c:numCache>
                <c:formatCode>0.0%</c:formatCode>
                <c:ptCount val="4"/>
                <c:pt idx="0">
                  <c:v>2.2151898734177215E-2</c:v>
                </c:pt>
                <c:pt idx="1">
                  <c:v>0.33227848101265822</c:v>
                </c:pt>
                <c:pt idx="2">
                  <c:v>0.16139240506329114</c:v>
                </c:pt>
                <c:pt idx="3">
                  <c:v>0.48417721518987344</c:v>
                </c:pt>
              </c:numCache>
            </c:numRef>
          </c:val>
          <c:extLst>
            <c:ext xmlns:c16="http://schemas.microsoft.com/office/drawing/2014/chart" uri="{C3380CC4-5D6E-409C-BE32-E72D297353CC}">
              <c16:uniqueId val="{00000001-98AB-43A9-9E80-32B564730D4A}"/>
            </c:ext>
          </c:extLst>
        </c:ser>
        <c:dLbls>
          <c:showLegendKey val="0"/>
          <c:showVal val="0"/>
          <c:showCatName val="0"/>
          <c:showSerName val="0"/>
          <c:showPercent val="0"/>
          <c:showBubbleSize val="0"/>
        </c:dLbls>
        <c:gapWidth val="150"/>
        <c:axId val="99650560"/>
        <c:axId val="100086912"/>
      </c:barChart>
      <c:catAx>
        <c:axId val="99650560"/>
        <c:scaling>
          <c:orientation val="minMax"/>
        </c:scaling>
        <c:delete val="0"/>
        <c:axPos val="l"/>
        <c:numFmt formatCode="General" sourceLinked="0"/>
        <c:majorTickMark val="out"/>
        <c:minorTickMark val="none"/>
        <c:tickLblPos val="nextTo"/>
        <c:txPr>
          <a:bodyPr/>
          <a:lstStyle/>
          <a:p>
            <a:pPr>
              <a:defRPr>
                <a:latin typeface="Franklin Gothic Medium" panose="020B0603020102020204" pitchFamily="34" charset="0"/>
              </a:defRPr>
            </a:pPr>
            <a:endParaRPr lang="en-US"/>
          </a:p>
        </c:txPr>
        <c:crossAx val="100086912"/>
        <c:crosses val="autoZero"/>
        <c:auto val="1"/>
        <c:lblAlgn val="ctr"/>
        <c:lblOffset val="100"/>
        <c:noMultiLvlLbl val="0"/>
      </c:catAx>
      <c:valAx>
        <c:axId val="100086912"/>
        <c:scaling>
          <c:orientation val="minMax"/>
        </c:scaling>
        <c:delete val="0"/>
        <c:axPos val="b"/>
        <c:majorGridlines/>
        <c:numFmt formatCode="0%" sourceLinked="0"/>
        <c:majorTickMark val="out"/>
        <c:minorTickMark val="none"/>
        <c:tickLblPos val="nextTo"/>
        <c:crossAx val="99650560"/>
        <c:crosses val="autoZero"/>
        <c:crossBetween val="between"/>
        <c:majorUnit val="0.25"/>
      </c:valAx>
    </c:plotArea>
    <c:legend>
      <c:legendPos val="b"/>
      <c:layout>
        <c:manualLayout>
          <c:xMode val="edge"/>
          <c:yMode val="edge"/>
          <c:x val="0.32775181723779856"/>
          <c:y val="0.90564254639012953"/>
          <c:w val="0.58303237095363081"/>
          <c:h val="7.9775389900163154E-2"/>
        </c:manualLayout>
      </c:layout>
      <c:overlay val="0"/>
      <c:txPr>
        <a:bodyPr/>
        <a:lstStyle/>
        <a:p>
          <a:pPr>
            <a:defRPr sz="1100" b="1"/>
          </a:pPr>
          <a:endParaRPr lang="en-US"/>
        </a:p>
      </c:txPr>
    </c:legend>
    <c:plotVisOnly val="1"/>
    <c:dispBlanksAs val="gap"/>
    <c:showDLblsOverMax val="0"/>
  </c:chart>
  <c:spPr>
    <a:ln w="15875" cmpd="dbl">
      <a:solidFill>
        <a:schemeClr val="accent4">
          <a:lumMod val="75000"/>
        </a:schemeClr>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b="0">
                <a:latin typeface="Franklin Gothic Medium" panose="020B0603020102020204" pitchFamily="34" charset="0"/>
              </a:defRPr>
            </a:pPr>
            <a:r>
              <a:rPr lang="en-US" sz="1200" b="0">
                <a:latin typeface="Franklin Gothic Medium" panose="020B0603020102020204" pitchFamily="34" charset="0"/>
              </a:rPr>
              <a:t>Figure 10: Observation Results by Standard and Location                                                                          January - June 2016 </a:t>
            </a:r>
          </a:p>
        </c:rich>
      </c:tx>
      <c:layout>
        <c:manualLayout>
          <c:xMode val="edge"/>
          <c:yMode val="edge"/>
          <c:x val="0.15012935417714374"/>
          <c:y val="2.446482591325919E-2"/>
        </c:manualLayout>
      </c:layout>
      <c:overlay val="0"/>
    </c:title>
    <c:autoTitleDeleted val="0"/>
    <c:plotArea>
      <c:layout/>
      <c:barChart>
        <c:barDir val="bar"/>
        <c:grouping val="clustered"/>
        <c:varyColors val="0"/>
        <c:ser>
          <c:idx val="1"/>
          <c:order val="0"/>
          <c:tx>
            <c:strRef>
              <c:f>'4b. Observations by Standard'!$E$5</c:f>
              <c:strCache>
                <c:ptCount val="1"/>
                <c:pt idx="0">
                  <c:v>LSD 3 (N = 33)</c:v>
                </c:pt>
              </c:strCache>
            </c:strRef>
          </c:tx>
          <c:spPr>
            <a:solidFill>
              <a:schemeClr val="accent2">
                <a:lumMod val="50000"/>
              </a:schemeClr>
            </a:solidFill>
          </c:spPr>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'4b. Observations by Standard'!$B$7:$B$15</c:f>
              <c:strCache>
                <c:ptCount val="9"/>
                <c:pt idx="0">
                  <c:v>Average Observation Score</c:v>
                </c:pt>
                <c:pt idx="1">
                  <c:v>Abuse, Neglect and Exploitation</c:v>
                </c:pt>
                <c:pt idx="2">
                  <c:v>Restrictive Interventions</c:v>
                </c:pt>
                <c:pt idx="3">
                  <c:v>Medication Management</c:v>
                </c:pt>
                <c:pt idx="4">
                  <c:v>Physical Environment</c:v>
                </c:pt>
                <c:pt idx="5">
                  <c:v>Dignity and Respect</c:v>
                </c:pt>
                <c:pt idx="6">
                  <c:v>Privacy</c:v>
                </c:pt>
                <c:pt idx="7">
                  <c:v>Community Opportunity</c:v>
                </c:pt>
                <c:pt idx="8">
                  <c:v>Autonomy and Independence</c:v>
                </c:pt>
              </c:strCache>
            </c:strRef>
          </c:cat>
          <c:val>
            <c:numRef>
              <c:f>'4b. Observations by Standard'!$E$7:$E$15</c:f>
              <c:numCache>
                <c:formatCode>0.0%</c:formatCode>
                <c:ptCount val="9"/>
                <c:pt idx="0">
                  <c:v>0.9863905325443787</c:v>
                </c:pt>
                <c:pt idx="1">
                  <c:v>0.99217</c:v>
                </c:pt>
                <c:pt idx="2">
                  <c:v>0.97467999999999999</c:v>
                </c:pt>
                <c:pt idx="3">
                  <c:v>1</c:v>
                </c:pt>
                <c:pt idx="4">
                  <c:v>1</c:v>
                </c:pt>
                <c:pt idx="5">
                  <c:v>0.98424999999999996</c:v>
                </c:pt>
                <c:pt idx="6">
                  <c:v>0.98889000000000005</c:v>
                </c:pt>
                <c:pt idx="7">
                  <c:v>0.97560999999999998</c:v>
                </c:pt>
                <c:pt idx="8">
                  <c:v>0.9738</c:v>
                </c:pt>
              </c:numCache>
            </c:numRef>
          </c:val>
          <c:extLst>
            <c:ext xmlns:c16="http://schemas.microsoft.com/office/drawing/2014/chart" uri="{C3380CC4-5D6E-409C-BE32-E72D297353CC}">
              <c16:uniqueId val="{00000000-D8B6-491F-A1E2-45FF39AC371E}"/>
            </c:ext>
          </c:extLst>
        </c:ser>
        <c:ser>
          <c:idx val="0"/>
          <c:order val="1"/>
          <c:tx>
            <c:strRef>
              <c:f>'4b. Observations by Standard'!$D$5</c:f>
              <c:strCache>
                <c:ptCount val="1"/>
                <c:pt idx="0">
                  <c:v>LRF (N = 428)</c:v>
                </c:pt>
              </c:strCache>
            </c:strRef>
          </c:tx>
          <c:spPr>
            <a:solidFill>
              <a:schemeClr val="accent5">
                <a:lumMod val="40000"/>
                <a:lumOff val="60000"/>
              </a:schemeClr>
            </a:solidFill>
          </c:spPr>
          <c:invertIfNegative val="0"/>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'4b. Observations by Standard'!$B$7:$B$15</c:f>
              <c:strCache>
                <c:ptCount val="9"/>
                <c:pt idx="0">
                  <c:v>Average Observation Score</c:v>
                </c:pt>
                <c:pt idx="1">
                  <c:v>Abuse, Neglect and Exploitation</c:v>
                </c:pt>
                <c:pt idx="2">
                  <c:v>Restrictive Interventions</c:v>
                </c:pt>
                <c:pt idx="3">
                  <c:v>Medication Management</c:v>
                </c:pt>
                <c:pt idx="4">
                  <c:v>Physical Environment</c:v>
                </c:pt>
                <c:pt idx="5">
                  <c:v>Dignity and Respect</c:v>
                </c:pt>
                <c:pt idx="6">
                  <c:v>Privacy</c:v>
                </c:pt>
                <c:pt idx="7">
                  <c:v>Community Opportunity</c:v>
                </c:pt>
                <c:pt idx="8">
                  <c:v>Autonomy and Independence</c:v>
                </c:pt>
              </c:strCache>
            </c:strRef>
          </c:cat>
          <c:val>
            <c:numRef>
              <c:f>'4b. Observations by Standard'!$D$7:$D$15</c:f>
              <c:numCache>
                <c:formatCode>0.0%</c:formatCode>
                <c:ptCount val="9"/>
                <c:pt idx="0">
                  <c:v>0.96184693801064391</c:v>
                </c:pt>
                <c:pt idx="1">
                  <c:v>0.99692000000000003</c:v>
                </c:pt>
                <c:pt idx="2">
                  <c:v>0.98923000000000005</c:v>
                </c:pt>
                <c:pt idx="3">
                  <c:v>0.96614999999999995</c:v>
                </c:pt>
                <c:pt idx="4">
                  <c:v>0.99519000000000002</c:v>
                </c:pt>
                <c:pt idx="5">
                  <c:v>0.97489000000000003</c:v>
                </c:pt>
                <c:pt idx="6">
                  <c:v>0.93669000000000002</c:v>
                </c:pt>
                <c:pt idx="7">
                  <c:v>0.94950000000000001</c:v>
                </c:pt>
                <c:pt idx="8">
                  <c:v>0.92676999999999998</c:v>
                </c:pt>
              </c:numCache>
            </c:numRef>
          </c:val>
          <c:extLst>
            <c:ext xmlns:c16="http://schemas.microsoft.com/office/drawing/2014/chart" uri="{C3380CC4-5D6E-409C-BE32-E72D297353CC}">
              <c16:uniqueId val="{00000001-D8B6-491F-A1E2-45FF39AC371E}"/>
            </c:ext>
          </c:extLst>
        </c:ser>
        <c:dLbls>
          <c:showLegendKey val="0"/>
          <c:showVal val="0"/>
          <c:showCatName val="0"/>
          <c:showSerName val="0"/>
          <c:showPercent val="0"/>
          <c:showBubbleSize val="0"/>
        </c:dLbls>
        <c:gapWidth val="150"/>
        <c:axId val="103490688"/>
        <c:axId val="103492224"/>
      </c:barChart>
      <c:catAx>
        <c:axId val="103490688"/>
        <c:scaling>
          <c:orientation val="minMax"/>
        </c:scaling>
        <c:delete val="0"/>
        <c:axPos val="l"/>
        <c:numFmt formatCode="General" sourceLinked="0"/>
        <c:majorTickMark val="out"/>
        <c:minorTickMark val="none"/>
        <c:tickLblPos val="nextTo"/>
        <c:txPr>
          <a:bodyPr/>
          <a:lstStyle/>
          <a:p>
            <a:pPr>
              <a:defRPr>
                <a:latin typeface="Franklin Gothic Medium" panose="020B0603020102020204" pitchFamily="34" charset="0"/>
              </a:defRPr>
            </a:pPr>
            <a:endParaRPr lang="en-US"/>
          </a:p>
        </c:txPr>
        <c:crossAx val="103492224"/>
        <c:crosses val="autoZero"/>
        <c:auto val="1"/>
        <c:lblAlgn val="ctr"/>
        <c:lblOffset val="100"/>
        <c:noMultiLvlLbl val="0"/>
      </c:catAx>
      <c:valAx>
        <c:axId val="103492224"/>
        <c:scaling>
          <c:orientation val="minMax"/>
          <c:max val="1"/>
          <c:min val="0"/>
        </c:scaling>
        <c:delete val="0"/>
        <c:axPos val="b"/>
        <c:majorGridlines/>
        <c:numFmt formatCode="0%" sourceLinked="0"/>
        <c:majorTickMark val="out"/>
        <c:minorTickMark val="none"/>
        <c:tickLblPos val="nextTo"/>
        <c:crossAx val="103490688"/>
        <c:crosses val="autoZero"/>
        <c:crossBetween val="between"/>
        <c:majorUnit val="0.25"/>
      </c:valAx>
    </c:plotArea>
    <c:legend>
      <c:legendPos val="b"/>
      <c:layout>
        <c:manualLayout>
          <c:xMode val="edge"/>
          <c:yMode val="edge"/>
          <c:x val="0.31584934096310235"/>
          <c:y val="0.90638323270815635"/>
          <c:w val="0.49703692695503177"/>
          <c:h val="7.0293152131493772E-2"/>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200" b="0">
                <a:latin typeface="Franklin Gothic Medium" panose="020B0603020102020204" pitchFamily="34" charset="0"/>
              </a:rPr>
              <a:t>Figure 11: Observations</a:t>
            </a:r>
            <a:r>
              <a:rPr lang="en-US" sz="1200" b="0" baseline="0">
                <a:latin typeface="Franklin Gothic Medium" panose="020B0603020102020204" pitchFamily="34" charset="0"/>
              </a:rPr>
              <a:t> by Type and</a:t>
            </a:r>
            <a:r>
              <a:rPr lang="en-US" sz="1200" b="0">
                <a:latin typeface="Franklin Gothic Medium" panose="020B0603020102020204" pitchFamily="34" charset="0"/>
              </a:rPr>
              <a:t> Region                                                                                      January - June 2016</a:t>
            </a:r>
          </a:p>
        </c:rich>
      </c:tx>
      <c:layout>
        <c:manualLayout>
          <c:xMode val="edge"/>
          <c:yMode val="edge"/>
          <c:x val="0.25116447592120539"/>
          <c:y val="4.5311356441842213E-2"/>
        </c:manualLayout>
      </c:layout>
      <c:overlay val="0"/>
    </c:title>
    <c:autoTitleDeleted val="0"/>
    <c:plotArea>
      <c:layout>
        <c:manualLayout>
          <c:layoutTarget val="inner"/>
          <c:xMode val="edge"/>
          <c:yMode val="edge"/>
          <c:x val="0.25559148746048438"/>
          <c:y val="0.17912529649845246"/>
          <c:w val="0.68881955107857218"/>
          <c:h val="0.64892516555415447"/>
        </c:manualLayout>
      </c:layout>
      <c:barChart>
        <c:barDir val="bar"/>
        <c:grouping val="clustered"/>
        <c:varyColors val="0"/>
        <c:ser>
          <c:idx val="1"/>
          <c:order val="0"/>
          <c:tx>
            <c:strRef>
              <c:f>'4a. Obs LRF v. ADT; A v. UA'!$K$16</c:f>
              <c:strCache>
                <c:ptCount val="1"/>
                <c:pt idx="0">
                  <c:v>Unannounced (N = 126)</c:v>
                </c:pt>
              </c:strCache>
            </c:strRef>
          </c:tx>
          <c:spPr>
            <a:solidFill>
              <a:schemeClr val="accent2">
                <a:lumMod val="50000"/>
              </a:schemeClr>
            </a:solidFill>
          </c:spPr>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'4a. Obs LRF v. ADT; A v. UA'!$I$17:$I$23</c:f>
              <c:strCache>
                <c:ptCount val="7"/>
                <c:pt idx="0">
                  <c:v>State</c:v>
                </c:pt>
                <c:pt idx="1">
                  <c:v>Southern</c:v>
                </c:pt>
                <c:pt idx="2">
                  <c:v>Southeast</c:v>
                </c:pt>
                <c:pt idx="3">
                  <c:v>Suncoast</c:v>
                </c:pt>
                <c:pt idx="4">
                  <c:v>Central</c:v>
                </c:pt>
                <c:pt idx="5">
                  <c:v>Northeast</c:v>
                </c:pt>
                <c:pt idx="6">
                  <c:v>Northwest</c:v>
                </c:pt>
              </c:strCache>
            </c:strRef>
          </c:cat>
          <c:val>
            <c:numRef>
              <c:f>'4a. Obs LRF v. ADT; A v. UA'!$K$17:$K$23</c:f>
              <c:numCache>
                <c:formatCode>0.0%</c:formatCode>
                <c:ptCount val="7"/>
                <c:pt idx="0">
                  <c:v>0.94966398735011204</c:v>
                </c:pt>
                <c:pt idx="1">
                  <c:v>0.94245999999999996</c:v>
                </c:pt>
                <c:pt idx="2">
                  <c:v>0.94289000000000001</c:v>
                </c:pt>
                <c:pt idx="3">
                  <c:v>0.98941000000000001</c:v>
                </c:pt>
                <c:pt idx="4">
                  <c:v>0.93103000000000002</c:v>
                </c:pt>
                <c:pt idx="5">
                  <c:v>0.95942000000000005</c:v>
                </c:pt>
                <c:pt idx="6">
                  <c:v>1</c:v>
                </c:pt>
              </c:numCache>
            </c:numRef>
          </c:val>
          <c:extLst>
            <c:ext xmlns:c16="http://schemas.microsoft.com/office/drawing/2014/chart" uri="{C3380CC4-5D6E-409C-BE32-E72D297353CC}">
              <c16:uniqueId val="{00000000-04A2-41E2-BD1B-C7EB7611F93A}"/>
            </c:ext>
          </c:extLst>
        </c:ser>
        <c:ser>
          <c:idx val="0"/>
          <c:order val="1"/>
          <c:tx>
            <c:strRef>
              <c:f>'4a. Obs LRF v. ADT; A v. UA'!$J$16</c:f>
              <c:strCache>
                <c:ptCount val="1"/>
                <c:pt idx="0">
                  <c:v>Announced       (N =325)</c:v>
                </c:pt>
              </c:strCache>
            </c:strRef>
          </c:tx>
          <c:spPr>
            <a:solidFill>
              <a:schemeClr val="accent5">
                <a:lumMod val="40000"/>
                <a:lumOff val="60000"/>
              </a:schemeClr>
            </a:solidFill>
          </c:spPr>
          <c:invertIfNegative val="0"/>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'4a. Obs LRF v. ADT; A v. UA'!$I$17:$I$23</c:f>
              <c:strCache>
                <c:ptCount val="7"/>
                <c:pt idx="0">
                  <c:v>State</c:v>
                </c:pt>
                <c:pt idx="1">
                  <c:v>Southern</c:v>
                </c:pt>
                <c:pt idx="2">
                  <c:v>Southeast</c:v>
                </c:pt>
                <c:pt idx="3">
                  <c:v>Suncoast</c:v>
                </c:pt>
                <c:pt idx="4">
                  <c:v>Central</c:v>
                </c:pt>
                <c:pt idx="5">
                  <c:v>Northeast</c:v>
                </c:pt>
                <c:pt idx="6">
                  <c:v>Northwest</c:v>
                </c:pt>
              </c:strCache>
            </c:strRef>
          </c:cat>
          <c:val>
            <c:numRef>
              <c:f>'4a. Obs LRF v. ADT; A v. UA'!$J$17:$J$23</c:f>
              <c:numCache>
                <c:formatCode>0.0%</c:formatCode>
                <c:ptCount val="7"/>
                <c:pt idx="0">
                  <c:v>0.96829139200307945</c:v>
                </c:pt>
                <c:pt idx="1">
                  <c:v>0.97297</c:v>
                </c:pt>
                <c:pt idx="2">
                  <c:v>0.9677</c:v>
                </c:pt>
                <c:pt idx="3">
                  <c:v>0.97208000000000006</c:v>
                </c:pt>
                <c:pt idx="4">
                  <c:v>0.96187</c:v>
                </c:pt>
                <c:pt idx="5">
                  <c:v>0.97011000000000003</c:v>
                </c:pt>
                <c:pt idx="6">
                  <c:v>0.97021000000000002</c:v>
                </c:pt>
              </c:numCache>
            </c:numRef>
          </c:val>
          <c:extLst>
            <c:ext xmlns:c16="http://schemas.microsoft.com/office/drawing/2014/chart" uri="{C3380CC4-5D6E-409C-BE32-E72D297353CC}">
              <c16:uniqueId val="{00000001-04A2-41E2-BD1B-C7EB7611F93A}"/>
            </c:ext>
          </c:extLst>
        </c:ser>
        <c:dLbls>
          <c:showLegendKey val="0"/>
          <c:showVal val="0"/>
          <c:showCatName val="0"/>
          <c:showSerName val="0"/>
          <c:showPercent val="0"/>
          <c:showBubbleSize val="0"/>
        </c:dLbls>
        <c:gapWidth val="150"/>
        <c:axId val="103879040"/>
        <c:axId val="103880576"/>
      </c:barChart>
      <c:catAx>
        <c:axId val="103879040"/>
        <c:scaling>
          <c:orientation val="minMax"/>
        </c:scaling>
        <c:delete val="0"/>
        <c:axPos val="l"/>
        <c:numFmt formatCode="General" sourceLinked="0"/>
        <c:majorTickMark val="out"/>
        <c:minorTickMark val="none"/>
        <c:tickLblPos val="nextTo"/>
        <c:txPr>
          <a:bodyPr/>
          <a:lstStyle/>
          <a:p>
            <a:pPr>
              <a:defRPr>
                <a:latin typeface="Franklin Gothic Medium" panose="020B0603020102020204" pitchFamily="34" charset="0"/>
              </a:defRPr>
            </a:pPr>
            <a:endParaRPr lang="en-US"/>
          </a:p>
        </c:txPr>
        <c:crossAx val="103880576"/>
        <c:crosses val="autoZero"/>
        <c:auto val="1"/>
        <c:lblAlgn val="ctr"/>
        <c:lblOffset val="100"/>
        <c:noMultiLvlLbl val="0"/>
      </c:catAx>
      <c:valAx>
        <c:axId val="103880576"/>
        <c:scaling>
          <c:orientation val="minMax"/>
          <c:max val="1"/>
          <c:min val="0"/>
        </c:scaling>
        <c:delete val="0"/>
        <c:axPos val="b"/>
        <c:majorGridlines/>
        <c:numFmt formatCode="0%" sourceLinked="0"/>
        <c:majorTickMark val="out"/>
        <c:minorTickMark val="none"/>
        <c:tickLblPos val="nextTo"/>
        <c:crossAx val="103879040"/>
        <c:crosses val="autoZero"/>
        <c:crossBetween val="between"/>
        <c:majorUnit val="0.25"/>
      </c:valAx>
    </c:plotArea>
    <c:legend>
      <c:legendPos val="b"/>
      <c:layout>
        <c:manualLayout>
          <c:xMode val="edge"/>
          <c:yMode val="edge"/>
          <c:x val="0.24255811920389178"/>
          <c:y val="0.91358971447970583"/>
          <c:w val="0.69032212611802612"/>
          <c:h val="6.541290440625358E-2"/>
        </c:manualLayout>
      </c:layout>
      <c:overlay val="0"/>
      <c:txPr>
        <a:bodyPr/>
        <a:lstStyle/>
        <a:p>
          <a:pPr>
            <a:defRPr sz="1050" b="1"/>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1200"/>
            </a:pPr>
            <a:r>
              <a:rPr lang="en-US" sz="1200" b="0">
                <a:latin typeface="Franklin Gothic Medium" panose="020B0603020102020204" pitchFamily="34" charset="0"/>
              </a:rPr>
              <a:t>Figure 12: Observation Type by Standard</a:t>
            </a:r>
          </a:p>
          <a:p>
            <a:pPr>
              <a:defRPr sz="1200"/>
            </a:pPr>
            <a:r>
              <a:rPr lang="en-US" sz="1200" b="0">
                <a:latin typeface="Franklin Gothic Medium" panose="020B0603020102020204" pitchFamily="34" charset="0"/>
              </a:rPr>
              <a:t>January - June 2016 </a:t>
            </a:r>
          </a:p>
        </c:rich>
      </c:tx>
      <c:layout>
        <c:manualLayout>
          <c:xMode val="edge"/>
          <c:yMode val="edge"/>
          <c:x val="0.26275432927285397"/>
          <c:y val="2.9708141380362298E-2"/>
        </c:manualLayout>
      </c:layout>
      <c:overlay val="0"/>
      <c:spPr>
        <a:noFill/>
      </c:spPr>
    </c:title>
    <c:autoTitleDeleted val="0"/>
    <c:plotArea>
      <c:layout/>
      <c:barChart>
        <c:barDir val="bar"/>
        <c:grouping val="clustered"/>
        <c:varyColors val="0"/>
        <c:ser>
          <c:idx val="0"/>
          <c:order val="0"/>
          <c:tx>
            <c:strRef>
              <c:f>'4b. Observations by Standard'!$E$34</c:f>
              <c:strCache>
                <c:ptCount val="1"/>
                <c:pt idx="0">
                  <c:v>Unannounced (N = 126)</c:v>
                </c:pt>
              </c:strCache>
            </c:strRef>
          </c:tx>
          <c:spPr>
            <a:solidFill>
              <a:schemeClr val="accent2">
                <a:lumMod val="50000"/>
              </a:schemeClr>
            </a:solidFill>
          </c:spPr>
          <c:invertIfNegative val="0"/>
          <c:dLbls>
            <c:dLbl>
              <c:idx val="0"/>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5F-44AB-9BC5-E0EC5432EC9A}"/>
                </c:ext>
              </c:extLst>
            </c:dLbl>
            <c:dLbl>
              <c:idx val="1"/>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A5F-44AB-9BC5-E0EC5432EC9A}"/>
                </c:ext>
              </c:extLst>
            </c:dLbl>
            <c:dLbl>
              <c:idx val="2"/>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A5F-44AB-9BC5-E0EC5432EC9A}"/>
                </c:ext>
              </c:extLst>
            </c:dLbl>
            <c:dLbl>
              <c:idx val="3"/>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A5F-44AB-9BC5-E0EC5432EC9A}"/>
                </c:ext>
              </c:extLst>
            </c:dLbl>
            <c:dLbl>
              <c:idx val="4"/>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A5F-44AB-9BC5-E0EC5432EC9A}"/>
                </c:ext>
              </c:extLst>
            </c:dLbl>
            <c:dLbl>
              <c:idx val="5"/>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A5F-44AB-9BC5-E0EC5432EC9A}"/>
                </c:ext>
              </c:extLst>
            </c:dLbl>
            <c:dLbl>
              <c:idx val="6"/>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A5F-44AB-9BC5-E0EC5432EC9A}"/>
                </c:ext>
              </c:extLst>
            </c:dLbl>
            <c:dLbl>
              <c:idx val="7"/>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A5F-44AB-9BC5-E0EC5432EC9A}"/>
                </c:ext>
              </c:extLst>
            </c:dLbl>
            <c:dLbl>
              <c:idx val="8"/>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A5F-44AB-9BC5-E0EC5432EC9A}"/>
                </c:ext>
              </c:extLst>
            </c:dLbl>
            <c:numFmt formatCode="0.0%" sourceLinked="0"/>
            <c:spPr>
              <a:noFill/>
              <a:ln>
                <a:noFill/>
              </a:ln>
              <a:effectLst/>
            </c:spPr>
            <c:txPr>
              <a:bodyPr/>
              <a:lstStyle/>
              <a:p>
                <a:pPr>
                  <a:defRPr b="1">
                    <a:solidFill>
                      <a:schemeClr val="bg1"/>
                    </a:solidFill>
                  </a:defRPr>
                </a:pPr>
                <a:endParaRPr lang="en-US"/>
              </a:p>
            </c:txPr>
            <c:dLblPos val="inEnd"/>
            <c:showLegendKey val="0"/>
            <c:showVal val="0"/>
            <c:showCatName val="0"/>
            <c:showSerName val="0"/>
            <c:showPercent val="0"/>
            <c:showBubbleSize val="0"/>
            <c:extLst>
              <c:ext xmlns:c15="http://schemas.microsoft.com/office/drawing/2012/chart" uri="{CE6537A1-D6FC-4f65-9D91-7224C49458BB}">
                <c15:showLeaderLines val="0"/>
              </c:ext>
            </c:extLst>
          </c:dLbls>
          <c:cat>
            <c:strRef>
              <c:f>'4b. Observations by Standard'!$F$33:$N$33</c:f>
              <c:strCache>
                <c:ptCount val="9"/>
                <c:pt idx="0">
                  <c:v>State</c:v>
                </c:pt>
                <c:pt idx="1">
                  <c:v>Abuse, Neglect and Exploitation</c:v>
                </c:pt>
                <c:pt idx="2">
                  <c:v>Restrictive Interventions</c:v>
                </c:pt>
                <c:pt idx="3">
                  <c:v>Medication Management</c:v>
                </c:pt>
                <c:pt idx="4">
                  <c:v>Physical Environment</c:v>
                </c:pt>
                <c:pt idx="5">
                  <c:v>Dignity and Respect</c:v>
                </c:pt>
                <c:pt idx="6">
                  <c:v>Privacy</c:v>
                </c:pt>
                <c:pt idx="7">
                  <c:v>Community Opportunity</c:v>
                </c:pt>
                <c:pt idx="8">
                  <c:v>Autonomy and Independence</c:v>
                </c:pt>
              </c:strCache>
            </c:strRef>
          </c:cat>
          <c:val>
            <c:numRef>
              <c:f>'4b. Observations by Standard'!$F$34:$N$34</c:f>
              <c:numCache>
                <c:formatCode>0.0%</c:formatCode>
                <c:ptCount val="9"/>
                <c:pt idx="0">
                  <c:v>0.94966398735011204</c:v>
                </c:pt>
                <c:pt idx="1">
                  <c:v>0.99502840909090906</c:v>
                </c:pt>
                <c:pt idx="2">
                  <c:v>0.99305555555555558</c:v>
                </c:pt>
                <c:pt idx="3">
                  <c:v>0.94654088050314467</c:v>
                </c:pt>
                <c:pt idx="4">
                  <c:v>0.99224806201550386</c:v>
                </c:pt>
                <c:pt idx="5">
                  <c:v>0.95562859490550534</c:v>
                </c:pt>
                <c:pt idx="6">
                  <c:v>0.92690611216131069</c:v>
                </c:pt>
                <c:pt idx="7">
                  <c:v>0.93483412322274884</c:v>
                </c:pt>
                <c:pt idx="8">
                  <c:v>0.90285273708558211</c:v>
                </c:pt>
              </c:numCache>
            </c:numRef>
          </c:val>
          <c:extLst>
            <c:ext xmlns:c16="http://schemas.microsoft.com/office/drawing/2014/chart" uri="{C3380CC4-5D6E-409C-BE32-E72D297353CC}">
              <c16:uniqueId val="{00000009-0A5F-44AB-9BC5-E0EC5432EC9A}"/>
            </c:ext>
          </c:extLst>
        </c:ser>
        <c:ser>
          <c:idx val="1"/>
          <c:order val="1"/>
          <c:tx>
            <c:strRef>
              <c:f>'4b. Observations by Standard'!$E$35</c:f>
              <c:strCache>
                <c:ptCount val="1"/>
                <c:pt idx="0">
                  <c:v>Announced (N = 325)</c:v>
                </c:pt>
              </c:strCache>
            </c:strRef>
          </c:tx>
          <c:spPr>
            <a:solidFill>
              <a:schemeClr val="accent5">
                <a:lumMod val="40000"/>
                <a:lumOff val="60000"/>
              </a:schemeClr>
            </a:solidFill>
          </c:spPr>
          <c:invertIfNegative val="0"/>
          <c:dLbls>
            <c:numFmt formatCode="0.0%" sourceLinked="0"/>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'4b. Observations by Standard'!$F$33:$N$33</c:f>
              <c:strCache>
                <c:ptCount val="9"/>
                <c:pt idx="0">
                  <c:v>State</c:v>
                </c:pt>
                <c:pt idx="1">
                  <c:v>Abuse, Neglect and Exploitation</c:v>
                </c:pt>
                <c:pt idx="2">
                  <c:v>Restrictive Interventions</c:v>
                </c:pt>
                <c:pt idx="3">
                  <c:v>Medication Management</c:v>
                </c:pt>
                <c:pt idx="4">
                  <c:v>Physical Environment</c:v>
                </c:pt>
                <c:pt idx="5">
                  <c:v>Dignity and Respect</c:v>
                </c:pt>
                <c:pt idx="6">
                  <c:v>Privacy</c:v>
                </c:pt>
                <c:pt idx="7">
                  <c:v>Community Opportunity</c:v>
                </c:pt>
                <c:pt idx="8">
                  <c:v>Autonomy and Independence</c:v>
                </c:pt>
              </c:strCache>
            </c:strRef>
          </c:cat>
          <c:val>
            <c:numRef>
              <c:f>'4b. Observations by Standard'!$F$35:$N$35</c:f>
              <c:numCache>
                <c:formatCode>0.0%</c:formatCode>
                <c:ptCount val="9"/>
                <c:pt idx="0">
                  <c:v>0.96829139200307945</c:v>
                </c:pt>
                <c:pt idx="1">
                  <c:v>0.99714137214137211</c:v>
                </c:pt>
                <c:pt idx="2">
                  <c:v>0.98632478632478637</c:v>
                </c:pt>
                <c:pt idx="3">
                  <c:v>0.97479954180985107</c:v>
                </c:pt>
                <c:pt idx="4">
                  <c:v>0.99676225716928768</c:v>
                </c:pt>
                <c:pt idx="5">
                  <c:v>0.98281681497391837</c:v>
                </c:pt>
                <c:pt idx="6">
                  <c:v>0.94354465525219811</c:v>
                </c:pt>
                <c:pt idx="7">
                  <c:v>0.95766221813161523</c:v>
                </c:pt>
                <c:pt idx="8">
                  <c:v>0.93850042122999155</c:v>
                </c:pt>
              </c:numCache>
            </c:numRef>
          </c:val>
          <c:extLst>
            <c:ext xmlns:c16="http://schemas.microsoft.com/office/drawing/2014/chart" uri="{C3380CC4-5D6E-409C-BE32-E72D297353CC}">
              <c16:uniqueId val="{0000000A-0A5F-44AB-9BC5-E0EC5432EC9A}"/>
            </c:ext>
          </c:extLst>
        </c:ser>
        <c:dLbls>
          <c:showLegendKey val="0"/>
          <c:showVal val="0"/>
          <c:showCatName val="0"/>
          <c:showSerName val="0"/>
          <c:showPercent val="0"/>
          <c:showBubbleSize val="0"/>
        </c:dLbls>
        <c:gapWidth val="150"/>
        <c:axId val="103930112"/>
        <c:axId val="104002688"/>
      </c:barChart>
      <c:catAx>
        <c:axId val="103930112"/>
        <c:scaling>
          <c:orientation val="minMax"/>
        </c:scaling>
        <c:delete val="0"/>
        <c:axPos val="l"/>
        <c:numFmt formatCode="General" sourceLinked="1"/>
        <c:majorTickMark val="out"/>
        <c:minorTickMark val="none"/>
        <c:tickLblPos val="nextTo"/>
        <c:txPr>
          <a:bodyPr/>
          <a:lstStyle/>
          <a:p>
            <a:pPr>
              <a:defRPr>
                <a:latin typeface="Franklin Gothic Medium" panose="020B0603020102020204" pitchFamily="34" charset="0"/>
              </a:defRPr>
            </a:pPr>
            <a:endParaRPr lang="en-US"/>
          </a:p>
        </c:txPr>
        <c:crossAx val="104002688"/>
        <c:crosses val="autoZero"/>
        <c:auto val="1"/>
        <c:lblAlgn val="ctr"/>
        <c:lblOffset val="100"/>
        <c:noMultiLvlLbl val="0"/>
      </c:catAx>
      <c:valAx>
        <c:axId val="104002688"/>
        <c:scaling>
          <c:orientation val="minMax"/>
          <c:max val="1"/>
          <c:min val="0"/>
        </c:scaling>
        <c:delete val="0"/>
        <c:axPos val="b"/>
        <c:majorGridlines/>
        <c:numFmt formatCode="0%" sourceLinked="0"/>
        <c:majorTickMark val="out"/>
        <c:minorTickMark val="none"/>
        <c:tickLblPos val="nextTo"/>
        <c:crossAx val="103930112"/>
        <c:crosses val="autoZero"/>
        <c:crossBetween val="between"/>
        <c:majorUnit val="0.25"/>
      </c:valAx>
    </c:plotArea>
    <c:legend>
      <c:legendPos val="b"/>
      <c:layout>
        <c:manualLayout>
          <c:xMode val="edge"/>
          <c:yMode val="edge"/>
          <c:x val="0.16403645267393596"/>
          <c:y val="0.92246540019539625"/>
          <c:w val="0.72594795590784045"/>
          <c:h val="5.9143799645506465E-2"/>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200" b="0">
                <a:latin typeface="Franklin Gothic Medium" panose="020B0603020102020204" pitchFamily="34" charset="0"/>
                <a:cs typeface="Aharoni" panose="02010803020104030203" pitchFamily="2" charset="-79"/>
              </a:rPr>
              <a:t>Figure 13: SSRR Scores</a:t>
            </a:r>
            <a:r>
              <a:rPr lang="en-US" sz="1200" b="0" baseline="0">
                <a:latin typeface="Franklin Gothic Medium" panose="020B0603020102020204" pitchFamily="34" charset="0"/>
                <a:cs typeface="Aharoni" panose="02010803020104030203" pitchFamily="2" charset="-79"/>
              </a:rPr>
              <a:t> by Service</a:t>
            </a:r>
          </a:p>
          <a:p>
            <a:pPr algn="ctr">
              <a:defRPr/>
            </a:pPr>
            <a:r>
              <a:rPr lang="en-US" sz="1200" b="0" baseline="0">
                <a:latin typeface="Franklin Gothic Medium" panose="020B0603020102020204" pitchFamily="34" charset="0"/>
                <a:cs typeface="Aharoni" panose="02010803020104030203" pitchFamily="2" charset="-79"/>
              </a:rPr>
              <a:t>Percent Met</a:t>
            </a:r>
          </a:p>
          <a:p>
            <a:pPr algn="ctr">
              <a:defRPr/>
            </a:pPr>
            <a:r>
              <a:rPr lang="en-US" sz="1200" b="0" baseline="0">
                <a:latin typeface="Franklin Gothic Medium" panose="020B0603020102020204" pitchFamily="34" charset="0"/>
                <a:cs typeface="Aharoni" panose="02010803020104030203" pitchFamily="2" charset="-79"/>
              </a:rPr>
              <a:t>January - June 2016</a:t>
            </a:r>
            <a:endParaRPr lang="en-US" sz="1200" b="0">
              <a:latin typeface="Franklin Gothic Medium" panose="020B0603020102020204" pitchFamily="34" charset="0"/>
              <a:cs typeface="Aharoni" panose="02010803020104030203" pitchFamily="2" charset="-79"/>
            </a:endParaRPr>
          </a:p>
        </c:rich>
      </c:tx>
      <c:overlay val="1"/>
    </c:title>
    <c:autoTitleDeleted val="0"/>
    <c:plotArea>
      <c:layout>
        <c:manualLayout>
          <c:layoutTarget val="inner"/>
          <c:xMode val="edge"/>
          <c:yMode val="edge"/>
          <c:x val="0.48786914880673027"/>
          <c:y val="0.1726111605611097"/>
          <c:w val="0.44822565225704403"/>
          <c:h val="0.73913996204939902"/>
        </c:manualLayout>
      </c:layout>
      <c:barChart>
        <c:barDir val="bar"/>
        <c:grouping val="clustered"/>
        <c:varyColors val="0"/>
        <c:ser>
          <c:idx val="0"/>
          <c:order val="0"/>
          <c:tx>
            <c:strRef>
              <c:f>'8c. SSRR_by Service Group'!$B$26</c:f>
              <c:strCache>
                <c:ptCount val="1"/>
                <c:pt idx="0">
                  <c:v>Pct Met</c:v>
                </c:pt>
              </c:strCache>
            </c:strRef>
          </c:tx>
          <c:spPr>
            <a:solidFill>
              <a:schemeClr val="accent5">
                <a:lumMod val="75000"/>
              </a:schemeClr>
            </a:solidFill>
            <a:scene3d>
              <a:camera prst="orthographicFront"/>
              <a:lightRig rig="threePt" dir="t"/>
            </a:scene3d>
            <a:sp3d>
              <a:bevelT w="101600" prst="riblet"/>
            </a:sp3d>
          </c:spPr>
          <c:invertIfNegative val="0"/>
          <c:dLbls>
            <c:spPr>
              <a:noFill/>
              <a:ln>
                <a:noFill/>
              </a:ln>
              <a:effectLst/>
            </c:spPr>
            <c:txPr>
              <a:bodyPr/>
              <a:lstStyle/>
              <a:p>
                <a:pPr>
                  <a:defRPr sz="11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'8c. SSRR_by Service Group'!$A$27:$A$38</c:f>
              <c:strCache>
                <c:ptCount val="12"/>
                <c:pt idx="0">
                  <c:v>Average SSRR WSC (993)</c:v>
                </c:pt>
                <c:pt idx="1">
                  <c:v>Average SSRR Service Providers (2209)</c:v>
                </c:pt>
                <c:pt idx="2">
                  <c:v>Supported Living Coaching (190)</c:v>
                </c:pt>
                <c:pt idx="3">
                  <c:v>Respite (191)</c:v>
                </c:pt>
                <c:pt idx="4">
                  <c:v>ResHab Standard (478)</c:v>
                </c:pt>
                <c:pt idx="5">
                  <c:v>ResHab Behavior Focus (75)</c:v>
                </c:pt>
                <c:pt idx="6">
                  <c:v>Personal Supports (670)</c:v>
                </c:pt>
                <c:pt idx="7">
                  <c:v>LSD 3 ADT(109)</c:v>
                </c:pt>
                <c:pt idx="8">
                  <c:v>LSD 2 Supported Employment (72)</c:v>
                </c:pt>
                <c:pt idx="9">
                  <c:v>LSD 1 Companion (329)</c:v>
                </c:pt>
                <c:pt idx="10">
                  <c:v>Behavior Assistant (23)</c:v>
                </c:pt>
                <c:pt idx="11">
                  <c:v>Behavior Analysis (68)</c:v>
                </c:pt>
              </c:strCache>
            </c:strRef>
          </c:cat>
          <c:val>
            <c:numRef>
              <c:f>'8c. SSRR_by Service Group'!$B$27:$B$38</c:f>
              <c:numCache>
                <c:formatCode>0.0%</c:formatCode>
                <c:ptCount val="12"/>
                <c:pt idx="0">
                  <c:v>0.9430045230472125</c:v>
                </c:pt>
                <c:pt idx="1">
                  <c:v>0.92610312130731764</c:v>
                </c:pt>
                <c:pt idx="2">
                  <c:v>0.91757370812638694</c:v>
                </c:pt>
                <c:pt idx="3">
                  <c:v>0.91795033008487892</c:v>
                </c:pt>
                <c:pt idx="4">
                  <c:v>0.92621672792070386</c:v>
                </c:pt>
                <c:pt idx="5">
                  <c:v>0.94458052663808945</c:v>
                </c:pt>
                <c:pt idx="6">
                  <c:v>0.91552377394738249</c:v>
                </c:pt>
                <c:pt idx="7">
                  <c:v>0.95096582466567603</c:v>
                </c:pt>
                <c:pt idx="8">
                  <c:v>0.920844327176781</c:v>
                </c:pt>
                <c:pt idx="9">
                  <c:v>0.92813873381636769</c:v>
                </c:pt>
                <c:pt idx="10">
                  <c:v>0.96383647798742134</c:v>
                </c:pt>
                <c:pt idx="11">
                  <c:v>0.97744034707158356</c:v>
                </c:pt>
              </c:numCache>
            </c:numRef>
          </c:val>
          <c:extLst>
            <c:ext xmlns:c16="http://schemas.microsoft.com/office/drawing/2014/chart" uri="{C3380CC4-5D6E-409C-BE32-E72D297353CC}">
              <c16:uniqueId val="{00000000-0298-44AD-9C93-EDE4A706FB99}"/>
            </c:ext>
          </c:extLst>
        </c:ser>
        <c:dLbls>
          <c:showLegendKey val="0"/>
          <c:showVal val="0"/>
          <c:showCatName val="0"/>
          <c:showSerName val="0"/>
          <c:showPercent val="0"/>
          <c:showBubbleSize val="0"/>
        </c:dLbls>
        <c:gapWidth val="73"/>
        <c:axId val="104061568"/>
        <c:axId val="104116608"/>
      </c:barChart>
      <c:catAx>
        <c:axId val="104061568"/>
        <c:scaling>
          <c:orientation val="minMax"/>
        </c:scaling>
        <c:delete val="0"/>
        <c:axPos val="l"/>
        <c:numFmt formatCode="General" sourceLinked="1"/>
        <c:majorTickMark val="out"/>
        <c:minorTickMark val="none"/>
        <c:tickLblPos val="nextTo"/>
        <c:txPr>
          <a:bodyPr/>
          <a:lstStyle/>
          <a:p>
            <a:pPr>
              <a:defRPr sz="1000">
                <a:latin typeface="Franklin Gothic Medium" panose="020B0603020102020204" pitchFamily="34" charset="0"/>
              </a:defRPr>
            </a:pPr>
            <a:endParaRPr lang="en-US"/>
          </a:p>
        </c:txPr>
        <c:crossAx val="104116608"/>
        <c:crosses val="autoZero"/>
        <c:auto val="1"/>
        <c:lblAlgn val="ctr"/>
        <c:lblOffset val="100"/>
        <c:noMultiLvlLbl val="0"/>
      </c:catAx>
      <c:valAx>
        <c:axId val="104116608"/>
        <c:scaling>
          <c:orientation val="minMax"/>
          <c:max val="1"/>
          <c:min val="0"/>
        </c:scaling>
        <c:delete val="0"/>
        <c:axPos val="b"/>
        <c:majorGridlines/>
        <c:numFmt formatCode="0%" sourceLinked="0"/>
        <c:majorTickMark val="out"/>
        <c:minorTickMark val="none"/>
        <c:tickLblPos val="nextTo"/>
        <c:crossAx val="104061568"/>
        <c:crosses val="autoZero"/>
        <c:crossBetween val="between"/>
        <c:majorUnit val="0.25"/>
      </c:valAx>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Franklin Gothic Medium" panose="020B0603020102020204" pitchFamily="34" charset="0"/>
              </a:defRPr>
            </a:pPr>
            <a:r>
              <a:rPr lang="en-US" sz="1200" b="0">
                <a:latin typeface="Franklin Gothic Medium" panose="020B0603020102020204" pitchFamily="34" charset="0"/>
              </a:rPr>
              <a:t>Figure 2:  PCR</a:t>
            </a:r>
            <a:r>
              <a:rPr lang="en-US" sz="1200" b="0" baseline="0">
                <a:latin typeface="Franklin Gothic Medium" panose="020B0603020102020204" pitchFamily="34" charset="0"/>
              </a:rPr>
              <a:t> Distribution by Age Group</a:t>
            </a:r>
          </a:p>
          <a:p>
            <a:pPr>
              <a:defRPr sz="1200" b="0">
                <a:latin typeface="Franklin Gothic Medium" panose="020B0603020102020204" pitchFamily="34" charset="0"/>
              </a:defRPr>
            </a:pPr>
            <a:r>
              <a:rPr lang="en-US" sz="1200" b="0" baseline="0">
                <a:latin typeface="Franklin Gothic Medium" panose="020B0603020102020204" pitchFamily="34" charset="0"/>
              </a:rPr>
              <a:t>January - June 2016</a:t>
            </a:r>
            <a:endParaRPr lang="en-US" sz="1200" b="0">
              <a:latin typeface="Franklin Gothic Medium" panose="020B0603020102020204" pitchFamily="34" charset="0"/>
            </a:endParaRPr>
          </a:p>
        </c:rich>
      </c:tx>
      <c:layout/>
      <c:overlay val="0"/>
    </c:title>
    <c:autoTitleDeleted val="0"/>
    <c:plotArea>
      <c:layout>
        <c:manualLayout>
          <c:layoutTarget val="inner"/>
          <c:xMode val="edge"/>
          <c:yMode val="edge"/>
          <c:x val="0.39569925634295711"/>
          <c:y val="0.20258401230283624"/>
          <c:w val="0.53214107611548556"/>
          <c:h val="0.57360378825266656"/>
        </c:manualLayout>
      </c:layout>
      <c:barChart>
        <c:barDir val="bar"/>
        <c:grouping val="clustered"/>
        <c:varyColors val="0"/>
        <c:ser>
          <c:idx val="1"/>
          <c:order val="0"/>
          <c:tx>
            <c:strRef>
              <c:f>'2. PCR Demographics '!$K$4</c:f>
              <c:strCache>
                <c:ptCount val="1"/>
                <c:pt idx="0">
                  <c:v>CDC+ (N=151)</c:v>
                </c:pt>
              </c:strCache>
            </c:strRef>
          </c:tx>
          <c:spPr>
            <a:solidFill>
              <a:schemeClr val="accent4">
                <a:lumMod val="60000"/>
                <a:lumOff val="40000"/>
              </a:schemeClr>
            </a:solidFill>
            <a:scene3d>
              <a:camera prst="orthographicFront"/>
              <a:lightRig rig="threePt" dir="t"/>
            </a:scene3d>
            <a:sp3d>
              <a:bevelT prst="angle"/>
            </a:sp3d>
          </c:spPr>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PCR Demographics '!$I$33:$I$37</c:f>
              <c:strCache>
                <c:ptCount val="5"/>
                <c:pt idx="0">
                  <c:v>65+</c:v>
                </c:pt>
                <c:pt idx="1">
                  <c:v>45-64</c:v>
                </c:pt>
                <c:pt idx="2">
                  <c:v>22-44</c:v>
                </c:pt>
                <c:pt idx="3">
                  <c:v>18-21</c:v>
                </c:pt>
                <c:pt idx="4">
                  <c:v>&lt;18</c:v>
                </c:pt>
              </c:strCache>
            </c:strRef>
          </c:cat>
          <c:val>
            <c:numRef>
              <c:f>'2. PCR Demographics '!$K$33:$K$37</c:f>
              <c:numCache>
                <c:formatCode>0.0%</c:formatCode>
                <c:ptCount val="5"/>
                <c:pt idx="0">
                  <c:v>1.9867549668874173E-2</c:v>
                </c:pt>
                <c:pt idx="1">
                  <c:v>8.6092715231788075E-2</c:v>
                </c:pt>
                <c:pt idx="2">
                  <c:v>0.59602649006622521</c:v>
                </c:pt>
                <c:pt idx="3">
                  <c:v>0.17218543046357615</c:v>
                </c:pt>
                <c:pt idx="4">
                  <c:v>0.12582781456953643</c:v>
                </c:pt>
              </c:numCache>
            </c:numRef>
          </c:val>
          <c:extLst>
            <c:ext xmlns:c16="http://schemas.microsoft.com/office/drawing/2014/chart" uri="{C3380CC4-5D6E-409C-BE32-E72D297353CC}">
              <c16:uniqueId val="{00000000-BF52-4B5C-ABBA-FA87B1EEB294}"/>
            </c:ext>
          </c:extLst>
        </c:ser>
        <c:ser>
          <c:idx val="0"/>
          <c:order val="1"/>
          <c:tx>
            <c:strRef>
              <c:f>'2. PCR Demographics '!$J$4</c:f>
              <c:strCache>
                <c:ptCount val="1"/>
                <c:pt idx="0">
                  <c:v>DD Waiver (N=632)</c:v>
                </c:pt>
              </c:strCache>
            </c:strRef>
          </c:tx>
          <c:spPr>
            <a:solidFill>
              <a:schemeClr val="accent5">
                <a:lumMod val="40000"/>
                <a:lumOff val="60000"/>
              </a:schemeClr>
            </a:solidFill>
            <a:scene3d>
              <a:camera prst="orthographicFront"/>
              <a:lightRig rig="threePt" dir="t"/>
            </a:scene3d>
            <a:sp3d>
              <a:bevelT prst="angle"/>
            </a:sp3d>
          </c:spPr>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PCR Demographics '!$I$33:$I$37</c:f>
              <c:strCache>
                <c:ptCount val="5"/>
                <c:pt idx="0">
                  <c:v>65+</c:v>
                </c:pt>
                <c:pt idx="1">
                  <c:v>45-64</c:v>
                </c:pt>
                <c:pt idx="2">
                  <c:v>22-44</c:v>
                </c:pt>
                <c:pt idx="3">
                  <c:v>18-21</c:v>
                </c:pt>
                <c:pt idx="4">
                  <c:v>&lt;18</c:v>
                </c:pt>
              </c:strCache>
            </c:strRef>
          </c:cat>
          <c:val>
            <c:numRef>
              <c:f>'2. PCR Demographics '!$J$33:$J$37</c:f>
              <c:numCache>
                <c:formatCode>0.0%</c:formatCode>
                <c:ptCount val="5"/>
                <c:pt idx="0">
                  <c:v>4.588607594936709E-2</c:v>
                </c:pt>
                <c:pt idx="1">
                  <c:v>0.27373417721518989</c:v>
                </c:pt>
                <c:pt idx="2">
                  <c:v>0.55063291139240511</c:v>
                </c:pt>
                <c:pt idx="3">
                  <c:v>6.9620253164556958E-2</c:v>
                </c:pt>
                <c:pt idx="4">
                  <c:v>6.0126582278481014E-2</c:v>
                </c:pt>
              </c:numCache>
            </c:numRef>
          </c:val>
          <c:extLst>
            <c:ext xmlns:c16="http://schemas.microsoft.com/office/drawing/2014/chart" uri="{C3380CC4-5D6E-409C-BE32-E72D297353CC}">
              <c16:uniqueId val="{00000001-BF52-4B5C-ABBA-FA87B1EEB294}"/>
            </c:ext>
          </c:extLst>
        </c:ser>
        <c:dLbls>
          <c:showLegendKey val="0"/>
          <c:showVal val="0"/>
          <c:showCatName val="0"/>
          <c:showSerName val="0"/>
          <c:showPercent val="0"/>
          <c:showBubbleSize val="0"/>
        </c:dLbls>
        <c:gapWidth val="150"/>
        <c:axId val="109209856"/>
        <c:axId val="115088000"/>
      </c:barChart>
      <c:catAx>
        <c:axId val="109209856"/>
        <c:scaling>
          <c:orientation val="minMax"/>
        </c:scaling>
        <c:delete val="0"/>
        <c:axPos val="l"/>
        <c:numFmt formatCode="General" sourceLinked="0"/>
        <c:majorTickMark val="out"/>
        <c:minorTickMark val="none"/>
        <c:tickLblPos val="nextTo"/>
        <c:txPr>
          <a:bodyPr/>
          <a:lstStyle/>
          <a:p>
            <a:pPr>
              <a:defRPr>
                <a:latin typeface="Franklin Gothic Medium" panose="020B0603020102020204" pitchFamily="34" charset="0"/>
              </a:defRPr>
            </a:pPr>
            <a:endParaRPr lang="en-US"/>
          </a:p>
        </c:txPr>
        <c:crossAx val="115088000"/>
        <c:crosses val="autoZero"/>
        <c:auto val="1"/>
        <c:lblAlgn val="ctr"/>
        <c:lblOffset val="100"/>
        <c:noMultiLvlLbl val="0"/>
      </c:catAx>
      <c:valAx>
        <c:axId val="115088000"/>
        <c:scaling>
          <c:orientation val="minMax"/>
        </c:scaling>
        <c:delete val="0"/>
        <c:axPos val="b"/>
        <c:majorGridlines/>
        <c:numFmt formatCode="0%" sourceLinked="0"/>
        <c:majorTickMark val="out"/>
        <c:minorTickMark val="none"/>
        <c:tickLblPos val="nextTo"/>
        <c:crossAx val="109209856"/>
        <c:crosses val="autoZero"/>
        <c:crossBetween val="between"/>
        <c:majorUnit val="0.25"/>
      </c:valAx>
    </c:plotArea>
    <c:legend>
      <c:legendPos val="b"/>
      <c:layout>
        <c:manualLayout>
          <c:xMode val="edge"/>
          <c:yMode val="edge"/>
          <c:x val="0.27237270341207348"/>
          <c:y val="0.87012493726392171"/>
          <c:w val="0.58303237095363081"/>
          <c:h val="7.9775389900163154E-2"/>
        </c:manualLayout>
      </c:layout>
      <c:overlay val="0"/>
      <c:txPr>
        <a:bodyPr/>
        <a:lstStyle/>
        <a:p>
          <a:pPr>
            <a:defRPr sz="1100" b="1"/>
          </a:pPr>
          <a:endParaRPr lang="en-US"/>
        </a:p>
      </c:txPr>
    </c:legend>
    <c:plotVisOnly val="1"/>
    <c:dispBlanksAs val="gap"/>
    <c:showDLblsOverMax val="0"/>
  </c:chart>
  <c:spPr>
    <a:ln w="15875" cmpd="dbl">
      <a:solidFill>
        <a:schemeClr val="accent4">
          <a:lumMod val="7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0">
                <a:latin typeface="Franklin Gothic Medium" panose="020B0603020102020204" pitchFamily="34" charset="0"/>
              </a:defRPr>
            </a:pPr>
            <a:r>
              <a:rPr lang="en-US" sz="1200" b="0">
                <a:latin typeface="Franklin Gothic Medium" panose="020B0603020102020204" pitchFamily="34" charset="0"/>
              </a:rPr>
              <a:t>Figure 3:  PCR</a:t>
            </a:r>
            <a:r>
              <a:rPr lang="en-US" sz="1200" b="0" baseline="0">
                <a:latin typeface="Franklin Gothic Medium" panose="020B0603020102020204" pitchFamily="34" charset="0"/>
              </a:rPr>
              <a:t> Distribution by Disability</a:t>
            </a:r>
          </a:p>
          <a:p>
            <a:pPr>
              <a:defRPr sz="1200" b="0">
                <a:latin typeface="Franklin Gothic Medium" panose="020B0603020102020204" pitchFamily="34" charset="0"/>
              </a:defRPr>
            </a:pPr>
            <a:r>
              <a:rPr lang="en-US" sz="1200" b="0" baseline="0">
                <a:latin typeface="Franklin Gothic Medium" panose="020B0603020102020204" pitchFamily="34" charset="0"/>
              </a:rPr>
              <a:t>January - June 2016</a:t>
            </a:r>
            <a:endParaRPr lang="en-US" sz="1200" b="0">
              <a:latin typeface="Franklin Gothic Medium" panose="020B0603020102020204" pitchFamily="34" charset="0"/>
            </a:endParaRPr>
          </a:p>
        </c:rich>
      </c:tx>
      <c:layout/>
      <c:overlay val="0"/>
    </c:title>
    <c:autoTitleDeleted val="0"/>
    <c:plotArea>
      <c:layout>
        <c:manualLayout>
          <c:layoutTarget val="inner"/>
          <c:xMode val="edge"/>
          <c:yMode val="edge"/>
          <c:x val="0.39569925634295711"/>
          <c:y val="0.20258401230283624"/>
          <c:w val="0.53214107611548556"/>
          <c:h val="0.55192356497978223"/>
        </c:manualLayout>
      </c:layout>
      <c:barChart>
        <c:barDir val="bar"/>
        <c:grouping val="clustered"/>
        <c:varyColors val="0"/>
        <c:ser>
          <c:idx val="1"/>
          <c:order val="0"/>
          <c:tx>
            <c:strRef>
              <c:f>'2. PCR Demographics '!$K$4</c:f>
              <c:strCache>
                <c:ptCount val="1"/>
                <c:pt idx="0">
                  <c:v>CDC+ (N=151)</c:v>
                </c:pt>
              </c:strCache>
            </c:strRef>
          </c:tx>
          <c:spPr>
            <a:solidFill>
              <a:schemeClr val="accent4">
                <a:lumMod val="60000"/>
                <a:lumOff val="40000"/>
              </a:schemeClr>
            </a:solidFill>
            <a:scene3d>
              <a:camera prst="orthographicFront"/>
              <a:lightRig rig="threePt" dir="t"/>
            </a:scene3d>
            <a:sp3d>
              <a:bevelT prst="angle"/>
            </a:sp3d>
          </c:spPr>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PCR Demographics '!$I$39:$I$42</c:f>
              <c:strCache>
                <c:ptCount val="4"/>
                <c:pt idx="0">
                  <c:v>Other</c:v>
                </c:pt>
                <c:pt idx="1">
                  <c:v>Autism</c:v>
                </c:pt>
                <c:pt idx="2">
                  <c:v>Cerebral Palsy</c:v>
                </c:pt>
                <c:pt idx="3">
                  <c:v>Intellectual Disability</c:v>
                </c:pt>
              </c:strCache>
            </c:strRef>
          </c:cat>
          <c:val>
            <c:numRef>
              <c:f>'2. PCR Demographics '!$K$39:$K$42</c:f>
              <c:numCache>
                <c:formatCode>0.0%</c:formatCode>
                <c:ptCount val="4"/>
                <c:pt idx="0">
                  <c:v>2.6490066225165563E-2</c:v>
                </c:pt>
                <c:pt idx="1">
                  <c:v>0.2251655629139073</c:v>
                </c:pt>
                <c:pt idx="2">
                  <c:v>0.2119205298013245</c:v>
                </c:pt>
                <c:pt idx="3">
                  <c:v>0.53642384105960261</c:v>
                </c:pt>
              </c:numCache>
            </c:numRef>
          </c:val>
          <c:extLst>
            <c:ext xmlns:c16="http://schemas.microsoft.com/office/drawing/2014/chart" uri="{C3380CC4-5D6E-409C-BE32-E72D297353CC}">
              <c16:uniqueId val="{00000000-E5BF-49E9-9B0A-104C3CB05555}"/>
            </c:ext>
          </c:extLst>
        </c:ser>
        <c:ser>
          <c:idx val="0"/>
          <c:order val="1"/>
          <c:tx>
            <c:strRef>
              <c:f>'2. PCR Demographics '!$J$4</c:f>
              <c:strCache>
                <c:ptCount val="1"/>
                <c:pt idx="0">
                  <c:v>DD Waiver (N=632)</c:v>
                </c:pt>
              </c:strCache>
            </c:strRef>
          </c:tx>
          <c:spPr>
            <a:solidFill>
              <a:schemeClr val="accent5">
                <a:lumMod val="40000"/>
                <a:lumOff val="60000"/>
              </a:schemeClr>
            </a:solidFill>
            <a:scene3d>
              <a:camera prst="orthographicFront"/>
              <a:lightRig rig="threePt" dir="t"/>
            </a:scene3d>
            <a:sp3d>
              <a:bevelT prst="angle"/>
            </a:sp3d>
          </c:spPr>
          <c:invertIfNegative val="0"/>
          <c:dLbls>
            <c:spPr>
              <a:noFill/>
              <a:ln>
                <a:noFill/>
              </a:ln>
              <a:effectLst/>
            </c:spPr>
            <c:txPr>
              <a:bodyPr/>
              <a:lstStyle/>
              <a:p>
                <a:pPr>
                  <a:defRPr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'2. PCR Demographics '!$I$39:$I$42</c:f>
              <c:strCache>
                <c:ptCount val="4"/>
                <c:pt idx="0">
                  <c:v>Other</c:v>
                </c:pt>
                <c:pt idx="1">
                  <c:v>Autism</c:v>
                </c:pt>
                <c:pt idx="2">
                  <c:v>Cerebral Palsy</c:v>
                </c:pt>
                <c:pt idx="3">
                  <c:v>Intellectual Disability</c:v>
                </c:pt>
              </c:strCache>
            </c:strRef>
          </c:cat>
          <c:val>
            <c:numRef>
              <c:f>'2. PCR Demographics '!$J$39:$J$42</c:f>
              <c:numCache>
                <c:formatCode>0.0%</c:formatCode>
                <c:ptCount val="4"/>
                <c:pt idx="0">
                  <c:v>5.8544303797468354E-2</c:v>
                </c:pt>
                <c:pt idx="1">
                  <c:v>8.8607594936708861E-2</c:v>
                </c:pt>
                <c:pt idx="2">
                  <c:v>8.7025316455696208E-2</c:v>
                </c:pt>
                <c:pt idx="3">
                  <c:v>0.76582278481012656</c:v>
                </c:pt>
              </c:numCache>
            </c:numRef>
          </c:val>
          <c:extLst>
            <c:ext xmlns:c16="http://schemas.microsoft.com/office/drawing/2014/chart" uri="{C3380CC4-5D6E-409C-BE32-E72D297353CC}">
              <c16:uniqueId val="{00000001-E5BF-49E9-9B0A-104C3CB05555}"/>
            </c:ext>
          </c:extLst>
        </c:ser>
        <c:dLbls>
          <c:showLegendKey val="0"/>
          <c:showVal val="0"/>
          <c:showCatName val="0"/>
          <c:showSerName val="0"/>
          <c:showPercent val="0"/>
          <c:showBubbleSize val="0"/>
        </c:dLbls>
        <c:gapWidth val="150"/>
        <c:axId val="200243840"/>
        <c:axId val="200668672"/>
      </c:barChart>
      <c:catAx>
        <c:axId val="200243840"/>
        <c:scaling>
          <c:orientation val="minMax"/>
        </c:scaling>
        <c:delete val="0"/>
        <c:axPos val="l"/>
        <c:numFmt formatCode="General" sourceLinked="0"/>
        <c:majorTickMark val="out"/>
        <c:minorTickMark val="none"/>
        <c:tickLblPos val="nextTo"/>
        <c:txPr>
          <a:bodyPr/>
          <a:lstStyle/>
          <a:p>
            <a:pPr>
              <a:defRPr>
                <a:latin typeface="Franklin Gothic Medium" panose="020B0603020102020204" pitchFamily="34" charset="0"/>
              </a:defRPr>
            </a:pPr>
            <a:endParaRPr lang="en-US"/>
          </a:p>
        </c:txPr>
        <c:crossAx val="200668672"/>
        <c:crosses val="autoZero"/>
        <c:auto val="1"/>
        <c:lblAlgn val="ctr"/>
        <c:lblOffset val="100"/>
        <c:noMultiLvlLbl val="0"/>
      </c:catAx>
      <c:valAx>
        <c:axId val="200668672"/>
        <c:scaling>
          <c:orientation val="minMax"/>
        </c:scaling>
        <c:delete val="0"/>
        <c:axPos val="b"/>
        <c:majorGridlines/>
        <c:numFmt formatCode="0%" sourceLinked="0"/>
        <c:majorTickMark val="out"/>
        <c:minorTickMark val="none"/>
        <c:tickLblPos val="nextTo"/>
        <c:crossAx val="200243840"/>
        <c:crosses val="autoZero"/>
        <c:crossBetween val="between"/>
        <c:majorUnit val="0.25"/>
      </c:valAx>
    </c:plotArea>
    <c:legend>
      <c:legendPos val="b"/>
      <c:layout>
        <c:manualLayout>
          <c:xMode val="edge"/>
          <c:yMode val="edge"/>
          <c:x val="0.27237270341207348"/>
          <c:y val="0.87012493726392171"/>
          <c:w val="0.58303237095363081"/>
          <c:h val="7.9775389900163154E-2"/>
        </c:manualLayout>
      </c:layout>
      <c:overlay val="0"/>
      <c:txPr>
        <a:bodyPr/>
        <a:lstStyle/>
        <a:p>
          <a:pPr>
            <a:defRPr sz="1100" b="1"/>
          </a:pPr>
          <a:endParaRPr lang="en-US"/>
        </a:p>
      </c:txPr>
    </c:legend>
    <c:plotVisOnly val="1"/>
    <c:dispBlanksAs val="gap"/>
    <c:showDLblsOverMax val="0"/>
  </c:chart>
  <c:spPr>
    <a:ln w="15875" cmpd="dbl">
      <a:solidFill>
        <a:schemeClr val="accent4">
          <a:lumMod val="7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200" b="0">
                <a:latin typeface="Franklin Gothic Medium" panose="020B0603020102020204" pitchFamily="34" charset="0"/>
              </a:rPr>
              <a:t>Figure</a:t>
            </a:r>
            <a:r>
              <a:rPr lang="en-US" sz="1200" b="0" baseline="0">
                <a:latin typeface="Franklin Gothic Medium" panose="020B0603020102020204" pitchFamily="34" charset="0"/>
              </a:rPr>
              <a:t> 4: PCR II Results by Standard and Waiver Type</a:t>
            </a:r>
          </a:p>
          <a:p>
            <a:pPr>
              <a:defRPr/>
            </a:pPr>
            <a:r>
              <a:rPr lang="en-US" sz="1200" b="0" baseline="0">
                <a:latin typeface="Franklin Gothic Medium" panose="020B0603020102020204" pitchFamily="34" charset="0"/>
              </a:rPr>
              <a:t>January - June 2016</a:t>
            </a:r>
          </a:p>
        </c:rich>
      </c:tx>
      <c:layout>
        <c:manualLayout>
          <c:xMode val="edge"/>
          <c:yMode val="edge"/>
          <c:x val="0.26206548771567489"/>
          <c:y val="3.3173820370292977E-2"/>
        </c:manualLayout>
      </c:layout>
      <c:overlay val="0"/>
    </c:title>
    <c:autoTitleDeleted val="0"/>
    <c:plotArea>
      <c:layout>
        <c:manualLayout>
          <c:layoutTarget val="inner"/>
          <c:xMode val="edge"/>
          <c:yMode val="edge"/>
          <c:x val="0.28351918528924513"/>
          <c:y val="0.15915281548109531"/>
          <c:w val="0.68028870375989947"/>
          <c:h val="0.69000682473109876"/>
        </c:manualLayout>
      </c:layout>
      <c:barChart>
        <c:barDir val="bar"/>
        <c:grouping val="clustered"/>
        <c:varyColors val="0"/>
        <c:ser>
          <c:idx val="1"/>
          <c:order val="0"/>
          <c:tx>
            <c:strRef>
              <c:f>'4e. III_ by Standard '!$A$45</c:f>
              <c:strCache>
                <c:ptCount val="1"/>
                <c:pt idx="0">
                  <c:v>CDC+ (N=151)</c:v>
                </c:pt>
              </c:strCache>
            </c:strRef>
          </c:tx>
          <c:spPr>
            <a:solidFill>
              <a:schemeClr val="accent4">
                <a:lumMod val="75000"/>
              </a:schemeClr>
            </a:solidFill>
          </c:spPr>
          <c:invertIfNegative val="0"/>
          <c:dLbls>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'4e. III_ by Standard '!$A$34:$A$41</c:f>
              <c:strCache>
                <c:ptCount val="8"/>
                <c:pt idx="0">
                  <c:v>State Average</c:v>
                </c:pt>
                <c:pt idx="1">
                  <c:v>Health</c:v>
                </c:pt>
                <c:pt idx="2">
                  <c:v>Safety</c:v>
                </c:pt>
                <c:pt idx="3">
                  <c:v>Community: Relationships</c:v>
                </c:pt>
                <c:pt idx="4">
                  <c:v>Community: Participation</c:v>
                </c:pt>
                <c:pt idx="5">
                  <c:v>Community: Work/Day Activity</c:v>
                </c:pt>
                <c:pt idx="6">
                  <c:v>Community:  Residence</c:v>
                </c:pt>
                <c:pt idx="7">
                  <c:v>Person Centered Supports</c:v>
                </c:pt>
              </c:strCache>
            </c:strRef>
          </c:cat>
          <c:val>
            <c:numRef>
              <c:f>'4e. III_ by Standard '!$H$47:$H$54</c:f>
              <c:numCache>
                <c:formatCode>0.0%</c:formatCode>
                <c:ptCount val="8"/>
                <c:pt idx="0">
                  <c:v>0.97655984599705581</c:v>
                </c:pt>
                <c:pt idx="1">
                  <c:v>0.98077999999999999</c:v>
                </c:pt>
                <c:pt idx="2">
                  <c:v>0.99136000000000002</c:v>
                </c:pt>
                <c:pt idx="3">
                  <c:v>0.97548000000000001</c:v>
                </c:pt>
                <c:pt idx="4">
                  <c:v>0.96721000000000001</c:v>
                </c:pt>
                <c:pt idx="5">
                  <c:v>0.94755</c:v>
                </c:pt>
                <c:pt idx="6">
                  <c:v>0.96987000000000001</c:v>
                </c:pt>
                <c:pt idx="7">
                  <c:v>0.98548000000000002</c:v>
                </c:pt>
              </c:numCache>
            </c:numRef>
          </c:val>
          <c:extLst>
            <c:ext xmlns:c16="http://schemas.microsoft.com/office/drawing/2014/chart" uri="{C3380CC4-5D6E-409C-BE32-E72D297353CC}">
              <c16:uniqueId val="{00000000-9914-400B-8D20-245613835A1F}"/>
            </c:ext>
          </c:extLst>
        </c:ser>
        <c:ser>
          <c:idx val="0"/>
          <c:order val="1"/>
          <c:tx>
            <c:strRef>
              <c:f>'4e. III_ by Standard '!$A$32</c:f>
              <c:strCache>
                <c:ptCount val="1"/>
                <c:pt idx="0">
                  <c:v>DD Waier (N=632) </c:v>
                </c:pt>
              </c:strCache>
            </c:strRef>
          </c:tx>
          <c:spPr>
            <a:solidFill>
              <a:schemeClr val="accent5">
                <a:lumMod val="60000"/>
                <a:lumOff val="40000"/>
              </a:schemeClr>
            </a:solidFill>
          </c:spPr>
          <c:invertIfNegative val="0"/>
          <c:dLbls>
            <c:spPr>
              <a:noFill/>
              <a:ln>
                <a:noFill/>
              </a:ln>
              <a:effectLst/>
            </c:spPr>
            <c:txPr>
              <a:bodyPr/>
              <a:lstStyle/>
              <a:p>
                <a:pPr>
                  <a:defRPr sz="1000" b="1">
                    <a:latin typeface="+mn-lt"/>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'4e. III_ by Standard '!$A$34:$A$41</c:f>
              <c:strCache>
                <c:ptCount val="8"/>
                <c:pt idx="0">
                  <c:v>State Average</c:v>
                </c:pt>
                <c:pt idx="1">
                  <c:v>Health</c:v>
                </c:pt>
                <c:pt idx="2">
                  <c:v>Safety</c:v>
                </c:pt>
                <c:pt idx="3">
                  <c:v>Community: Relationships</c:v>
                </c:pt>
                <c:pt idx="4">
                  <c:v>Community: Participation</c:v>
                </c:pt>
                <c:pt idx="5">
                  <c:v>Community: Work/Day Activity</c:v>
                </c:pt>
                <c:pt idx="6">
                  <c:v>Community:  Residence</c:v>
                </c:pt>
                <c:pt idx="7">
                  <c:v>Person Centered Supports</c:v>
                </c:pt>
              </c:strCache>
            </c:strRef>
          </c:cat>
          <c:val>
            <c:numRef>
              <c:f>'4e. III_ by Standard '!$H$34:$H$41</c:f>
              <c:numCache>
                <c:formatCode>0.0%</c:formatCode>
                <c:ptCount val="8"/>
                <c:pt idx="0">
                  <c:v>0.95155618537763087</c:v>
                </c:pt>
                <c:pt idx="1">
                  <c:v>0.95560999999999996</c:v>
                </c:pt>
                <c:pt idx="2">
                  <c:v>0.95914999999999995</c:v>
                </c:pt>
                <c:pt idx="3">
                  <c:v>0.94111</c:v>
                </c:pt>
                <c:pt idx="4">
                  <c:v>0.89466999999999997</c:v>
                </c:pt>
                <c:pt idx="5">
                  <c:v>0.91632000000000002</c:v>
                </c:pt>
                <c:pt idx="6">
                  <c:v>0.96789000000000003</c:v>
                </c:pt>
                <c:pt idx="7">
                  <c:v>0.96860999999999997</c:v>
                </c:pt>
              </c:numCache>
            </c:numRef>
          </c:val>
          <c:extLst>
            <c:ext xmlns:c16="http://schemas.microsoft.com/office/drawing/2014/chart" uri="{C3380CC4-5D6E-409C-BE32-E72D297353CC}">
              <c16:uniqueId val="{00000001-9914-400B-8D20-245613835A1F}"/>
            </c:ext>
          </c:extLst>
        </c:ser>
        <c:dLbls>
          <c:showLegendKey val="0"/>
          <c:showVal val="0"/>
          <c:showCatName val="0"/>
          <c:showSerName val="0"/>
          <c:showPercent val="0"/>
          <c:showBubbleSize val="0"/>
        </c:dLbls>
        <c:gapWidth val="150"/>
        <c:axId val="224057600"/>
        <c:axId val="224315264"/>
      </c:barChart>
      <c:catAx>
        <c:axId val="224057600"/>
        <c:scaling>
          <c:orientation val="minMax"/>
        </c:scaling>
        <c:delete val="0"/>
        <c:axPos val="l"/>
        <c:numFmt formatCode="General" sourceLinked="0"/>
        <c:majorTickMark val="out"/>
        <c:minorTickMark val="none"/>
        <c:tickLblPos val="nextTo"/>
        <c:txPr>
          <a:bodyPr/>
          <a:lstStyle/>
          <a:p>
            <a:pPr>
              <a:defRPr b="0">
                <a:latin typeface="Franklin Gothic Medium" panose="020B0603020102020204" pitchFamily="34" charset="0"/>
              </a:defRPr>
            </a:pPr>
            <a:endParaRPr lang="en-US"/>
          </a:p>
        </c:txPr>
        <c:crossAx val="224315264"/>
        <c:crosses val="autoZero"/>
        <c:auto val="1"/>
        <c:lblAlgn val="ctr"/>
        <c:lblOffset val="100"/>
        <c:noMultiLvlLbl val="0"/>
      </c:catAx>
      <c:valAx>
        <c:axId val="224315264"/>
        <c:scaling>
          <c:orientation val="minMax"/>
          <c:max val="1"/>
          <c:min val="0"/>
        </c:scaling>
        <c:delete val="0"/>
        <c:axPos val="b"/>
        <c:majorGridlines/>
        <c:numFmt formatCode="0%" sourceLinked="0"/>
        <c:majorTickMark val="out"/>
        <c:minorTickMark val="none"/>
        <c:tickLblPos val="nextTo"/>
        <c:crossAx val="224057600"/>
        <c:crosses val="autoZero"/>
        <c:crossBetween val="between"/>
        <c:majorUnit val="0.25"/>
        <c:minorUnit val="5.000000000000001E-2"/>
      </c:valAx>
    </c:plotArea>
    <c:legend>
      <c:legendPos val="b"/>
      <c:layout>
        <c:manualLayout>
          <c:xMode val="edge"/>
          <c:yMode val="edge"/>
          <c:x val="0.191237726431737"/>
          <c:y val="0.91931829507058327"/>
          <c:w val="0.79523260493883963"/>
          <c:h val="6.6328860345564081E-2"/>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n-US" sz="1200" b="0">
                <a:latin typeface="Franklin Gothic Medium" panose="020B0603020102020204" pitchFamily="34" charset="0"/>
              </a:rPr>
              <a:t>Figure 5: III Percent Met by Residential Statu</a:t>
            </a:r>
            <a:r>
              <a:rPr lang="en-US" sz="1200" b="0" baseline="0">
                <a:latin typeface="Franklin Gothic Medium" panose="020B0603020102020204" pitchFamily="34" charset="0"/>
              </a:rPr>
              <a:t>s </a:t>
            </a:r>
          </a:p>
          <a:p>
            <a:pPr>
              <a:defRPr/>
            </a:pPr>
            <a:r>
              <a:rPr lang="en-US" sz="1200" b="0">
                <a:latin typeface="Franklin Gothic Medium" panose="020B0603020102020204" pitchFamily="34" charset="0"/>
              </a:rPr>
              <a:t>DD Waiver:</a:t>
            </a:r>
            <a:r>
              <a:rPr lang="en-US" sz="1200" b="0" baseline="0">
                <a:latin typeface="Franklin Gothic Medium" panose="020B0603020102020204" pitchFamily="34" charset="0"/>
              </a:rPr>
              <a:t> </a:t>
            </a:r>
            <a:r>
              <a:rPr lang="en-US" sz="1200" b="0">
                <a:latin typeface="Franklin Gothic Medium" panose="020B0603020102020204" pitchFamily="34" charset="0"/>
              </a:rPr>
              <a:t>January -</a:t>
            </a:r>
            <a:r>
              <a:rPr lang="en-US" sz="1200" b="0" baseline="0">
                <a:latin typeface="Franklin Gothic Medium" panose="020B0603020102020204" pitchFamily="34" charset="0"/>
              </a:rPr>
              <a:t> June 2016</a:t>
            </a:r>
            <a:endParaRPr lang="en-US" sz="1200" b="0">
              <a:latin typeface="Franklin Gothic Medium" panose="020B0603020102020204" pitchFamily="34" charset="0"/>
            </a:endParaRPr>
          </a:p>
        </c:rich>
      </c:tx>
      <c:layout/>
      <c:overlay val="0"/>
    </c:title>
    <c:autoTitleDeleted val="0"/>
    <c:plotArea>
      <c:layout>
        <c:manualLayout>
          <c:layoutTarget val="inner"/>
          <c:xMode val="edge"/>
          <c:yMode val="edge"/>
          <c:x val="7.0495264990904041E-2"/>
          <c:y val="0.27777170710804006"/>
          <c:w val="0.85789454730478543"/>
          <c:h val="0.47010302283643118"/>
        </c:manualLayout>
      </c:layout>
      <c:barChart>
        <c:barDir val="col"/>
        <c:grouping val="clustered"/>
        <c:varyColors val="0"/>
        <c:ser>
          <c:idx val="0"/>
          <c:order val="0"/>
          <c:tx>
            <c:v>DD Waiver (N = 632)</c:v>
          </c:tx>
          <c:spPr>
            <a:solidFill>
              <a:schemeClr val="accent4">
                <a:lumMod val="75000"/>
              </a:schemeClr>
            </a:solidFill>
            <a:scene3d>
              <a:camera prst="orthographicFront"/>
              <a:lightRig rig="threePt" dir="t">
                <a:rot lat="0" lon="0" rev="1200000"/>
              </a:lightRig>
            </a:scene3d>
            <a:sp3d>
              <a:bevelT w="63500" h="25400" prst="angle"/>
            </a:sp3d>
          </c:spPr>
          <c:invertIfNegative val="0"/>
          <c:dLbls>
            <c:numFmt formatCode="0.0%" sourceLinked="0"/>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'4b. III_ Results by Home'!$I$24:$I$27</c:f>
              <c:strCache>
                <c:ptCount val="4"/>
                <c:pt idx="0">
                  <c:v>Family 
Home 
(306)</c:v>
                </c:pt>
                <c:pt idx="1">
                  <c:v>Group 
Home
(210)</c:v>
                </c:pt>
                <c:pt idx="2">
                  <c:v>Ind/ Sup 
Living 
(102)</c:v>
                </c:pt>
                <c:pt idx="3">
                  <c:v>Other
(14)</c:v>
                </c:pt>
              </c:strCache>
            </c:strRef>
          </c:cat>
          <c:val>
            <c:numRef>
              <c:f>'4b. III_ Results by Home'!$H$24:$H$27</c:f>
              <c:numCache>
                <c:formatCode>0.0%</c:formatCode>
                <c:ptCount val="4"/>
                <c:pt idx="0">
                  <c:v>0.96008659931164653</c:v>
                </c:pt>
                <c:pt idx="1">
                  <c:v>0.93258514535110282</c:v>
                </c:pt>
                <c:pt idx="2">
                  <c:v>0.96374669363622223</c:v>
                </c:pt>
                <c:pt idx="3">
                  <c:v>0.96522781774580335</c:v>
                </c:pt>
              </c:numCache>
            </c:numRef>
          </c:val>
          <c:extLst>
            <c:ext xmlns:c16="http://schemas.microsoft.com/office/drawing/2014/chart" uri="{C3380CC4-5D6E-409C-BE32-E72D297353CC}">
              <c16:uniqueId val="{00000000-6887-4F9B-8ADB-C985B1840F11}"/>
            </c:ext>
          </c:extLst>
        </c:ser>
        <c:dLbls>
          <c:showLegendKey val="0"/>
          <c:showVal val="1"/>
          <c:showCatName val="0"/>
          <c:showSerName val="0"/>
          <c:showPercent val="0"/>
          <c:showBubbleSize val="0"/>
        </c:dLbls>
        <c:gapWidth val="228"/>
        <c:axId val="101324672"/>
        <c:axId val="101364480"/>
      </c:barChart>
      <c:catAx>
        <c:axId val="101324672"/>
        <c:scaling>
          <c:orientation val="minMax"/>
        </c:scaling>
        <c:delete val="0"/>
        <c:axPos val="b"/>
        <c:numFmt formatCode="General" sourceLinked="0"/>
        <c:majorTickMark val="none"/>
        <c:minorTickMark val="none"/>
        <c:tickLblPos val="nextTo"/>
        <c:txPr>
          <a:bodyPr rot="0"/>
          <a:lstStyle/>
          <a:p>
            <a:pPr>
              <a:defRPr sz="1100" b="1">
                <a:latin typeface="+mn-lt"/>
              </a:defRPr>
            </a:pPr>
            <a:endParaRPr lang="en-US"/>
          </a:p>
        </c:txPr>
        <c:crossAx val="101364480"/>
        <c:crosses val="autoZero"/>
        <c:auto val="1"/>
        <c:lblAlgn val="ctr"/>
        <c:lblOffset val="100"/>
        <c:noMultiLvlLbl val="0"/>
      </c:catAx>
      <c:valAx>
        <c:axId val="101364480"/>
        <c:scaling>
          <c:orientation val="minMax"/>
          <c:max val="1"/>
          <c:min val="0"/>
        </c:scaling>
        <c:delete val="0"/>
        <c:axPos val="l"/>
        <c:majorGridlines/>
        <c:numFmt formatCode="0%" sourceLinked="0"/>
        <c:majorTickMark val="none"/>
        <c:minorTickMark val="none"/>
        <c:tickLblPos val="nextTo"/>
        <c:txPr>
          <a:bodyPr/>
          <a:lstStyle/>
          <a:p>
            <a:pPr>
              <a:defRPr>
                <a:latin typeface="Franklin Gothic Medium" panose="020B0603020102020204" pitchFamily="34" charset="0"/>
              </a:defRPr>
            </a:pPr>
            <a:endParaRPr lang="en-US"/>
          </a:p>
        </c:txPr>
        <c:crossAx val="101324672"/>
        <c:crosses val="autoZero"/>
        <c:crossBetween val="between"/>
        <c:majorUnit val="0.25"/>
        <c:minorUnit val="0.1"/>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200" b="0">
                <a:latin typeface="Franklin Gothic Medium" panose="020B0603020102020204" pitchFamily="34" charset="0"/>
              </a:rPr>
              <a:t>Figure 6: PCR II by Primary</a:t>
            </a:r>
            <a:r>
              <a:rPr lang="en-US" sz="1200" b="0" baseline="0">
                <a:latin typeface="Franklin Gothic Medium" panose="020B0603020102020204" pitchFamily="34" charset="0"/>
              </a:rPr>
              <a:t> </a:t>
            </a:r>
            <a:r>
              <a:rPr lang="en-US" sz="1200" b="0">
                <a:latin typeface="Franklin Gothic Medium" panose="020B0603020102020204" pitchFamily="34" charset="0"/>
              </a:rPr>
              <a:t>Disability </a:t>
            </a:r>
          </a:p>
          <a:p>
            <a:pPr>
              <a:defRPr/>
            </a:pPr>
            <a:r>
              <a:rPr lang="en-US" sz="1200" b="0">
                <a:latin typeface="Franklin Gothic Medium" panose="020B0603020102020204" pitchFamily="34" charset="0"/>
              </a:rPr>
              <a:t>DD Waiver: January - June 2016 </a:t>
            </a:r>
          </a:p>
        </c:rich>
      </c:tx>
      <c:layout/>
      <c:overlay val="0"/>
    </c:title>
    <c:autoTitleDeleted val="0"/>
    <c:plotArea>
      <c:layout>
        <c:manualLayout>
          <c:layoutTarget val="inner"/>
          <c:xMode val="edge"/>
          <c:yMode val="edge"/>
          <c:x val="0.10985126859142608"/>
          <c:y val="0.2646894803548796"/>
          <c:w val="0.8603384333055929"/>
          <c:h val="0.46269433050906661"/>
        </c:manualLayout>
      </c:layout>
      <c:barChart>
        <c:barDir val="col"/>
        <c:grouping val="clustered"/>
        <c:varyColors val="0"/>
        <c:ser>
          <c:idx val="0"/>
          <c:order val="0"/>
          <c:tx>
            <c:v>DD Waiver (N = 632)</c:v>
          </c:tx>
          <c:spPr>
            <a:solidFill>
              <a:schemeClr val="accent4">
                <a:lumMod val="75000"/>
              </a:schemeClr>
            </a:solidFill>
            <a:scene3d>
              <a:camera prst="orthographicFront"/>
              <a:lightRig rig="threePt" dir="t">
                <a:rot lat="0" lon="0" rev="1200000"/>
              </a:lightRig>
            </a:scene3d>
            <a:sp3d>
              <a:bevelT w="63500" h="25400" prst="angle"/>
            </a:sp3d>
          </c:spPr>
          <c:invertIfNegative val="0"/>
          <c:dLbls>
            <c:spPr>
              <a:noFill/>
              <a:ln>
                <a:noFill/>
              </a:ln>
              <a:effectLst/>
            </c:spPr>
            <c:txPr>
              <a:bodyPr/>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'4c. III_ Results by Dis'!$I$23:$I$26</c:f>
              <c:strCache>
                <c:ptCount val="4"/>
                <c:pt idx="0">
                  <c:v>Autism
(56)</c:v>
                </c:pt>
                <c:pt idx="1">
                  <c:v>Cerebral 
Palsy
(55)</c:v>
                </c:pt>
                <c:pt idx="2">
                  <c:v>Intellectual
 Disability
(484)</c:v>
                </c:pt>
                <c:pt idx="3">
                  <c:v>Other
(37)</c:v>
                </c:pt>
              </c:strCache>
            </c:strRef>
          </c:cat>
          <c:val>
            <c:numRef>
              <c:f>'4c. III_ Results by Dis'!$H$23:$H$26</c:f>
              <c:numCache>
                <c:formatCode>0.0%</c:formatCode>
                <c:ptCount val="4"/>
                <c:pt idx="0">
                  <c:v>0.94253938832252082</c:v>
                </c:pt>
                <c:pt idx="1">
                  <c:v>0.95225385527876627</c:v>
                </c:pt>
                <c:pt idx="2">
                  <c:v>0.95002053950431331</c:v>
                </c:pt>
                <c:pt idx="3">
                  <c:v>0.98293216630196933</c:v>
                </c:pt>
              </c:numCache>
            </c:numRef>
          </c:val>
          <c:extLst>
            <c:ext xmlns:c16="http://schemas.microsoft.com/office/drawing/2014/chart" uri="{C3380CC4-5D6E-409C-BE32-E72D297353CC}">
              <c16:uniqueId val="{00000000-817D-4CD2-9ACC-24DD336DF1CA}"/>
            </c:ext>
          </c:extLst>
        </c:ser>
        <c:dLbls>
          <c:showLegendKey val="0"/>
          <c:showVal val="1"/>
          <c:showCatName val="0"/>
          <c:showSerName val="0"/>
          <c:showPercent val="0"/>
          <c:showBubbleSize val="0"/>
        </c:dLbls>
        <c:gapWidth val="256"/>
        <c:axId val="101547392"/>
        <c:axId val="101726464"/>
      </c:barChart>
      <c:catAx>
        <c:axId val="101547392"/>
        <c:scaling>
          <c:orientation val="minMax"/>
        </c:scaling>
        <c:delete val="0"/>
        <c:axPos val="b"/>
        <c:numFmt formatCode="General" sourceLinked="0"/>
        <c:majorTickMark val="none"/>
        <c:minorTickMark val="none"/>
        <c:tickLblPos val="nextTo"/>
        <c:txPr>
          <a:bodyPr/>
          <a:lstStyle/>
          <a:p>
            <a:pPr>
              <a:defRPr sz="1100" b="1">
                <a:latin typeface="+mn-lt"/>
              </a:defRPr>
            </a:pPr>
            <a:endParaRPr lang="en-US"/>
          </a:p>
        </c:txPr>
        <c:crossAx val="101726464"/>
        <c:crosses val="autoZero"/>
        <c:auto val="1"/>
        <c:lblAlgn val="ctr"/>
        <c:lblOffset val="100"/>
        <c:noMultiLvlLbl val="0"/>
      </c:catAx>
      <c:valAx>
        <c:axId val="101726464"/>
        <c:scaling>
          <c:orientation val="minMax"/>
          <c:max val="1"/>
          <c:min val="0"/>
        </c:scaling>
        <c:delete val="0"/>
        <c:axPos val="l"/>
        <c:majorGridlines/>
        <c:numFmt formatCode="0%" sourceLinked="0"/>
        <c:majorTickMark val="none"/>
        <c:minorTickMark val="none"/>
        <c:tickLblPos val="nextTo"/>
        <c:txPr>
          <a:bodyPr/>
          <a:lstStyle/>
          <a:p>
            <a:pPr>
              <a:defRPr>
                <a:latin typeface="Franklin Gothic Medium" panose="020B0603020102020204" pitchFamily="34" charset="0"/>
              </a:defRPr>
            </a:pPr>
            <a:endParaRPr lang="en-US"/>
          </a:p>
        </c:txPr>
        <c:crossAx val="101547392"/>
        <c:crosses val="autoZero"/>
        <c:crossBetween val="between"/>
        <c:majorUnit val="0.25"/>
        <c:minorUnit val="0.1"/>
      </c:valAx>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8"/>
    </mc:Choice>
    <mc:Fallback>
      <c:style val="28"/>
    </mc:Fallback>
  </mc:AlternateContent>
  <c:chart>
    <c:title>
      <c:tx>
        <c:rich>
          <a:bodyPr/>
          <a:lstStyle/>
          <a:p>
            <a:pPr>
              <a:defRPr/>
            </a:pPr>
            <a:r>
              <a:rPr lang="en-US" sz="1200" b="0">
                <a:latin typeface="Franklin Gothic Medium" panose="020B0603020102020204" pitchFamily="34" charset="0"/>
              </a:rPr>
              <a:t>Figure</a:t>
            </a:r>
            <a:r>
              <a:rPr lang="en-US" sz="1200" b="0" baseline="0">
                <a:latin typeface="Franklin Gothic Medium" panose="020B0603020102020204" pitchFamily="34" charset="0"/>
              </a:rPr>
              <a:t> 7: PCR II Percent Met </a:t>
            </a:r>
            <a:r>
              <a:rPr lang="en-US" sz="1200" b="0">
                <a:latin typeface="Franklin Gothic Medium" panose="020B0603020102020204" pitchFamily="34" charset="0"/>
              </a:rPr>
              <a:t>By</a:t>
            </a:r>
            <a:r>
              <a:rPr lang="en-US" sz="1200" b="0" baseline="0">
                <a:latin typeface="Franklin Gothic Medium" panose="020B0603020102020204" pitchFamily="34" charset="0"/>
              </a:rPr>
              <a:t> Age</a:t>
            </a:r>
          </a:p>
          <a:p>
            <a:pPr>
              <a:defRPr/>
            </a:pPr>
            <a:r>
              <a:rPr lang="en-US" sz="1200" b="0" baseline="0">
                <a:latin typeface="Franklin Gothic Medium" panose="020B0603020102020204" pitchFamily="34" charset="0"/>
              </a:rPr>
              <a:t>DD Waiver: January - June 2016</a:t>
            </a:r>
          </a:p>
          <a:p>
            <a:pPr>
              <a:defRPr/>
            </a:pPr>
            <a:endParaRPr lang="en-US"/>
          </a:p>
        </c:rich>
      </c:tx>
      <c:layout>
        <c:manualLayout>
          <c:xMode val="edge"/>
          <c:yMode val="edge"/>
          <c:x val="0.27490490795712041"/>
          <c:y val="1.0296010296010296E-2"/>
        </c:manualLayout>
      </c:layout>
      <c:overlay val="0"/>
    </c:title>
    <c:autoTitleDeleted val="0"/>
    <c:plotArea>
      <c:layout>
        <c:manualLayout>
          <c:layoutTarget val="inner"/>
          <c:xMode val="edge"/>
          <c:yMode val="edge"/>
          <c:x val="0.11582635314093712"/>
          <c:y val="0.24784699380931813"/>
          <c:w val="0.86595041223491698"/>
          <c:h val="0.50965768519441401"/>
        </c:manualLayout>
      </c:layout>
      <c:barChart>
        <c:barDir val="col"/>
        <c:grouping val="clustered"/>
        <c:varyColors val="0"/>
        <c:ser>
          <c:idx val="0"/>
          <c:order val="0"/>
          <c:tx>
            <c:strRef>
              <c:f>'4d. III_Results by Age'!$A$10</c:f>
              <c:strCache>
                <c:ptCount val="1"/>
              </c:strCache>
            </c:strRef>
          </c:tx>
          <c:spPr>
            <a:solidFill>
              <a:schemeClr val="accent4">
                <a:lumMod val="75000"/>
              </a:schemeClr>
            </a:solidFill>
            <a:scene3d>
              <a:camera prst="orthographicFront"/>
              <a:lightRig rig="threePt" dir="t">
                <a:rot lat="0" lon="0" rev="1200000"/>
              </a:lightRig>
            </a:scene3d>
            <a:sp3d>
              <a:bevelT w="63500" h="25400" prst="angle"/>
            </a:sp3d>
          </c:spPr>
          <c:invertIfNegative val="0"/>
          <c:dLbls>
            <c:spPr>
              <a:noFill/>
              <a:ln>
                <a:noFill/>
              </a:ln>
              <a:effectLst/>
            </c:spPr>
            <c:txPr>
              <a:bodyPr/>
              <a:lstStyle/>
              <a:p>
                <a:pPr>
                  <a:defRPr b="1">
                    <a:latin typeface="+mn-lt"/>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'4d. III_Results by Age'!$I$23:$I$27</c:f>
              <c:strCache>
                <c:ptCount val="5"/>
                <c:pt idx="0">
                  <c:v>&lt;18
(38)</c:v>
                </c:pt>
                <c:pt idx="1">
                  <c:v>18-21
(44)</c:v>
                </c:pt>
                <c:pt idx="2">
                  <c:v>22-24
(348)</c:v>
                </c:pt>
                <c:pt idx="3">
                  <c:v>45-64
(173)</c:v>
                </c:pt>
                <c:pt idx="4">
                  <c:v>65+
(29)</c:v>
                </c:pt>
              </c:strCache>
            </c:strRef>
          </c:cat>
          <c:val>
            <c:numRef>
              <c:f>'4d. III_Results by Age'!$H$23:$H$27</c:f>
              <c:numCache>
                <c:formatCode>0.0%</c:formatCode>
                <c:ptCount val="5"/>
                <c:pt idx="0">
                  <c:v>0.95131086142322097</c:v>
                </c:pt>
                <c:pt idx="1">
                  <c:v>0.94575113808801214</c:v>
                </c:pt>
                <c:pt idx="2">
                  <c:v>0.94999284248699722</c:v>
                </c:pt>
                <c:pt idx="3">
                  <c:v>0.9549106720862085</c:v>
                </c:pt>
                <c:pt idx="4">
                  <c:v>0.95884315906562845</c:v>
                </c:pt>
              </c:numCache>
            </c:numRef>
          </c:val>
          <c:extLst>
            <c:ext xmlns:c16="http://schemas.microsoft.com/office/drawing/2014/chart" uri="{C3380CC4-5D6E-409C-BE32-E72D297353CC}">
              <c16:uniqueId val="{00000000-4340-4B78-A301-2645E0A2E02F}"/>
            </c:ext>
          </c:extLst>
        </c:ser>
        <c:dLbls>
          <c:showLegendKey val="0"/>
          <c:showVal val="0"/>
          <c:showCatName val="0"/>
          <c:showSerName val="0"/>
          <c:showPercent val="0"/>
          <c:showBubbleSize val="0"/>
        </c:dLbls>
        <c:gapWidth val="245"/>
        <c:axId val="102066816"/>
        <c:axId val="102068608"/>
      </c:barChart>
      <c:catAx>
        <c:axId val="102066816"/>
        <c:scaling>
          <c:orientation val="minMax"/>
        </c:scaling>
        <c:delete val="0"/>
        <c:axPos val="b"/>
        <c:numFmt formatCode="General" sourceLinked="0"/>
        <c:majorTickMark val="out"/>
        <c:minorTickMark val="none"/>
        <c:tickLblPos val="nextTo"/>
        <c:txPr>
          <a:bodyPr/>
          <a:lstStyle/>
          <a:p>
            <a:pPr>
              <a:defRPr b="1">
                <a:latin typeface="+mn-lt"/>
              </a:defRPr>
            </a:pPr>
            <a:endParaRPr lang="en-US"/>
          </a:p>
        </c:txPr>
        <c:crossAx val="102068608"/>
        <c:crosses val="autoZero"/>
        <c:auto val="1"/>
        <c:lblAlgn val="ctr"/>
        <c:lblOffset val="100"/>
        <c:noMultiLvlLbl val="0"/>
      </c:catAx>
      <c:valAx>
        <c:axId val="102068608"/>
        <c:scaling>
          <c:orientation val="minMax"/>
          <c:max val="1"/>
          <c:min val="0"/>
        </c:scaling>
        <c:delete val="0"/>
        <c:axPos val="l"/>
        <c:majorGridlines/>
        <c:numFmt formatCode="0%" sourceLinked="0"/>
        <c:majorTickMark val="out"/>
        <c:minorTickMark val="none"/>
        <c:tickLblPos val="nextTo"/>
        <c:txPr>
          <a:bodyPr/>
          <a:lstStyle/>
          <a:p>
            <a:pPr>
              <a:defRPr>
                <a:latin typeface="Franklin Gothic Medium" panose="020B0603020102020204" pitchFamily="34" charset="0"/>
              </a:defRPr>
            </a:pPr>
            <a:endParaRPr lang="en-US"/>
          </a:p>
        </c:txPr>
        <c:crossAx val="102066816"/>
        <c:crosses val="autoZero"/>
        <c:crossBetween val="between"/>
        <c:majorUnit val="0.25"/>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200" b="0">
                <a:latin typeface="Franklin Gothic Medium" panose="020B0603020102020204" pitchFamily="34" charset="0"/>
              </a:rPr>
              <a:t>Figure 8 : WSC/CDC+ Consultant Interview Results by Standard                                                                                           January - June</a:t>
            </a:r>
            <a:r>
              <a:rPr lang="en-US" sz="1200" b="0" baseline="0">
                <a:latin typeface="Franklin Gothic Medium" panose="020B0603020102020204" pitchFamily="34" charset="0"/>
              </a:rPr>
              <a:t> </a:t>
            </a:r>
            <a:r>
              <a:rPr lang="en-US" sz="1200" b="0">
                <a:latin typeface="Franklin Gothic Medium" panose="020B0603020102020204" pitchFamily="34" charset="0"/>
              </a:rPr>
              <a:t>2016 </a:t>
            </a:r>
          </a:p>
        </c:rich>
      </c:tx>
      <c:layout>
        <c:manualLayout>
          <c:xMode val="edge"/>
          <c:yMode val="edge"/>
          <c:x val="0.13942013463239325"/>
          <c:y val="1.9370455124349678E-2"/>
        </c:manualLayout>
      </c:layout>
      <c:overlay val="0"/>
    </c:title>
    <c:autoTitleDeleted val="0"/>
    <c:plotArea>
      <c:layout>
        <c:manualLayout>
          <c:layoutTarget val="inner"/>
          <c:xMode val="edge"/>
          <c:yMode val="edge"/>
          <c:x val="0.3808922108086743"/>
          <c:y val="0.16392361111111112"/>
          <c:w val="0.56906830808585462"/>
          <c:h val="0.66125929571303588"/>
        </c:manualLayout>
      </c:layout>
      <c:barChart>
        <c:barDir val="bar"/>
        <c:grouping val="clustered"/>
        <c:varyColors val="0"/>
        <c:ser>
          <c:idx val="1"/>
          <c:order val="0"/>
          <c:tx>
            <c:strRef>
              <c:f>'9e. CDC+ Int. by Standard '!$D$47</c:f>
              <c:strCache>
                <c:ptCount val="1"/>
                <c:pt idx="0">
                  <c:v>CDC+ (N = 151)</c:v>
                </c:pt>
              </c:strCache>
            </c:strRef>
          </c:tx>
          <c:spPr>
            <a:solidFill>
              <a:schemeClr val="accent2">
                <a:lumMod val="50000"/>
              </a:schemeClr>
            </a:solidFill>
          </c:spPr>
          <c:invertIfNegative val="0"/>
          <c:dLbls>
            <c:spPr>
              <a:noFill/>
              <a:ln>
                <a:noFill/>
              </a:ln>
              <a:effectLst/>
            </c:spPr>
            <c:txPr>
              <a:bodyPr/>
              <a:lstStyle/>
              <a:p>
                <a:pPr>
                  <a:defRPr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'9e. CDC+ Int. by Standard '!$F$48:$F$55</c:f>
              <c:strCache>
                <c:ptCount val="8"/>
                <c:pt idx="0">
                  <c:v>State Average</c:v>
                </c:pt>
                <c:pt idx="1">
                  <c:v>Health</c:v>
                </c:pt>
                <c:pt idx="2">
                  <c:v>Safety</c:v>
                </c:pt>
                <c:pt idx="3">
                  <c:v>Community: Relationships</c:v>
                </c:pt>
                <c:pt idx="4">
                  <c:v>Community: Participation</c:v>
                </c:pt>
                <c:pt idx="5">
                  <c:v>Community: Work/Day Activity</c:v>
                </c:pt>
                <c:pt idx="6">
                  <c:v>Community:  Residence</c:v>
                </c:pt>
                <c:pt idx="7">
                  <c:v>Person Centered Supports</c:v>
                </c:pt>
              </c:strCache>
            </c:strRef>
          </c:cat>
          <c:val>
            <c:numRef>
              <c:f>'9e. CDC+ Int. by Standard '!$D$48:$D$55</c:f>
              <c:numCache>
                <c:formatCode>0.0%</c:formatCode>
                <c:ptCount val="8"/>
                <c:pt idx="0">
                  <c:v>0.98943836978131217</c:v>
                </c:pt>
                <c:pt idx="1">
                  <c:v>0.98521000000000003</c:v>
                </c:pt>
                <c:pt idx="2">
                  <c:v>0.98977999999999999</c:v>
                </c:pt>
                <c:pt idx="3">
                  <c:v>0.96736999999999995</c:v>
                </c:pt>
                <c:pt idx="4">
                  <c:v>0.97580999999999996</c:v>
                </c:pt>
                <c:pt idx="5">
                  <c:v>0.98663000000000001</c:v>
                </c:pt>
                <c:pt idx="6">
                  <c:v>0.99658999999999998</c:v>
                </c:pt>
                <c:pt idx="7">
                  <c:v>0.99541999999999997</c:v>
                </c:pt>
              </c:numCache>
            </c:numRef>
          </c:val>
          <c:extLst>
            <c:ext xmlns:c16="http://schemas.microsoft.com/office/drawing/2014/chart" uri="{C3380CC4-5D6E-409C-BE32-E72D297353CC}">
              <c16:uniqueId val="{00000000-9083-4409-BDA3-57351BB2BB9E}"/>
            </c:ext>
          </c:extLst>
        </c:ser>
        <c:ser>
          <c:idx val="0"/>
          <c:order val="1"/>
          <c:tx>
            <c:strRef>
              <c:f>'9e. CDC+ Int. by Standard '!$E$47</c:f>
              <c:strCache>
                <c:ptCount val="1"/>
                <c:pt idx="0">
                  <c:v>WSC (N = 632)</c:v>
                </c:pt>
              </c:strCache>
            </c:strRef>
          </c:tx>
          <c:spPr>
            <a:solidFill>
              <a:schemeClr val="accent5">
                <a:lumMod val="40000"/>
                <a:lumOff val="60000"/>
              </a:schemeClr>
            </a:solidFill>
          </c:spPr>
          <c:invertIfNegative val="0"/>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'9e. CDC+ Int. by Standard '!$F$48:$F$55</c:f>
              <c:strCache>
                <c:ptCount val="8"/>
                <c:pt idx="0">
                  <c:v>State Average</c:v>
                </c:pt>
                <c:pt idx="1">
                  <c:v>Health</c:v>
                </c:pt>
                <c:pt idx="2">
                  <c:v>Safety</c:v>
                </c:pt>
                <c:pt idx="3">
                  <c:v>Community: Relationships</c:v>
                </c:pt>
                <c:pt idx="4">
                  <c:v>Community: Participation</c:v>
                </c:pt>
                <c:pt idx="5">
                  <c:v>Community: Work/Day Activity</c:v>
                </c:pt>
                <c:pt idx="6">
                  <c:v>Community:  Residence</c:v>
                </c:pt>
                <c:pt idx="7">
                  <c:v>Person Centered Supports</c:v>
                </c:pt>
              </c:strCache>
            </c:strRef>
          </c:cat>
          <c:val>
            <c:numRef>
              <c:f>'9e. CDC+ Int. by Standard '!$E$48:$E$55</c:f>
              <c:numCache>
                <c:formatCode>0.0%</c:formatCode>
                <c:ptCount val="8"/>
                <c:pt idx="0">
                  <c:v>0.9756352343308865</c:v>
                </c:pt>
                <c:pt idx="1">
                  <c:v>0.97648999999999997</c:v>
                </c:pt>
                <c:pt idx="2">
                  <c:v>0.98648999999999998</c:v>
                </c:pt>
                <c:pt idx="3">
                  <c:v>0.94967000000000001</c:v>
                </c:pt>
                <c:pt idx="4">
                  <c:v>0.93062999999999996</c:v>
                </c:pt>
                <c:pt idx="5">
                  <c:v>0.97114999999999996</c:v>
                </c:pt>
                <c:pt idx="6">
                  <c:v>0.97877999999999998</c:v>
                </c:pt>
                <c:pt idx="7">
                  <c:v>0.98295999999999994</c:v>
                </c:pt>
              </c:numCache>
            </c:numRef>
          </c:val>
          <c:extLst>
            <c:ext xmlns:c16="http://schemas.microsoft.com/office/drawing/2014/chart" uri="{C3380CC4-5D6E-409C-BE32-E72D297353CC}">
              <c16:uniqueId val="{00000001-9083-4409-BDA3-57351BB2BB9E}"/>
            </c:ext>
          </c:extLst>
        </c:ser>
        <c:dLbls>
          <c:showLegendKey val="0"/>
          <c:showVal val="0"/>
          <c:showCatName val="0"/>
          <c:showSerName val="0"/>
          <c:showPercent val="0"/>
          <c:showBubbleSize val="0"/>
        </c:dLbls>
        <c:gapWidth val="137"/>
        <c:overlap val="-18"/>
        <c:axId val="102295808"/>
        <c:axId val="102297600"/>
      </c:barChart>
      <c:catAx>
        <c:axId val="102295808"/>
        <c:scaling>
          <c:orientation val="minMax"/>
        </c:scaling>
        <c:delete val="0"/>
        <c:axPos val="l"/>
        <c:numFmt formatCode="General" sourceLinked="0"/>
        <c:majorTickMark val="out"/>
        <c:minorTickMark val="none"/>
        <c:tickLblPos val="nextTo"/>
        <c:txPr>
          <a:bodyPr/>
          <a:lstStyle/>
          <a:p>
            <a:pPr>
              <a:defRPr>
                <a:latin typeface="Franklin Gothic Medium" panose="020B0603020102020204" pitchFamily="34" charset="0"/>
              </a:defRPr>
            </a:pPr>
            <a:endParaRPr lang="en-US"/>
          </a:p>
        </c:txPr>
        <c:crossAx val="102297600"/>
        <c:crosses val="autoZero"/>
        <c:auto val="1"/>
        <c:lblAlgn val="ctr"/>
        <c:lblOffset val="100"/>
        <c:noMultiLvlLbl val="0"/>
      </c:catAx>
      <c:valAx>
        <c:axId val="102297600"/>
        <c:scaling>
          <c:orientation val="minMax"/>
          <c:max val="1"/>
          <c:min val="0"/>
        </c:scaling>
        <c:delete val="0"/>
        <c:axPos val="b"/>
        <c:majorGridlines/>
        <c:numFmt formatCode="0%" sourceLinked="0"/>
        <c:majorTickMark val="out"/>
        <c:minorTickMark val="none"/>
        <c:tickLblPos val="nextTo"/>
        <c:crossAx val="102295808"/>
        <c:crosses val="autoZero"/>
        <c:crossBetween val="between"/>
        <c:majorUnit val="0.25"/>
      </c:valAx>
    </c:plotArea>
    <c:legend>
      <c:legendPos val="b"/>
      <c:layout>
        <c:manualLayout>
          <c:xMode val="edge"/>
          <c:yMode val="edge"/>
          <c:x val="0.36106798110389909"/>
          <c:y val="0.90954776990195707"/>
          <c:w val="0.47567420756700762"/>
          <c:h val="6.7917025494946437E-2"/>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sz="1200"/>
            </a:pPr>
            <a:r>
              <a:rPr lang="en-US" sz="1200" b="0">
                <a:latin typeface="Franklin Gothic Medium" panose="020B0603020102020204" pitchFamily="34" charset="0"/>
              </a:rPr>
              <a:t>Figure 9:  PDR</a:t>
            </a:r>
            <a:r>
              <a:rPr lang="en-US" sz="1200" b="0" baseline="0">
                <a:latin typeface="Franklin Gothic Medium" panose="020B0603020102020204" pitchFamily="34" charset="0"/>
              </a:rPr>
              <a:t> Interview Results by Standard</a:t>
            </a:r>
          </a:p>
          <a:p>
            <a:pPr>
              <a:defRPr sz="1200"/>
            </a:pPr>
            <a:r>
              <a:rPr lang="en-US" sz="1200" b="0" baseline="0">
                <a:latin typeface="Franklin Gothic Medium" panose="020B0603020102020204" pitchFamily="34" charset="0"/>
              </a:rPr>
              <a:t>January - June 2016</a:t>
            </a:r>
            <a:endParaRPr lang="en-US" sz="1200" b="0">
              <a:latin typeface="Franklin Gothic Medium" panose="020B0603020102020204" pitchFamily="34" charset="0"/>
            </a:endParaRPr>
          </a:p>
        </c:rich>
      </c:tx>
      <c:layout>
        <c:manualLayout>
          <c:xMode val="edge"/>
          <c:yMode val="edge"/>
          <c:x val="0.24146473192307807"/>
          <c:y val="2.939764328622102E-2"/>
        </c:manualLayout>
      </c:layout>
      <c:overlay val="1"/>
    </c:title>
    <c:autoTitleDeleted val="0"/>
    <c:plotArea>
      <c:layout>
        <c:manualLayout>
          <c:layoutTarget val="inner"/>
          <c:xMode val="edge"/>
          <c:yMode val="edge"/>
          <c:x val="0.41412453072995503"/>
          <c:y val="0.17303972054766389"/>
          <c:w val="0.43018551137612515"/>
          <c:h val="0.64956387300902452"/>
        </c:manualLayout>
      </c:layout>
      <c:barChart>
        <c:barDir val="bar"/>
        <c:grouping val="clustered"/>
        <c:varyColors val="0"/>
        <c:ser>
          <c:idx val="0"/>
          <c:order val="0"/>
          <c:tx>
            <c:strRef>
              <c:f>'2b. PII by Standard'!$D$20</c:f>
              <c:strCache>
                <c:ptCount val="1"/>
                <c:pt idx="0">
                  <c:v>Staff Interivew  (N = 1,017)</c:v>
                </c:pt>
              </c:strCache>
            </c:strRef>
          </c:tx>
          <c:invertIfNegative val="0"/>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'2b. PII by Standard'!$B$21:$B$28</c:f>
              <c:strCache>
                <c:ptCount val="8"/>
                <c:pt idx="0">
                  <c:v>State Average</c:v>
                </c:pt>
                <c:pt idx="1">
                  <c:v>Health</c:v>
                </c:pt>
                <c:pt idx="2">
                  <c:v>Safety</c:v>
                </c:pt>
                <c:pt idx="3">
                  <c:v>Community: Relationships</c:v>
                </c:pt>
                <c:pt idx="4">
                  <c:v>Community: Participation</c:v>
                </c:pt>
                <c:pt idx="5">
                  <c:v>Community: Work/Day Activity</c:v>
                </c:pt>
                <c:pt idx="6">
                  <c:v>Community:  Residence</c:v>
                </c:pt>
                <c:pt idx="7">
                  <c:v>Person Centered Supports</c:v>
                </c:pt>
              </c:strCache>
            </c:strRef>
          </c:cat>
          <c:val>
            <c:numRef>
              <c:f>'2b. PII by Standard'!$D$21:$D$28</c:f>
              <c:numCache>
                <c:formatCode>0.0%</c:formatCode>
                <c:ptCount val="8"/>
                <c:pt idx="0">
                  <c:v>0.97112243887954075</c:v>
                </c:pt>
                <c:pt idx="1">
                  <c:v>0.97744217166889691</c:v>
                </c:pt>
                <c:pt idx="2">
                  <c:v>0.97498322630115974</c:v>
                </c:pt>
                <c:pt idx="3">
                  <c:v>0.95201999999999998</c:v>
                </c:pt>
                <c:pt idx="4">
                  <c:v>0.92573000000000005</c:v>
                </c:pt>
                <c:pt idx="5">
                  <c:v>0.97653999999999996</c:v>
                </c:pt>
                <c:pt idx="6">
                  <c:v>0.97101000000000004</c:v>
                </c:pt>
                <c:pt idx="7">
                  <c:v>0.97899999999999998</c:v>
                </c:pt>
              </c:numCache>
            </c:numRef>
          </c:val>
          <c:extLst>
            <c:ext xmlns:c16="http://schemas.microsoft.com/office/drawing/2014/chart" uri="{C3380CC4-5D6E-409C-BE32-E72D297353CC}">
              <c16:uniqueId val="{00000000-36AE-457D-8DCB-A39B76482DB3}"/>
            </c:ext>
          </c:extLst>
        </c:ser>
        <c:ser>
          <c:idx val="2"/>
          <c:order val="1"/>
          <c:tx>
            <c:strRef>
              <c:f>'2b. PII by Standard'!$C$20</c:f>
              <c:strCache>
                <c:ptCount val="1"/>
                <c:pt idx="0">
                  <c:v>Individual Interivew (N = 1,038)</c:v>
                </c:pt>
              </c:strCache>
            </c:strRef>
          </c:tx>
          <c:invertIfNegative val="0"/>
          <c:dLbls>
            <c:spPr>
              <a:noFill/>
              <a:ln>
                <a:noFill/>
              </a:ln>
              <a:effectLst/>
            </c:spPr>
            <c:txPr>
              <a:bodyPr/>
              <a:lstStyle/>
              <a:p>
                <a:pPr>
                  <a:defRPr b="1"/>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'2b. PII by Standard'!$B$21:$B$28</c:f>
              <c:strCache>
                <c:ptCount val="8"/>
                <c:pt idx="0">
                  <c:v>State Average</c:v>
                </c:pt>
                <c:pt idx="1">
                  <c:v>Health</c:v>
                </c:pt>
                <c:pt idx="2">
                  <c:v>Safety</c:v>
                </c:pt>
                <c:pt idx="3">
                  <c:v>Community: Relationships</c:v>
                </c:pt>
                <c:pt idx="4">
                  <c:v>Community: Participation</c:v>
                </c:pt>
                <c:pt idx="5">
                  <c:v>Community: Work/Day Activity</c:v>
                </c:pt>
                <c:pt idx="6">
                  <c:v>Community:  Residence</c:v>
                </c:pt>
                <c:pt idx="7">
                  <c:v>Person Centered Supports</c:v>
                </c:pt>
              </c:strCache>
            </c:strRef>
          </c:cat>
          <c:val>
            <c:numRef>
              <c:f>'2b. PII by Standard'!$C$21:$C$28</c:f>
              <c:numCache>
                <c:formatCode>0.0%</c:formatCode>
                <c:ptCount val="8"/>
                <c:pt idx="0">
                  <c:v>0.96653824509761477</c:v>
                </c:pt>
                <c:pt idx="1">
                  <c:v>0.97570281124497993</c:v>
                </c:pt>
                <c:pt idx="2">
                  <c:v>0.97168822090178264</c:v>
                </c:pt>
                <c:pt idx="3">
                  <c:v>0.94335999999999998</c:v>
                </c:pt>
                <c:pt idx="4">
                  <c:v>0.90846000000000005</c:v>
                </c:pt>
                <c:pt idx="5">
                  <c:v>0.97406999999999999</c:v>
                </c:pt>
                <c:pt idx="6">
                  <c:v>0.96136999999999995</c:v>
                </c:pt>
                <c:pt idx="7">
                  <c:v>0.97496000000000005</c:v>
                </c:pt>
              </c:numCache>
            </c:numRef>
          </c:val>
          <c:extLst>
            <c:ext xmlns:c16="http://schemas.microsoft.com/office/drawing/2014/chart" uri="{C3380CC4-5D6E-409C-BE32-E72D297353CC}">
              <c16:uniqueId val="{00000001-36AE-457D-8DCB-A39B76482DB3}"/>
            </c:ext>
          </c:extLst>
        </c:ser>
        <c:dLbls>
          <c:showLegendKey val="0"/>
          <c:showVal val="0"/>
          <c:showCatName val="0"/>
          <c:showSerName val="0"/>
          <c:showPercent val="0"/>
          <c:showBubbleSize val="0"/>
        </c:dLbls>
        <c:gapWidth val="150"/>
        <c:axId val="102795520"/>
        <c:axId val="102801408"/>
      </c:barChart>
      <c:catAx>
        <c:axId val="102795520"/>
        <c:scaling>
          <c:orientation val="minMax"/>
        </c:scaling>
        <c:delete val="0"/>
        <c:axPos val="l"/>
        <c:numFmt formatCode="General" sourceLinked="1"/>
        <c:majorTickMark val="out"/>
        <c:minorTickMark val="none"/>
        <c:tickLblPos val="nextTo"/>
        <c:txPr>
          <a:bodyPr/>
          <a:lstStyle/>
          <a:p>
            <a:pPr>
              <a:defRPr sz="1000">
                <a:latin typeface="Franklin Gothic Medium" panose="020B0603020102020204" pitchFamily="34" charset="0"/>
              </a:defRPr>
            </a:pPr>
            <a:endParaRPr lang="en-US"/>
          </a:p>
        </c:txPr>
        <c:crossAx val="102801408"/>
        <c:crosses val="autoZero"/>
        <c:auto val="1"/>
        <c:lblAlgn val="ctr"/>
        <c:lblOffset val="100"/>
        <c:noMultiLvlLbl val="0"/>
      </c:catAx>
      <c:valAx>
        <c:axId val="102801408"/>
        <c:scaling>
          <c:orientation val="minMax"/>
          <c:max val="1"/>
          <c:min val="0"/>
        </c:scaling>
        <c:delete val="0"/>
        <c:axPos val="b"/>
        <c:majorGridlines/>
        <c:numFmt formatCode="0%" sourceLinked="0"/>
        <c:majorTickMark val="out"/>
        <c:minorTickMark val="none"/>
        <c:tickLblPos val="nextTo"/>
        <c:crossAx val="102795520"/>
        <c:crosses val="autoZero"/>
        <c:crossBetween val="between"/>
        <c:majorUnit val="0.25"/>
      </c:valAx>
    </c:plotArea>
    <c:legend>
      <c:legendPos val="b"/>
      <c:layout>
        <c:manualLayout>
          <c:xMode val="edge"/>
          <c:yMode val="edge"/>
          <c:x val="0.19215388286254428"/>
          <c:y val="0.92357992288001034"/>
          <c:w val="0.7311058495310464"/>
          <c:h val="7.6420147713598466E-2"/>
        </c:manualLayout>
      </c:layout>
      <c:overlay val="0"/>
      <c:txPr>
        <a:bodyPr/>
        <a:lstStyle/>
        <a:p>
          <a:pPr>
            <a:defRPr sz="1100" b="1"/>
          </a:pPr>
          <a:endParaRPr lang="en-US"/>
        </a:p>
      </c:txPr>
    </c:legend>
    <c:plotVisOnly val="1"/>
    <c:dispBlanksAs val="gap"/>
    <c:showDLblsOverMax val="0"/>
  </c:chart>
  <c:spPr>
    <a:ln>
      <a:noFill/>
    </a:ln>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F50463-834A-44A5-8A74-7B0684004B8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D068E06F-3E6F-4F64-94E0-C0B50DA0F2BD}">
      <dgm:prSet phldrT="[Text]" custT="1"/>
      <dgm:spPr>
        <a:solidFill>
          <a:schemeClr val="accent4">
            <a:lumMod val="75000"/>
          </a:schemeClr>
        </a:solidFill>
      </dgm:spPr>
      <dgm:t>
        <a:bodyPr/>
        <a:lstStyle/>
        <a:p>
          <a:r>
            <a:rPr lang="en-US" sz="1200"/>
            <a:t>Person is provideand facilitated the Quality Council meeting for statewide stakeholders.  d education/information about social roles in the community (79.3%; N=613).</a:t>
          </a:r>
        </a:p>
      </dgm:t>
    </dgm:pt>
    <dgm:pt modelId="{8C7862E1-AC42-4A5F-8438-F04BF78BF1D1}" type="parTrans" cxnId="{6C7630DC-E0C3-4674-9DB3-DBF5BDD77EED}">
      <dgm:prSet/>
      <dgm:spPr/>
      <dgm:t>
        <a:bodyPr/>
        <a:lstStyle/>
        <a:p>
          <a:endParaRPr lang="en-US"/>
        </a:p>
      </dgm:t>
    </dgm:pt>
    <dgm:pt modelId="{8A457F09-E0C4-41D6-BFD7-47014DB56F3C}" type="sibTrans" cxnId="{6C7630DC-E0C3-4674-9DB3-DBF5BDD77EED}">
      <dgm:prSet/>
      <dgm:spPr/>
      <dgm:t>
        <a:bodyPr/>
        <a:lstStyle/>
        <a:p>
          <a:endParaRPr lang="en-US"/>
        </a:p>
      </dgm:t>
    </dgm:pt>
    <dgm:pt modelId="{255DB617-36AA-4D75-A48C-B771D69DDDB9}">
      <dgm:prSet phldrT="[Text]" custT="1"/>
      <dgm:spPr>
        <a:solidFill>
          <a:schemeClr val="accent4">
            <a:lumMod val="75000"/>
          </a:schemeClr>
        </a:solidFill>
      </dgm:spPr>
      <dgm:t>
        <a:bodyPr/>
        <a:lstStyle/>
        <a:p>
          <a:r>
            <a:rPr lang="en-US" sz="1200"/>
            <a:t>Person has had more than only limited opportunities to develop new friendships/relationships (85.1%; N=623)</a:t>
          </a:r>
        </a:p>
      </dgm:t>
    </dgm:pt>
    <dgm:pt modelId="{3462B2C6-52E8-40D9-80E3-6AAFF5B58839}" type="parTrans" cxnId="{3A00BCFE-9D32-4A1C-84FB-6F269439560D}">
      <dgm:prSet/>
      <dgm:spPr/>
      <dgm:t>
        <a:bodyPr/>
        <a:lstStyle/>
        <a:p>
          <a:endParaRPr lang="en-US"/>
        </a:p>
      </dgm:t>
    </dgm:pt>
    <dgm:pt modelId="{49B026D4-B597-43CF-BFE8-A16BC9959291}" type="sibTrans" cxnId="{3A00BCFE-9D32-4A1C-84FB-6F269439560D}">
      <dgm:prSet/>
      <dgm:spPr/>
      <dgm:t>
        <a:bodyPr/>
        <a:lstStyle/>
        <a:p>
          <a:endParaRPr lang="en-US"/>
        </a:p>
      </dgm:t>
    </dgm:pt>
    <dgm:pt modelId="{6839130C-8457-48EA-83AF-CEC4E43E85BE}">
      <dgm:prSet phldrT="[Text]" custT="1"/>
      <dgm:spPr>
        <a:solidFill>
          <a:schemeClr val="accent4">
            <a:lumMod val="75000"/>
          </a:schemeClr>
        </a:solidFill>
      </dgm:spPr>
      <dgm:t>
        <a:bodyPr/>
        <a:lstStyle/>
        <a:p>
          <a:r>
            <a:rPr lang="en-US" sz="1200"/>
            <a:t>Person's preferences concerning social roles in the community are addressed (86.3%; N=608).</a:t>
          </a:r>
        </a:p>
      </dgm:t>
    </dgm:pt>
    <dgm:pt modelId="{929A953E-AA81-4B2B-9DEA-47418F44DA6F}" type="parTrans" cxnId="{ADE81424-6DDA-4FF0-A61A-4E6A67B891EE}">
      <dgm:prSet/>
      <dgm:spPr/>
      <dgm:t>
        <a:bodyPr/>
        <a:lstStyle/>
        <a:p>
          <a:endParaRPr lang="en-US"/>
        </a:p>
      </dgm:t>
    </dgm:pt>
    <dgm:pt modelId="{9F33B649-4303-4DD0-B81F-D8C85A2DE7E0}" type="sibTrans" cxnId="{ADE81424-6DDA-4FF0-A61A-4E6A67B891EE}">
      <dgm:prSet/>
      <dgm:spPr/>
      <dgm:t>
        <a:bodyPr/>
        <a:lstStyle/>
        <a:p>
          <a:endParaRPr lang="en-US"/>
        </a:p>
      </dgm:t>
    </dgm:pt>
    <dgm:pt modelId="{B3E49322-40FA-4371-A41E-26B7F282BC8A}" type="pres">
      <dgm:prSet presAssocID="{FFF50463-834A-44A5-8A74-7B0684004B86}" presName="linear" presStyleCnt="0">
        <dgm:presLayoutVars>
          <dgm:animLvl val="lvl"/>
          <dgm:resizeHandles val="exact"/>
        </dgm:presLayoutVars>
      </dgm:prSet>
      <dgm:spPr/>
      <dgm:t>
        <a:bodyPr/>
        <a:lstStyle/>
        <a:p>
          <a:endParaRPr lang="en-US"/>
        </a:p>
      </dgm:t>
    </dgm:pt>
    <dgm:pt modelId="{46AB4651-1F56-4B83-BF9B-4C9D77683E23}" type="pres">
      <dgm:prSet presAssocID="{D068E06F-3E6F-4F64-94E0-C0B50DA0F2BD}" presName="parentText" presStyleLbl="node1" presStyleIdx="0" presStyleCnt="3">
        <dgm:presLayoutVars>
          <dgm:chMax val="0"/>
          <dgm:bulletEnabled val="1"/>
        </dgm:presLayoutVars>
      </dgm:prSet>
      <dgm:spPr/>
      <dgm:t>
        <a:bodyPr/>
        <a:lstStyle/>
        <a:p>
          <a:endParaRPr lang="en-US"/>
        </a:p>
      </dgm:t>
    </dgm:pt>
    <dgm:pt modelId="{7B83D1EF-236D-4981-B3E0-1E273363144D}" type="pres">
      <dgm:prSet presAssocID="{8A457F09-E0C4-41D6-BFD7-47014DB56F3C}" presName="spacer" presStyleCnt="0"/>
      <dgm:spPr/>
    </dgm:pt>
    <dgm:pt modelId="{AC2EAC08-D231-4D8B-8696-1CCF195984A6}" type="pres">
      <dgm:prSet presAssocID="{6839130C-8457-48EA-83AF-CEC4E43E85BE}" presName="parentText" presStyleLbl="node1" presStyleIdx="1" presStyleCnt="3">
        <dgm:presLayoutVars>
          <dgm:chMax val="0"/>
          <dgm:bulletEnabled val="1"/>
        </dgm:presLayoutVars>
      </dgm:prSet>
      <dgm:spPr/>
      <dgm:t>
        <a:bodyPr/>
        <a:lstStyle/>
        <a:p>
          <a:endParaRPr lang="en-US"/>
        </a:p>
      </dgm:t>
    </dgm:pt>
    <dgm:pt modelId="{C63CAB7C-0C41-416D-9638-03A899058852}" type="pres">
      <dgm:prSet presAssocID="{9F33B649-4303-4DD0-B81F-D8C85A2DE7E0}" presName="spacer" presStyleCnt="0"/>
      <dgm:spPr/>
    </dgm:pt>
    <dgm:pt modelId="{BE3DD3D0-D626-4410-A715-949B528243A1}" type="pres">
      <dgm:prSet presAssocID="{255DB617-36AA-4D75-A48C-B771D69DDDB9}" presName="parentText" presStyleLbl="node1" presStyleIdx="2" presStyleCnt="3">
        <dgm:presLayoutVars>
          <dgm:chMax val="0"/>
          <dgm:bulletEnabled val="1"/>
        </dgm:presLayoutVars>
      </dgm:prSet>
      <dgm:spPr/>
      <dgm:t>
        <a:bodyPr/>
        <a:lstStyle/>
        <a:p>
          <a:endParaRPr lang="en-US"/>
        </a:p>
      </dgm:t>
    </dgm:pt>
  </dgm:ptLst>
  <dgm:cxnLst>
    <dgm:cxn modelId="{F8E701CC-1AF1-4BA8-9585-E77D836FA51F}" type="presOf" srcId="{255DB617-36AA-4D75-A48C-B771D69DDDB9}" destId="{BE3DD3D0-D626-4410-A715-949B528243A1}" srcOrd="0" destOrd="0" presId="urn:microsoft.com/office/officeart/2005/8/layout/vList2"/>
    <dgm:cxn modelId="{ADE81424-6DDA-4FF0-A61A-4E6A67B891EE}" srcId="{FFF50463-834A-44A5-8A74-7B0684004B86}" destId="{6839130C-8457-48EA-83AF-CEC4E43E85BE}" srcOrd="1" destOrd="0" parTransId="{929A953E-AA81-4B2B-9DEA-47418F44DA6F}" sibTransId="{9F33B649-4303-4DD0-B81F-D8C85A2DE7E0}"/>
    <dgm:cxn modelId="{3A00BCFE-9D32-4A1C-84FB-6F269439560D}" srcId="{FFF50463-834A-44A5-8A74-7B0684004B86}" destId="{255DB617-36AA-4D75-A48C-B771D69DDDB9}" srcOrd="2" destOrd="0" parTransId="{3462B2C6-52E8-40D9-80E3-6AAFF5B58839}" sibTransId="{49B026D4-B597-43CF-BFE8-A16BC9959291}"/>
    <dgm:cxn modelId="{6C7630DC-E0C3-4674-9DB3-DBF5BDD77EED}" srcId="{FFF50463-834A-44A5-8A74-7B0684004B86}" destId="{D068E06F-3E6F-4F64-94E0-C0B50DA0F2BD}" srcOrd="0" destOrd="0" parTransId="{8C7862E1-AC42-4A5F-8438-F04BF78BF1D1}" sibTransId="{8A457F09-E0C4-41D6-BFD7-47014DB56F3C}"/>
    <dgm:cxn modelId="{C9F05FA1-1D2E-46F4-A627-D71170B3DE38}" type="presOf" srcId="{D068E06F-3E6F-4F64-94E0-C0B50DA0F2BD}" destId="{46AB4651-1F56-4B83-BF9B-4C9D77683E23}" srcOrd="0" destOrd="0" presId="urn:microsoft.com/office/officeart/2005/8/layout/vList2"/>
    <dgm:cxn modelId="{5EE0B9FE-ABA5-4AD6-B2B4-E5A7CE0FA99B}" type="presOf" srcId="{6839130C-8457-48EA-83AF-CEC4E43E85BE}" destId="{AC2EAC08-D231-4D8B-8696-1CCF195984A6}" srcOrd="0" destOrd="0" presId="urn:microsoft.com/office/officeart/2005/8/layout/vList2"/>
    <dgm:cxn modelId="{C8B1C219-F4BB-45D0-9027-7110DD710BD0}" type="presOf" srcId="{FFF50463-834A-44A5-8A74-7B0684004B86}" destId="{B3E49322-40FA-4371-A41E-26B7F282BC8A}" srcOrd="0" destOrd="0" presId="urn:microsoft.com/office/officeart/2005/8/layout/vList2"/>
    <dgm:cxn modelId="{E2A7327C-F287-4ACB-BB5D-446CA0953507}" type="presParOf" srcId="{B3E49322-40FA-4371-A41E-26B7F282BC8A}" destId="{46AB4651-1F56-4B83-BF9B-4C9D77683E23}" srcOrd="0" destOrd="0" presId="urn:microsoft.com/office/officeart/2005/8/layout/vList2"/>
    <dgm:cxn modelId="{267C5D7F-0653-4B26-A331-B50895AB6028}" type="presParOf" srcId="{B3E49322-40FA-4371-A41E-26B7F282BC8A}" destId="{7B83D1EF-236D-4981-B3E0-1E273363144D}" srcOrd="1" destOrd="0" presId="urn:microsoft.com/office/officeart/2005/8/layout/vList2"/>
    <dgm:cxn modelId="{E5DCE70F-F20A-4BE8-B5C8-3E6D39E20FB1}" type="presParOf" srcId="{B3E49322-40FA-4371-A41E-26B7F282BC8A}" destId="{AC2EAC08-D231-4D8B-8696-1CCF195984A6}" srcOrd="2" destOrd="0" presId="urn:microsoft.com/office/officeart/2005/8/layout/vList2"/>
    <dgm:cxn modelId="{9D7E3ED0-3510-459B-BD26-698DC0572036}" type="presParOf" srcId="{B3E49322-40FA-4371-A41E-26B7F282BC8A}" destId="{C63CAB7C-0C41-416D-9638-03A899058852}" srcOrd="3" destOrd="0" presId="urn:microsoft.com/office/officeart/2005/8/layout/vList2"/>
    <dgm:cxn modelId="{D10D2A00-E820-4183-8A84-F4598D850355}" type="presParOf" srcId="{B3E49322-40FA-4371-A41E-26B7F282BC8A}" destId="{BE3DD3D0-D626-4410-A715-949B528243A1}" srcOrd="4" destOrd="0" presId="urn:microsoft.com/office/officeart/2005/8/layout/vList2"/>
  </dgm:cxnLst>
  <dgm:bg>
    <a:noFill/>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FF50463-834A-44A5-8A74-7B0684004B8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255DB617-36AA-4D75-A48C-B771D69DDDB9}">
      <dgm:prSet phldrT="[Text]" custT="1"/>
      <dgm:spPr>
        <a:xfrm>
          <a:off x="0" y="1001679"/>
          <a:ext cx="5493715" cy="473849"/>
        </a:xfrm>
        <a:solidFill>
          <a:srgbClr val="8064A2">
            <a:lumMod val="7500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Person has had more than only limited opportunities to develop new friendships/relationships (86.6%; N=149)</a:t>
          </a:r>
        </a:p>
      </dgm:t>
    </dgm:pt>
    <dgm:pt modelId="{3462B2C6-52E8-40D9-80E3-6AAFF5B58839}" type="parTrans" cxnId="{3A00BCFE-9D32-4A1C-84FB-6F269439560D}">
      <dgm:prSet/>
      <dgm:spPr/>
      <dgm:t>
        <a:bodyPr/>
        <a:lstStyle/>
        <a:p>
          <a:endParaRPr lang="en-US"/>
        </a:p>
      </dgm:t>
    </dgm:pt>
    <dgm:pt modelId="{49B026D4-B597-43CF-BFE8-A16BC9959291}" type="sibTrans" cxnId="{3A00BCFE-9D32-4A1C-84FB-6F269439560D}">
      <dgm:prSet/>
      <dgm:spPr/>
      <dgm:t>
        <a:bodyPr/>
        <a:lstStyle/>
        <a:p>
          <a:endParaRPr lang="en-US"/>
        </a:p>
      </dgm:t>
    </dgm:pt>
    <dgm:pt modelId="{F753BC75-980D-406E-9BD2-30002BB399B0}">
      <dgm:prSet phldrT="[Text]" custT="1"/>
      <dgm:spPr>
        <a:xfrm>
          <a:off x="0" y="1001679"/>
          <a:ext cx="5493715" cy="473849"/>
        </a:xfrm>
        <a:solidFill>
          <a:srgbClr val="8064A2">
            <a:lumMod val="75000"/>
          </a:srgb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Person indicates adaptive equipment is not in good working condition (89.6%; N=96) </a:t>
          </a:r>
        </a:p>
      </dgm:t>
    </dgm:pt>
    <dgm:pt modelId="{47DF602F-9ECE-4231-BD35-CE7E564ED376}" type="parTrans" cxnId="{2D3B7E72-F938-4053-91A3-8C6082623ED4}">
      <dgm:prSet/>
      <dgm:spPr/>
      <dgm:t>
        <a:bodyPr/>
        <a:lstStyle/>
        <a:p>
          <a:endParaRPr lang="en-US"/>
        </a:p>
      </dgm:t>
    </dgm:pt>
    <dgm:pt modelId="{A915B083-C45E-407A-9794-9B369DD0BC57}" type="sibTrans" cxnId="{2D3B7E72-F938-4053-91A3-8C6082623ED4}">
      <dgm:prSet/>
      <dgm:spPr/>
      <dgm:t>
        <a:bodyPr/>
        <a:lstStyle/>
        <a:p>
          <a:endParaRPr lang="en-US"/>
        </a:p>
      </dgm:t>
    </dgm:pt>
    <dgm:pt modelId="{B3E49322-40FA-4371-A41E-26B7F282BC8A}" type="pres">
      <dgm:prSet presAssocID="{FFF50463-834A-44A5-8A74-7B0684004B86}" presName="linear" presStyleCnt="0">
        <dgm:presLayoutVars>
          <dgm:animLvl val="lvl"/>
          <dgm:resizeHandles val="exact"/>
        </dgm:presLayoutVars>
      </dgm:prSet>
      <dgm:spPr/>
      <dgm:t>
        <a:bodyPr/>
        <a:lstStyle/>
        <a:p>
          <a:endParaRPr lang="en-US"/>
        </a:p>
      </dgm:t>
    </dgm:pt>
    <dgm:pt modelId="{BE3DD3D0-D626-4410-A715-949B528243A1}" type="pres">
      <dgm:prSet presAssocID="{255DB617-36AA-4D75-A48C-B771D69DDDB9}" presName="parentText" presStyleLbl="node1" presStyleIdx="0" presStyleCnt="2">
        <dgm:presLayoutVars>
          <dgm:chMax val="0"/>
          <dgm:bulletEnabled val="1"/>
        </dgm:presLayoutVars>
      </dgm:prSet>
      <dgm:spPr>
        <a:prstGeom prst="roundRect">
          <a:avLst/>
        </a:prstGeom>
      </dgm:spPr>
      <dgm:t>
        <a:bodyPr/>
        <a:lstStyle/>
        <a:p>
          <a:endParaRPr lang="en-US"/>
        </a:p>
      </dgm:t>
    </dgm:pt>
    <dgm:pt modelId="{63DD06A2-3359-4EF6-862C-EF3DF05A3821}" type="pres">
      <dgm:prSet presAssocID="{49B026D4-B597-43CF-BFE8-A16BC9959291}" presName="spacer" presStyleCnt="0"/>
      <dgm:spPr/>
    </dgm:pt>
    <dgm:pt modelId="{3DF216B4-F960-4C46-A2A8-55F0C44CCC39}" type="pres">
      <dgm:prSet presAssocID="{F753BC75-980D-406E-9BD2-30002BB399B0}" presName="parentText" presStyleLbl="node1" presStyleIdx="1" presStyleCnt="2">
        <dgm:presLayoutVars>
          <dgm:chMax val="0"/>
          <dgm:bulletEnabled val="1"/>
        </dgm:presLayoutVars>
      </dgm:prSet>
      <dgm:spPr>
        <a:prstGeom prst="roundRect">
          <a:avLst/>
        </a:prstGeom>
      </dgm:spPr>
      <dgm:t>
        <a:bodyPr/>
        <a:lstStyle/>
        <a:p>
          <a:endParaRPr lang="en-US"/>
        </a:p>
      </dgm:t>
    </dgm:pt>
  </dgm:ptLst>
  <dgm:cxnLst>
    <dgm:cxn modelId="{3A00BCFE-9D32-4A1C-84FB-6F269439560D}" srcId="{FFF50463-834A-44A5-8A74-7B0684004B86}" destId="{255DB617-36AA-4D75-A48C-B771D69DDDB9}" srcOrd="0" destOrd="0" parTransId="{3462B2C6-52E8-40D9-80E3-6AAFF5B58839}" sibTransId="{49B026D4-B597-43CF-BFE8-A16BC9959291}"/>
    <dgm:cxn modelId="{06C8811F-DC43-4BD7-B4F3-C3384119A28C}" type="presOf" srcId="{255DB617-36AA-4D75-A48C-B771D69DDDB9}" destId="{BE3DD3D0-D626-4410-A715-949B528243A1}" srcOrd="0" destOrd="0" presId="urn:microsoft.com/office/officeart/2005/8/layout/vList2"/>
    <dgm:cxn modelId="{A2A8BDD2-DECF-4393-8857-3C5700F5FC56}" type="presOf" srcId="{F753BC75-980D-406E-9BD2-30002BB399B0}" destId="{3DF216B4-F960-4C46-A2A8-55F0C44CCC39}" srcOrd="0" destOrd="0" presId="urn:microsoft.com/office/officeart/2005/8/layout/vList2"/>
    <dgm:cxn modelId="{2D3B7E72-F938-4053-91A3-8C6082623ED4}" srcId="{FFF50463-834A-44A5-8A74-7B0684004B86}" destId="{F753BC75-980D-406E-9BD2-30002BB399B0}" srcOrd="1" destOrd="0" parTransId="{47DF602F-9ECE-4231-BD35-CE7E564ED376}" sibTransId="{A915B083-C45E-407A-9794-9B369DD0BC57}"/>
    <dgm:cxn modelId="{267A0471-AD90-40F6-A1B7-17F24C9F6A2D}" type="presOf" srcId="{FFF50463-834A-44A5-8A74-7B0684004B86}" destId="{B3E49322-40FA-4371-A41E-26B7F282BC8A}" srcOrd="0" destOrd="0" presId="urn:microsoft.com/office/officeart/2005/8/layout/vList2"/>
    <dgm:cxn modelId="{40E1F26B-2B8B-40AB-8E96-94E733AE8B6A}" type="presParOf" srcId="{B3E49322-40FA-4371-A41E-26B7F282BC8A}" destId="{BE3DD3D0-D626-4410-A715-949B528243A1}" srcOrd="0" destOrd="0" presId="urn:microsoft.com/office/officeart/2005/8/layout/vList2"/>
    <dgm:cxn modelId="{5B658A3C-F703-4D43-B0C5-7679D990424E}" type="presParOf" srcId="{B3E49322-40FA-4371-A41E-26B7F282BC8A}" destId="{63DD06A2-3359-4EF6-862C-EF3DF05A3821}" srcOrd="1" destOrd="0" presId="urn:microsoft.com/office/officeart/2005/8/layout/vList2"/>
    <dgm:cxn modelId="{8DF58240-16AE-4341-A7D9-B3532484E40D}" type="presParOf" srcId="{B3E49322-40FA-4371-A41E-26B7F282BC8A}" destId="{3DF216B4-F960-4C46-A2A8-55F0C44CCC39}" srcOrd="2" destOrd="0" presId="urn:microsoft.com/office/officeart/2005/8/layout/vList2"/>
  </dgm:cxnLst>
  <dgm:bg>
    <a:noFill/>
  </dgm:bg>
  <dgm:whole/>
  <dgm:extLst>
    <a:ext uri="http://schemas.microsoft.com/office/drawing/2008/diagram">
      <dsp:dataModelExt xmlns:dsp="http://schemas.microsoft.com/office/drawing/2008/diagram"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FF50463-834A-44A5-8A74-7B0684004B8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A9C03399-A694-4DF1-ADF9-E382C1615EA1}">
      <dgm:prSet phldrT="[Text]" custT="1"/>
      <dgm:spPr>
        <a:xfrm>
          <a:off x="0" y="1806"/>
          <a:ext cx="5493715" cy="517140"/>
        </a:xfrm>
        <a:solidFill>
          <a:schemeClr val="accent2">
            <a:lumMod val="50000"/>
          </a:scheme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Support Coordinator provides education/information to the person about social roles in the community (84.4%)</a:t>
          </a:r>
        </a:p>
      </dgm:t>
    </dgm:pt>
    <dgm:pt modelId="{9C92C89D-6402-41AA-92FD-69A15F3F93E9}" type="parTrans" cxnId="{462B61D8-B579-42D3-8F75-F06EBF4280B0}">
      <dgm:prSet/>
      <dgm:spPr/>
      <dgm:t>
        <a:bodyPr/>
        <a:lstStyle/>
        <a:p>
          <a:endParaRPr lang="en-US"/>
        </a:p>
      </dgm:t>
    </dgm:pt>
    <dgm:pt modelId="{890229AC-D0A2-4049-8877-80D2787A3035}" type="sibTrans" cxnId="{462B61D8-B579-42D3-8F75-F06EBF4280B0}">
      <dgm:prSet/>
      <dgm:spPr/>
      <dgm:t>
        <a:bodyPr/>
        <a:lstStyle/>
        <a:p>
          <a:endParaRPr lang="en-US"/>
        </a:p>
      </dgm:t>
    </dgm:pt>
    <dgm:pt modelId="{B3E49322-40FA-4371-A41E-26B7F282BC8A}" type="pres">
      <dgm:prSet presAssocID="{FFF50463-834A-44A5-8A74-7B0684004B86}" presName="linear" presStyleCnt="0">
        <dgm:presLayoutVars>
          <dgm:animLvl val="lvl"/>
          <dgm:resizeHandles val="exact"/>
        </dgm:presLayoutVars>
      </dgm:prSet>
      <dgm:spPr/>
      <dgm:t>
        <a:bodyPr/>
        <a:lstStyle/>
        <a:p>
          <a:endParaRPr lang="en-US"/>
        </a:p>
      </dgm:t>
    </dgm:pt>
    <dgm:pt modelId="{11621F3C-D492-4880-A867-972075D28B69}" type="pres">
      <dgm:prSet presAssocID="{A9C03399-A694-4DF1-ADF9-E382C1615EA1}" presName="parentText" presStyleLbl="node1" presStyleIdx="0" presStyleCnt="1" custScaleY="47703">
        <dgm:presLayoutVars>
          <dgm:chMax val="0"/>
          <dgm:bulletEnabled val="1"/>
        </dgm:presLayoutVars>
      </dgm:prSet>
      <dgm:spPr/>
      <dgm:t>
        <a:bodyPr/>
        <a:lstStyle/>
        <a:p>
          <a:endParaRPr lang="en-US"/>
        </a:p>
      </dgm:t>
    </dgm:pt>
  </dgm:ptLst>
  <dgm:cxnLst>
    <dgm:cxn modelId="{4016BC25-2125-44E7-8914-9EAABB7F2C2F}" type="presOf" srcId="{FFF50463-834A-44A5-8A74-7B0684004B86}" destId="{B3E49322-40FA-4371-A41E-26B7F282BC8A}" srcOrd="0" destOrd="0" presId="urn:microsoft.com/office/officeart/2005/8/layout/vList2"/>
    <dgm:cxn modelId="{462B61D8-B579-42D3-8F75-F06EBF4280B0}" srcId="{FFF50463-834A-44A5-8A74-7B0684004B86}" destId="{A9C03399-A694-4DF1-ADF9-E382C1615EA1}" srcOrd="0" destOrd="0" parTransId="{9C92C89D-6402-41AA-92FD-69A15F3F93E9}" sibTransId="{890229AC-D0A2-4049-8877-80D2787A3035}"/>
    <dgm:cxn modelId="{FCE310E4-A353-4983-B7A7-0CE3E0D9751C}" type="presOf" srcId="{A9C03399-A694-4DF1-ADF9-E382C1615EA1}" destId="{11621F3C-D492-4880-A867-972075D28B69}" srcOrd="0" destOrd="0" presId="urn:microsoft.com/office/officeart/2005/8/layout/vList2"/>
    <dgm:cxn modelId="{DDE45B8B-E5FB-4881-BD6A-E00529E05517}" type="presParOf" srcId="{B3E49322-40FA-4371-A41E-26B7F282BC8A}" destId="{11621F3C-D492-4880-A867-972075D28B69}" srcOrd="0" destOrd="0" presId="urn:microsoft.com/office/officeart/2005/8/layout/v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FF50463-834A-44A5-8A74-7B0684004B8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D068E06F-3E6F-4F64-94E0-C0B50DA0F2BD}">
      <dgm:prSet phldrT="[Text]" custT="1"/>
      <dgm:spPr>
        <a:xfrm>
          <a:off x="0" y="2140"/>
          <a:ext cx="5493715" cy="473849"/>
        </a:xfrm>
        <a:solidFill>
          <a:schemeClr val="accent6">
            <a:lumMod val="50000"/>
          </a:scheme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Person's preferences concerning social roles in the community are solicited. (87.6%; N=760).</a:t>
          </a:r>
        </a:p>
      </dgm:t>
    </dgm:pt>
    <dgm:pt modelId="{8C7862E1-AC42-4A5F-8438-F04BF78BF1D1}" type="parTrans" cxnId="{6C7630DC-E0C3-4674-9DB3-DBF5BDD77EED}">
      <dgm:prSet/>
      <dgm:spPr/>
      <dgm:t>
        <a:bodyPr/>
        <a:lstStyle/>
        <a:p>
          <a:endParaRPr lang="en-US"/>
        </a:p>
      </dgm:t>
    </dgm:pt>
    <dgm:pt modelId="{8A457F09-E0C4-41D6-BFD7-47014DB56F3C}" type="sibTrans" cxnId="{6C7630DC-E0C3-4674-9DB3-DBF5BDD77EED}">
      <dgm:prSet/>
      <dgm:spPr/>
      <dgm:t>
        <a:bodyPr/>
        <a:lstStyle/>
        <a:p>
          <a:endParaRPr lang="en-US"/>
        </a:p>
      </dgm:t>
    </dgm:pt>
    <dgm:pt modelId="{255DB617-36AA-4D75-A48C-B771D69DDDB9}">
      <dgm:prSet phldrT="[Text]" custT="1"/>
      <dgm:spPr>
        <a:xfrm>
          <a:off x="0" y="1001679"/>
          <a:ext cx="5493715" cy="473849"/>
        </a:xfrm>
        <a:solidFill>
          <a:schemeClr val="accent6">
            <a:lumMod val="50000"/>
          </a:scheme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Person has had more than only limited opportunities to develop new friendships/relationships (87.9%; N=766)</a:t>
          </a:r>
        </a:p>
      </dgm:t>
    </dgm:pt>
    <dgm:pt modelId="{3462B2C6-52E8-40D9-80E3-6AAFF5B58839}" type="parTrans" cxnId="{3A00BCFE-9D32-4A1C-84FB-6F269439560D}">
      <dgm:prSet/>
      <dgm:spPr/>
      <dgm:t>
        <a:bodyPr/>
        <a:lstStyle/>
        <a:p>
          <a:endParaRPr lang="en-US"/>
        </a:p>
      </dgm:t>
    </dgm:pt>
    <dgm:pt modelId="{49B026D4-B597-43CF-BFE8-A16BC9959291}" type="sibTrans" cxnId="{3A00BCFE-9D32-4A1C-84FB-6F269439560D}">
      <dgm:prSet/>
      <dgm:spPr/>
      <dgm:t>
        <a:bodyPr/>
        <a:lstStyle/>
        <a:p>
          <a:endParaRPr lang="en-US"/>
        </a:p>
      </dgm:t>
    </dgm:pt>
    <dgm:pt modelId="{6839130C-8457-48EA-83AF-CEC4E43E85BE}">
      <dgm:prSet phldrT="[Text]" custT="1"/>
      <dgm:spPr>
        <a:xfrm>
          <a:off x="0" y="501910"/>
          <a:ext cx="5493715" cy="473849"/>
        </a:xfrm>
        <a:solidFill>
          <a:schemeClr val="accent6">
            <a:lumMod val="50000"/>
          </a:scheme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Person is provided information about social roles in the community. (82.3%; N=761).</a:t>
          </a:r>
        </a:p>
      </dgm:t>
    </dgm:pt>
    <dgm:pt modelId="{929A953E-AA81-4B2B-9DEA-47418F44DA6F}" type="parTrans" cxnId="{ADE81424-6DDA-4FF0-A61A-4E6A67B891EE}">
      <dgm:prSet/>
      <dgm:spPr/>
      <dgm:t>
        <a:bodyPr/>
        <a:lstStyle/>
        <a:p>
          <a:endParaRPr lang="en-US"/>
        </a:p>
      </dgm:t>
    </dgm:pt>
    <dgm:pt modelId="{9F33B649-4303-4DD0-B81F-D8C85A2DE7E0}" type="sibTrans" cxnId="{ADE81424-6DDA-4FF0-A61A-4E6A67B891EE}">
      <dgm:prSet/>
      <dgm:spPr/>
      <dgm:t>
        <a:bodyPr/>
        <a:lstStyle/>
        <a:p>
          <a:endParaRPr lang="en-US"/>
        </a:p>
      </dgm:t>
    </dgm:pt>
    <dgm:pt modelId="{B3E49322-40FA-4371-A41E-26B7F282BC8A}" type="pres">
      <dgm:prSet presAssocID="{FFF50463-834A-44A5-8A74-7B0684004B86}" presName="linear" presStyleCnt="0">
        <dgm:presLayoutVars>
          <dgm:animLvl val="lvl"/>
          <dgm:resizeHandles val="exact"/>
        </dgm:presLayoutVars>
      </dgm:prSet>
      <dgm:spPr/>
      <dgm:t>
        <a:bodyPr/>
        <a:lstStyle/>
        <a:p>
          <a:endParaRPr lang="en-US"/>
        </a:p>
      </dgm:t>
    </dgm:pt>
    <dgm:pt modelId="{46AB4651-1F56-4B83-BF9B-4C9D77683E23}" type="pres">
      <dgm:prSet presAssocID="{D068E06F-3E6F-4F64-94E0-C0B50DA0F2BD}" presName="parentText" presStyleLbl="node1" presStyleIdx="0" presStyleCnt="3">
        <dgm:presLayoutVars>
          <dgm:chMax val="0"/>
          <dgm:bulletEnabled val="1"/>
        </dgm:presLayoutVars>
      </dgm:prSet>
      <dgm:spPr>
        <a:prstGeom prst="roundRect">
          <a:avLst/>
        </a:prstGeom>
      </dgm:spPr>
      <dgm:t>
        <a:bodyPr/>
        <a:lstStyle/>
        <a:p>
          <a:endParaRPr lang="en-US"/>
        </a:p>
      </dgm:t>
    </dgm:pt>
    <dgm:pt modelId="{7B83D1EF-236D-4981-B3E0-1E273363144D}" type="pres">
      <dgm:prSet presAssocID="{8A457F09-E0C4-41D6-BFD7-47014DB56F3C}" presName="spacer" presStyleCnt="0"/>
      <dgm:spPr/>
    </dgm:pt>
    <dgm:pt modelId="{AC2EAC08-D231-4D8B-8696-1CCF195984A6}" type="pres">
      <dgm:prSet presAssocID="{6839130C-8457-48EA-83AF-CEC4E43E85BE}" presName="parentText" presStyleLbl="node1" presStyleIdx="1" presStyleCnt="3">
        <dgm:presLayoutVars>
          <dgm:chMax val="0"/>
          <dgm:bulletEnabled val="1"/>
        </dgm:presLayoutVars>
      </dgm:prSet>
      <dgm:spPr>
        <a:prstGeom prst="roundRect">
          <a:avLst/>
        </a:prstGeom>
      </dgm:spPr>
      <dgm:t>
        <a:bodyPr/>
        <a:lstStyle/>
        <a:p>
          <a:endParaRPr lang="en-US"/>
        </a:p>
      </dgm:t>
    </dgm:pt>
    <dgm:pt modelId="{C63CAB7C-0C41-416D-9638-03A899058852}" type="pres">
      <dgm:prSet presAssocID="{9F33B649-4303-4DD0-B81F-D8C85A2DE7E0}" presName="spacer" presStyleCnt="0"/>
      <dgm:spPr/>
    </dgm:pt>
    <dgm:pt modelId="{BE3DD3D0-D626-4410-A715-949B528243A1}" type="pres">
      <dgm:prSet presAssocID="{255DB617-36AA-4D75-A48C-B771D69DDDB9}" presName="parentText" presStyleLbl="node1" presStyleIdx="2" presStyleCnt="3">
        <dgm:presLayoutVars>
          <dgm:chMax val="0"/>
          <dgm:bulletEnabled val="1"/>
        </dgm:presLayoutVars>
      </dgm:prSet>
      <dgm:spPr>
        <a:prstGeom prst="roundRect">
          <a:avLst/>
        </a:prstGeom>
      </dgm:spPr>
      <dgm:t>
        <a:bodyPr/>
        <a:lstStyle/>
        <a:p>
          <a:endParaRPr lang="en-US"/>
        </a:p>
      </dgm:t>
    </dgm:pt>
  </dgm:ptLst>
  <dgm:cxnLst>
    <dgm:cxn modelId="{ADE81424-6DDA-4FF0-A61A-4E6A67B891EE}" srcId="{FFF50463-834A-44A5-8A74-7B0684004B86}" destId="{6839130C-8457-48EA-83AF-CEC4E43E85BE}" srcOrd="1" destOrd="0" parTransId="{929A953E-AA81-4B2B-9DEA-47418F44DA6F}" sibTransId="{9F33B649-4303-4DD0-B81F-D8C85A2DE7E0}"/>
    <dgm:cxn modelId="{C0A42F2C-8839-4F24-957C-E1B368A651D9}" type="presOf" srcId="{FFF50463-834A-44A5-8A74-7B0684004B86}" destId="{B3E49322-40FA-4371-A41E-26B7F282BC8A}" srcOrd="0" destOrd="0" presId="urn:microsoft.com/office/officeart/2005/8/layout/vList2"/>
    <dgm:cxn modelId="{3A00BCFE-9D32-4A1C-84FB-6F269439560D}" srcId="{FFF50463-834A-44A5-8A74-7B0684004B86}" destId="{255DB617-36AA-4D75-A48C-B771D69DDDB9}" srcOrd="2" destOrd="0" parTransId="{3462B2C6-52E8-40D9-80E3-6AAFF5B58839}" sibTransId="{49B026D4-B597-43CF-BFE8-A16BC9959291}"/>
    <dgm:cxn modelId="{8A0BE67F-0FDD-4E88-9583-94B66D5E032E}" type="presOf" srcId="{6839130C-8457-48EA-83AF-CEC4E43E85BE}" destId="{AC2EAC08-D231-4D8B-8696-1CCF195984A6}" srcOrd="0" destOrd="0" presId="urn:microsoft.com/office/officeart/2005/8/layout/vList2"/>
    <dgm:cxn modelId="{6C7630DC-E0C3-4674-9DB3-DBF5BDD77EED}" srcId="{FFF50463-834A-44A5-8A74-7B0684004B86}" destId="{D068E06F-3E6F-4F64-94E0-C0B50DA0F2BD}" srcOrd="0" destOrd="0" parTransId="{8C7862E1-AC42-4A5F-8438-F04BF78BF1D1}" sibTransId="{8A457F09-E0C4-41D6-BFD7-47014DB56F3C}"/>
    <dgm:cxn modelId="{424267E9-2907-42CF-B552-8AD3CF8FF187}" type="presOf" srcId="{255DB617-36AA-4D75-A48C-B771D69DDDB9}" destId="{BE3DD3D0-D626-4410-A715-949B528243A1}" srcOrd="0" destOrd="0" presId="urn:microsoft.com/office/officeart/2005/8/layout/vList2"/>
    <dgm:cxn modelId="{C9C0D66B-BBFD-42DE-A930-6FFFDA13CE61}" type="presOf" srcId="{D068E06F-3E6F-4F64-94E0-C0B50DA0F2BD}" destId="{46AB4651-1F56-4B83-BF9B-4C9D77683E23}" srcOrd="0" destOrd="0" presId="urn:microsoft.com/office/officeart/2005/8/layout/vList2"/>
    <dgm:cxn modelId="{1DB9FAC4-450B-4DA6-98CF-98BF7DFC38F9}" type="presParOf" srcId="{B3E49322-40FA-4371-A41E-26B7F282BC8A}" destId="{46AB4651-1F56-4B83-BF9B-4C9D77683E23}" srcOrd="0" destOrd="0" presId="urn:microsoft.com/office/officeart/2005/8/layout/vList2"/>
    <dgm:cxn modelId="{FEC25A46-81BC-4571-B72B-19AA709A2298}" type="presParOf" srcId="{B3E49322-40FA-4371-A41E-26B7F282BC8A}" destId="{7B83D1EF-236D-4981-B3E0-1E273363144D}" srcOrd="1" destOrd="0" presId="urn:microsoft.com/office/officeart/2005/8/layout/vList2"/>
    <dgm:cxn modelId="{50FA2C87-3675-40C2-95C5-7BD74AF43C8C}" type="presParOf" srcId="{B3E49322-40FA-4371-A41E-26B7F282BC8A}" destId="{AC2EAC08-D231-4D8B-8696-1CCF195984A6}" srcOrd="2" destOrd="0" presId="urn:microsoft.com/office/officeart/2005/8/layout/vList2"/>
    <dgm:cxn modelId="{299B04D2-2E7D-46D0-8DA9-3AD21EAB5147}" type="presParOf" srcId="{B3E49322-40FA-4371-A41E-26B7F282BC8A}" destId="{C63CAB7C-0C41-416D-9638-03A899058852}" srcOrd="3" destOrd="0" presId="urn:microsoft.com/office/officeart/2005/8/layout/vList2"/>
    <dgm:cxn modelId="{0D596B59-0845-45E9-BA70-E5F19BED6502}" type="presParOf" srcId="{B3E49322-40FA-4371-A41E-26B7F282BC8A}" destId="{BE3DD3D0-D626-4410-A715-949B528243A1}" srcOrd="4" destOrd="0" presId="urn:microsoft.com/office/officeart/2005/8/layout/vList2"/>
  </dgm:cxnLst>
  <dgm:bg>
    <a:noFill/>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FF50463-834A-44A5-8A74-7B0684004B86}"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D068E06F-3E6F-4F64-94E0-C0B50DA0F2BD}">
      <dgm:prSet phldrT="[Text]" custT="1"/>
      <dgm:spPr>
        <a:xfrm>
          <a:off x="0" y="2140"/>
          <a:ext cx="5493715" cy="473849"/>
        </a:xfrm>
        <a:solidFill>
          <a:schemeClr val="accent6">
            <a:lumMod val="50000"/>
          </a:schemeClr>
        </a:solidFill>
        <a:ln w="25400" cap="flat" cmpd="sng" algn="ctr">
          <a:solidFill>
            <a:sysClr val="window" lastClr="FFFFFF">
              <a:hueOff val="0"/>
              <a:satOff val="0"/>
              <a:lumOff val="0"/>
              <a:alphaOff val="0"/>
            </a:sysClr>
          </a:solidFill>
          <a:prstDash val="solid"/>
        </a:ln>
        <a:effectLst/>
      </dgm:spPr>
      <dgm:t>
        <a:bodyPr/>
        <a:lstStyle/>
        <a:p>
          <a:r>
            <a:rPr lang="en-US" sz="1200">
              <a:solidFill>
                <a:sysClr val="window" lastClr="FFFFFF"/>
              </a:solidFill>
              <a:latin typeface="Calibri"/>
              <a:ea typeface="+mn-ea"/>
              <a:cs typeface="+mn-cs"/>
            </a:rPr>
            <a:t>Person is provided information about potential social roles in the community. (83.3%; N=796).</a:t>
          </a:r>
        </a:p>
      </dgm:t>
    </dgm:pt>
    <dgm:pt modelId="{8C7862E1-AC42-4A5F-8438-F04BF78BF1D1}" type="parTrans" cxnId="{6C7630DC-E0C3-4674-9DB3-DBF5BDD77EED}">
      <dgm:prSet/>
      <dgm:spPr/>
      <dgm:t>
        <a:bodyPr/>
        <a:lstStyle/>
        <a:p>
          <a:endParaRPr lang="en-US"/>
        </a:p>
      </dgm:t>
    </dgm:pt>
    <dgm:pt modelId="{8A457F09-E0C4-41D6-BFD7-47014DB56F3C}" type="sibTrans" cxnId="{6C7630DC-E0C3-4674-9DB3-DBF5BDD77EED}">
      <dgm:prSet/>
      <dgm:spPr/>
      <dgm:t>
        <a:bodyPr/>
        <a:lstStyle/>
        <a:p>
          <a:endParaRPr lang="en-US"/>
        </a:p>
      </dgm:t>
    </dgm:pt>
    <dgm:pt modelId="{B3E49322-40FA-4371-A41E-26B7F282BC8A}" type="pres">
      <dgm:prSet presAssocID="{FFF50463-834A-44A5-8A74-7B0684004B86}" presName="linear" presStyleCnt="0">
        <dgm:presLayoutVars>
          <dgm:animLvl val="lvl"/>
          <dgm:resizeHandles val="exact"/>
        </dgm:presLayoutVars>
      </dgm:prSet>
      <dgm:spPr/>
      <dgm:t>
        <a:bodyPr/>
        <a:lstStyle/>
        <a:p>
          <a:endParaRPr lang="en-US"/>
        </a:p>
      </dgm:t>
    </dgm:pt>
    <dgm:pt modelId="{46AB4651-1F56-4B83-BF9B-4C9D77683E23}" type="pres">
      <dgm:prSet presAssocID="{D068E06F-3E6F-4F64-94E0-C0B50DA0F2BD}" presName="parentText" presStyleLbl="node1" presStyleIdx="0" presStyleCnt="1">
        <dgm:presLayoutVars>
          <dgm:chMax val="0"/>
          <dgm:bulletEnabled val="1"/>
        </dgm:presLayoutVars>
      </dgm:prSet>
      <dgm:spPr>
        <a:prstGeom prst="roundRect">
          <a:avLst/>
        </a:prstGeom>
      </dgm:spPr>
      <dgm:t>
        <a:bodyPr/>
        <a:lstStyle/>
        <a:p>
          <a:endParaRPr lang="en-US"/>
        </a:p>
      </dgm:t>
    </dgm:pt>
  </dgm:ptLst>
  <dgm:cxnLst>
    <dgm:cxn modelId="{6C7630DC-E0C3-4674-9DB3-DBF5BDD77EED}" srcId="{FFF50463-834A-44A5-8A74-7B0684004B86}" destId="{D068E06F-3E6F-4F64-94E0-C0B50DA0F2BD}" srcOrd="0" destOrd="0" parTransId="{8C7862E1-AC42-4A5F-8438-F04BF78BF1D1}" sibTransId="{8A457F09-E0C4-41D6-BFD7-47014DB56F3C}"/>
    <dgm:cxn modelId="{01570D63-40D0-45D5-BFF8-4190E37776E2}" type="presOf" srcId="{FFF50463-834A-44A5-8A74-7B0684004B86}" destId="{B3E49322-40FA-4371-A41E-26B7F282BC8A}" srcOrd="0" destOrd="0" presId="urn:microsoft.com/office/officeart/2005/8/layout/vList2"/>
    <dgm:cxn modelId="{9329A90A-E941-4EA2-AC57-B2AB6E96F7EF}" type="presOf" srcId="{D068E06F-3E6F-4F64-94E0-C0B50DA0F2BD}" destId="{46AB4651-1F56-4B83-BF9B-4C9D77683E23}" srcOrd="0" destOrd="0" presId="urn:microsoft.com/office/officeart/2005/8/layout/vList2"/>
    <dgm:cxn modelId="{4A424DD5-F56D-4DC5-A595-A74BE137DBB8}" type="presParOf" srcId="{B3E49322-40FA-4371-A41E-26B7F282BC8A}" destId="{46AB4651-1F56-4B83-BF9B-4C9D77683E23}" srcOrd="0" destOrd="0" presId="urn:microsoft.com/office/officeart/2005/8/layout/vList2"/>
  </dgm:cxnLst>
  <dgm:bg>
    <a:noFill/>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21DEA980-A71A-47E4-9A1E-2BCEF2E69B6F}"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US"/>
        </a:p>
      </dgm:t>
    </dgm:pt>
    <dgm:pt modelId="{E96B7C0D-DFE6-43F7-A5B8-47C99387B2CB}">
      <dgm:prSet phldrT="[Text]" custT="1"/>
      <dgm:spPr>
        <a:solidFill>
          <a:schemeClr val="accent3">
            <a:lumMod val="50000"/>
          </a:schemeClr>
        </a:solidFill>
      </dgm:spPr>
      <dgm:t>
        <a:bodyPr/>
        <a:lstStyle/>
        <a:p>
          <a:r>
            <a:rPr lang="en-US" sz="1200" b="1"/>
            <a:t>Individuals have a key to their home. (57.5%, N=398)</a:t>
          </a:r>
        </a:p>
      </dgm:t>
    </dgm:pt>
    <dgm:pt modelId="{EEEC1FAD-DDAB-4662-91FF-4F00786B2074}" type="parTrans" cxnId="{21537D3E-40E8-4C5E-B4B6-4CAD81467ECA}">
      <dgm:prSet/>
      <dgm:spPr/>
      <dgm:t>
        <a:bodyPr/>
        <a:lstStyle/>
        <a:p>
          <a:endParaRPr lang="en-US"/>
        </a:p>
      </dgm:t>
    </dgm:pt>
    <dgm:pt modelId="{1929C316-99FA-4555-B614-466F063C19C0}" type="sibTrans" cxnId="{21537D3E-40E8-4C5E-B4B6-4CAD81467ECA}">
      <dgm:prSet/>
      <dgm:spPr/>
      <dgm:t>
        <a:bodyPr/>
        <a:lstStyle/>
        <a:p>
          <a:endParaRPr lang="en-US"/>
        </a:p>
      </dgm:t>
    </dgm:pt>
    <dgm:pt modelId="{6BBCBA12-521D-45F7-8F89-88FECB119E0E}">
      <dgm:prSet phldrT="[Text]" custT="1"/>
      <dgm:spPr>
        <a:solidFill>
          <a:schemeClr val="accent3">
            <a:lumMod val="50000"/>
          </a:schemeClr>
        </a:solidFill>
      </dgm:spPr>
      <dgm:t>
        <a:bodyPr/>
        <a:lstStyle/>
        <a:p>
          <a:r>
            <a:rPr lang="en-US" sz="1200" b="1"/>
            <a:t>Individuals can lock the bedroom door. (80.4%, N=414)</a:t>
          </a:r>
        </a:p>
      </dgm:t>
    </dgm:pt>
    <dgm:pt modelId="{32C6A891-92E9-4412-9CED-E9C5E61C89C3}" type="parTrans" cxnId="{DD429599-AEF8-47B6-9F09-0EB520A493E3}">
      <dgm:prSet/>
      <dgm:spPr/>
      <dgm:t>
        <a:bodyPr/>
        <a:lstStyle/>
        <a:p>
          <a:endParaRPr lang="en-US"/>
        </a:p>
      </dgm:t>
    </dgm:pt>
    <dgm:pt modelId="{008AD593-18DD-4FEE-A82B-0AA022ECC1C8}" type="sibTrans" cxnId="{DD429599-AEF8-47B6-9F09-0EB520A493E3}">
      <dgm:prSet/>
      <dgm:spPr/>
      <dgm:t>
        <a:bodyPr/>
        <a:lstStyle/>
        <a:p>
          <a:endParaRPr lang="en-US"/>
        </a:p>
      </dgm:t>
    </dgm:pt>
    <dgm:pt modelId="{EE1707E9-1DB5-455F-81FB-DB996BC1BAA7}">
      <dgm:prSet phldrT="[Text]" custT="1"/>
      <dgm:spPr>
        <a:solidFill>
          <a:schemeClr val="accent3">
            <a:lumMod val="50000"/>
          </a:schemeClr>
        </a:solidFill>
      </dgm:spPr>
      <dgm:t>
        <a:bodyPr/>
        <a:lstStyle/>
        <a:p>
          <a:r>
            <a:rPr lang="en-US" sz="1200" b="1"/>
            <a:t>Individuals participate in the development of the 'house rules.' (80.7%, N= 410)</a:t>
          </a:r>
        </a:p>
      </dgm:t>
    </dgm:pt>
    <dgm:pt modelId="{EC4E8743-C4F0-4359-9356-5318CA7148DC}" type="parTrans" cxnId="{BEF848FC-E276-46DF-A228-8179AA25EC4B}">
      <dgm:prSet/>
      <dgm:spPr/>
      <dgm:t>
        <a:bodyPr/>
        <a:lstStyle/>
        <a:p>
          <a:endParaRPr lang="en-US"/>
        </a:p>
      </dgm:t>
    </dgm:pt>
    <dgm:pt modelId="{77C67634-EFA7-4F4D-B638-1CB26FF0D527}" type="sibTrans" cxnId="{BEF848FC-E276-46DF-A228-8179AA25EC4B}">
      <dgm:prSet/>
      <dgm:spPr/>
      <dgm:t>
        <a:bodyPr/>
        <a:lstStyle/>
        <a:p>
          <a:endParaRPr lang="en-US"/>
        </a:p>
      </dgm:t>
    </dgm:pt>
    <dgm:pt modelId="{4CBF558E-076D-4EC4-997B-71C93F791415}">
      <dgm:prSet custT="1"/>
      <dgm:spPr>
        <a:solidFill>
          <a:schemeClr val="accent3">
            <a:lumMod val="50000"/>
          </a:schemeClr>
        </a:solidFill>
      </dgm:spPr>
      <dgm:t>
        <a:bodyPr/>
        <a:lstStyle/>
        <a:p>
          <a:endParaRPr lang="en-US" sz="1200"/>
        </a:p>
      </dgm:t>
    </dgm:pt>
    <dgm:pt modelId="{E5EF8769-D4E6-4651-A90D-D15E6E3264A8}" type="parTrans" cxnId="{5B6B4FC9-8116-4311-AB96-A8C1F8569998}">
      <dgm:prSet/>
      <dgm:spPr/>
      <dgm:t>
        <a:bodyPr/>
        <a:lstStyle/>
        <a:p>
          <a:endParaRPr lang="en-US"/>
        </a:p>
      </dgm:t>
    </dgm:pt>
    <dgm:pt modelId="{9BE645AD-5E86-44A9-A62D-5FCBD1C9ADAA}" type="sibTrans" cxnId="{5B6B4FC9-8116-4311-AB96-A8C1F8569998}">
      <dgm:prSet/>
      <dgm:spPr/>
      <dgm:t>
        <a:bodyPr/>
        <a:lstStyle/>
        <a:p>
          <a:endParaRPr lang="en-US"/>
        </a:p>
      </dgm:t>
    </dgm:pt>
    <dgm:pt modelId="{226C9E0C-439C-4A8C-9E76-31BC97C81A33}" type="pres">
      <dgm:prSet presAssocID="{21DEA980-A71A-47E4-9A1E-2BCEF2E69B6F}" presName="linear" presStyleCnt="0">
        <dgm:presLayoutVars>
          <dgm:animLvl val="lvl"/>
          <dgm:resizeHandles val="exact"/>
        </dgm:presLayoutVars>
      </dgm:prSet>
      <dgm:spPr/>
      <dgm:t>
        <a:bodyPr/>
        <a:lstStyle/>
        <a:p>
          <a:endParaRPr lang="en-US"/>
        </a:p>
      </dgm:t>
    </dgm:pt>
    <dgm:pt modelId="{6B7F3586-C869-4B50-AD7F-C88E12607BF7}" type="pres">
      <dgm:prSet presAssocID="{E96B7C0D-DFE6-43F7-A5B8-47C99387B2CB}" presName="parentText" presStyleLbl="node1" presStyleIdx="0" presStyleCnt="4">
        <dgm:presLayoutVars>
          <dgm:chMax val="0"/>
          <dgm:bulletEnabled val="1"/>
        </dgm:presLayoutVars>
      </dgm:prSet>
      <dgm:spPr/>
      <dgm:t>
        <a:bodyPr/>
        <a:lstStyle/>
        <a:p>
          <a:endParaRPr lang="en-US"/>
        </a:p>
      </dgm:t>
    </dgm:pt>
    <dgm:pt modelId="{BB0E1E4B-3F5E-4798-B2DC-5DAC757C3F1A}" type="pres">
      <dgm:prSet presAssocID="{1929C316-99FA-4555-B614-466F063C19C0}" presName="spacer" presStyleCnt="0"/>
      <dgm:spPr/>
    </dgm:pt>
    <dgm:pt modelId="{3A274D81-2D21-4A90-8A0C-049C25C02686}" type="pres">
      <dgm:prSet presAssocID="{6BBCBA12-521D-45F7-8F89-88FECB119E0E}" presName="parentText" presStyleLbl="node1" presStyleIdx="1" presStyleCnt="4">
        <dgm:presLayoutVars>
          <dgm:chMax val="0"/>
          <dgm:bulletEnabled val="1"/>
        </dgm:presLayoutVars>
      </dgm:prSet>
      <dgm:spPr/>
      <dgm:t>
        <a:bodyPr/>
        <a:lstStyle/>
        <a:p>
          <a:endParaRPr lang="en-US"/>
        </a:p>
      </dgm:t>
    </dgm:pt>
    <dgm:pt modelId="{0AA65903-A9B8-4CA6-847D-98B952B7A050}" type="pres">
      <dgm:prSet presAssocID="{008AD593-18DD-4FEE-A82B-0AA022ECC1C8}" presName="spacer" presStyleCnt="0"/>
      <dgm:spPr/>
    </dgm:pt>
    <dgm:pt modelId="{6C59C46C-B513-4B4E-8094-0A1258D88A83}" type="pres">
      <dgm:prSet presAssocID="{EE1707E9-1DB5-455F-81FB-DB996BC1BAA7}" presName="parentText" presStyleLbl="node1" presStyleIdx="2" presStyleCnt="4">
        <dgm:presLayoutVars>
          <dgm:chMax val="0"/>
          <dgm:bulletEnabled val="1"/>
        </dgm:presLayoutVars>
      </dgm:prSet>
      <dgm:spPr/>
      <dgm:t>
        <a:bodyPr/>
        <a:lstStyle/>
        <a:p>
          <a:endParaRPr lang="en-US"/>
        </a:p>
      </dgm:t>
    </dgm:pt>
    <dgm:pt modelId="{86A8A654-677F-4511-9698-D17B6CC3A343}" type="pres">
      <dgm:prSet presAssocID="{77C67634-EFA7-4F4D-B638-1CB26FF0D527}" presName="spacer" presStyleCnt="0"/>
      <dgm:spPr/>
    </dgm:pt>
    <dgm:pt modelId="{0143DF29-FF88-4A57-BD34-5C4F4C4A0A28}" type="pres">
      <dgm:prSet presAssocID="{4CBF558E-076D-4EC4-997B-71C93F791415}" presName="parentText" presStyleLbl="node1" presStyleIdx="3" presStyleCnt="4">
        <dgm:presLayoutVars>
          <dgm:chMax val="0"/>
          <dgm:bulletEnabled val="1"/>
        </dgm:presLayoutVars>
      </dgm:prSet>
      <dgm:spPr/>
      <dgm:t>
        <a:bodyPr/>
        <a:lstStyle/>
        <a:p>
          <a:endParaRPr lang="en-US"/>
        </a:p>
      </dgm:t>
    </dgm:pt>
  </dgm:ptLst>
  <dgm:cxnLst>
    <dgm:cxn modelId="{BEF848FC-E276-46DF-A228-8179AA25EC4B}" srcId="{21DEA980-A71A-47E4-9A1E-2BCEF2E69B6F}" destId="{EE1707E9-1DB5-455F-81FB-DB996BC1BAA7}" srcOrd="2" destOrd="0" parTransId="{EC4E8743-C4F0-4359-9356-5318CA7148DC}" sibTransId="{77C67634-EFA7-4F4D-B638-1CB26FF0D527}"/>
    <dgm:cxn modelId="{5B6B4FC9-8116-4311-AB96-A8C1F8569998}" srcId="{21DEA980-A71A-47E4-9A1E-2BCEF2E69B6F}" destId="{4CBF558E-076D-4EC4-997B-71C93F791415}" srcOrd="3" destOrd="0" parTransId="{E5EF8769-D4E6-4651-A90D-D15E6E3264A8}" sibTransId="{9BE645AD-5E86-44A9-A62D-5FCBD1C9ADAA}"/>
    <dgm:cxn modelId="{E511D0A2-F974-4321-8B8D-4DC87C83B383}" type="presOf" srcId="{6BBCBA12-521D-45F7-8F89-88FECB119E0E}" destId="{3A274D81-2D21-4A90-8A0C-049C25C02686}" srcOrd="0" destOrd="0" presId="urn:microsoft.com/office/officeart/2005/8/layout/vList2"/>
    <dgm:cxn modelId="{DFE2EF01-631F-416B-8BE7-B1D3B9F7DB4C}" type="presOf" srcId="{4CBF558E-076D-4EC4-997B-71C93F791415}" destId="{0143DF29-FF88-4A57-BD34-5C4F4C4A0A28}" srcOrd="0" destOrd="0" presId="urn:microsoft.com/office/officeart/2005/8/layout/vList2"/>
    <dgm:cxn modelId="{B903E8F2-FE87-47D2-864A-124010D2AF94}" type="presOf" srcId="{EE1707E9-1DB5-455F-81FB-DB996BC1BAA7}" destId="{6C59C46C-B513-4B4E-8094-0A1258D88A83}" srcOrd="0" destOrd="0" presId="urn:microsoft.com/office/officeart/2005/8/layout/vList2"/>
    <dgm:cxn modelId="{B28B3C7F-AEF6-45BA-8E7D-2105B80689AF}" type="presOf" srcId="{E96B7C0D-DFE6-43F7-A5B8-47C99387B2CB}" destId="{6B7F3586-C869-4B50-AD7F-C88E12607BF7}" srcOrd="0" destOrd="0" presId="urn:microsoft.com/office/officeart/2005/8/layout/vList2"/>
    <dgm:cxn modelId="{C5106E3B-AEE7-4D0B-B637-B5105B830542}" type="presOf" srcId="{21DEA980-A71A-47E4-9A1E-2BCEF2E69B6F}" destId="{226C9E0C-439C-4A8C-9E76-31BC97C81A33}" srcOrd="0" destOrd="0" presId="urn:microsoft.com/office/officeart/2005/8/layout/vList2"/>
    <dgm:cxn modelId="{DD429599-AEF8-47B6-9F09-0EB520A493E3}" srcId="{21DEA980-A71A-47E4-9A1E-2BCEF2E69B6F}" destId="{6BBCBA12-521D-45F7-8F89-88FECB119E0E}" srcOrd="1" destOrd="0" parTransId="{32C6A891-92E9-4412-9CED-E9C5E61C89C3}" sibTransId="{008AD593-18DD-4FEE-A82B-0AA022ECC1C8}"/>
    <dgm:cxn modelId="{21537D3E-40E8-4C5E-B4B6-4CAD81467ECA}" srcId="{21DEA980-A71A-47E4-9A1E-2BCEF2E69B6F}" destId="{E96B7C0D-DFE6-43F7-A5B8-47C99387B2CB}" srcOrd="0" destOrd="0" parTransId="{EEEC1FAD-DDAB-4662-91FF-4F00786B2074}" sibTransId="{1929C316-99FA-4555-B614-466F063C19C0}"/>
    <dgm:cxn modelId="{078246D0-9769-42C8-AF12-25040AB1FB89}" type="presParOf" srcId="{226C9E0C-439C-4A8C-9E76-31BC97C81A33}" destId="{6B7F3586-C869-4B50-AD7F-C88E12607BF7}" srcOrd="0" destOrd="0" presId="urn:microsoft.com/office/officeart/2005/8/layout/vList2"/>
    <dgm:cxn modelId="{F7FEE98E-3FFE-4A09-9976-BC05159C0D4A}" type="presParOf" srcId="{226C9E0C-439C-4A8C-9E76-31BC97C81A33}" destId="{BB0E1E4B-3F5E-4798-B2DC-5DAC757C3F1A}" srcOrd="1" destOrd="0" presId="urn:microsoft.com/office/officeart/2005/8/layout/vList2"/>
    <dgm:cxn modelId="{BA3F1B70-95FD-495B-9DBE-0E4F4D3746AF}" type="presParOf" srcId="{226C9E0C-439C-4A8C-9E76-31BC97C81A33}" destId="{3A274D81-2D21-4A90-8A0C-049C25C02686}" srcOrd="2" destOrd="0" presId="urn:microsoft.com/office/officeart/2005/8/layout/vList2"/>
    <dgm:cxn modelId="{76D2090C-C580-4789-9ABA-9331FCD131D2}" type="presParOf" srcId="{226C9E0C-439C-4A8C-9E76-31BC97C81A33}" destId="{0AA65903-A9B8-4CA6-847D-98B952B7A050}" srcOrd="3" destOrd="0" presId="urn:microsoft.com/office/officeart/2005/8/layout/vList2"/>
    <dgm:cxn modelId="{6038F06F-774C-4253-89CA-91E64539F25E}" type="presParOf" srcId="{226C9E0C-439C-4A8C-9E76-31BC97C81A33}" destId="{6C59C46C-B513-4B4E-8094-0A1258D88A83}" srcOrd="4" destOrd="0" presId="urn:microsoft.com/office/officeart/2005/8/layout/vList2"/>
    <dgm:cxn modelId="{7F9D3054-98AB-4CDE-A436-C3DC19AF20C0}" type="presParOf" srcId="{226C9E0C-439C-4A8C-9E76-31BC97C81A33}" destId="{86A8A654-677F-4511-9698-D17B6CC3A343}" srcOrd="5" destOrd="0" presId="urn:microsoft.com/office/officeart/2005/8/layout/vList2"/>
    <dgm:cxn modelId="{738C2BC0-3FE8-42A7-82BA-FC1D2AD634FB}" type="presParOf" srcId="{226C9E0C-439C-4A8C-9E76-31BC97C81A33}" destId="{0143DF29-FF88-4A57-BD34-5C4F4C4A0A28}" srcOrd="6" destOrd="0" presId="urn:microsoft.com/office/officeart/2005/8/layout/vList2"/>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D1E1B3A-E46E-46BF-830E-1317C18F136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4E1BE7E-F2AD-4686-80E3-D329167AF1D3}">
      <dgm:prSet custT="1"/>
      <dgm:spPr>
        <a:solidFill>
          <a:schemeClr val="accent5">
            <a:lumMod val="75000"/>
          </a:schemeClr>
        </a:solidFill>
      </dgm:spPr>
      <dgm:t>
        <a:bodyPr/>
        <a:lstStyle/>
        <a:p>
          <a:pPr rtl="0"/>
          <a:r>
            <a:rPr lang="en-US" sz="1200" b="1" dirty="0" smtClean="0"/>
            <a:t>Individual Interview (Waiver) – 95.2%</a:t>
          </a:r>
          <a:endParaRPr lang="en-US" sz="1200" b="1" dirty="0"/>
        </a:p>
      </dgm:t>
    </dgm:pt>
    <dgm:pt modelId="{69D7FB87-CA75-4646-AE71-7CC8941BBDBB}" type="parTrans" cxnId="{6DA274EC-FD86-46AC-AB05-BE03365A71DA}">
      <dgm:prSet/>
      <dgm:spPr/>
      <dgm:t>
        <a:bodyPr/>
        <a:lstStyle/>
        <a:p>
          <a:endParaRPr lang="en-US"/>
        </a:p>
      </dgm:t>
    </dgm:pt>
    <dgm:pt modelId="{0ABA20AC-6E48-488C-BF04-5B5604C35C95}" type="sibTrans" cxnId="{6DA274EC-FD86-46AC-AB05-BE03365A71DA}">
      <dgm:prSet/>
      <dgm:spPr/>
      <dgm:t>
        <a:bodyPr/>
        <a:lstStyle/>
        <a:p>
          <a:endParaRPr lang="en-US"/>
        </a:p>
      </dgm:t>
    </dgm:pt>
    <dgm:pt modelId="{2F2DD207-6FA9-4740-9FC1-BE1FD3F57316}">
      <dgm:prSet custT="1"/>
      <dgm:spPr>
        <a:solidFill>
          <a:schemeClr val="accent5">
            <a:lumMod val="75000"/>
          </a:schemeClr>
        </a:solidFill>
      </dgm:spPr>
      <dgm:t>
        <a:bodyPr/>
        <a:lstStyle/>
        <a:p>
          <a:pPr rtl="0"/>
          <a:r>
            <a:rPr lang="en-US" sz="1200" b="1" dirty="0" smtClean="0"/>
            <a:t>WSC Interview – 97.6%</a:t>
          </a:r>
          <a:endParaRPr lang="en-US" sz="1200" b="1" dirty="0"/>
        </a:p>
      </dgm:t>
    </dgm:pt>
    <dgm:pt modelId="{A36A4174-54D3-475C-BB0D-E8674E3DC006}" type="parTrans" cxnId="{B3F3C793-277F-407E-9993-389E832A7F20}">
      <dgm:prSet/>
      <dgm:spPr/>
      <dgm:t>
        <a:bodyPr/>
        <a:lstStyle/>
        <a:p>
          <a:endParaRPr lang="en-US"/>
        </a:p>
      </dgm:t>
    </dgm:pt>
    <dgm:pt modelId="{3B0B5F97-093F-44B3-A5A1-A50429BE0CB7}" type="sibTrans" cxnId="{B3F3C793-277F-407E-9993-389E832A7F20}">
      <dgm:prSet/>
      <dgm:spPr/>
      <dgm:t>
        <a:bodyPr/>
        <a:lstStyle/>
        <a:p>
          <a:endParaRPr lang="en-US"/>
        </a:p>
      </dgm:t>
    </dgm:pt>
    <dgm:pt modelId="{88929A52-983E-4523-AC2B-B7A982661C40}">
      <dgm:prSet custT="1"/>
      <dgm:spPr>
        <a:solidFill>
          <a:schemeClr val="accent5">
            <a:lumMod val="75000"/>
          </a:schemeClr>
        </a:solidFill>
      </dgm:spPr>
      <dgm:t>
        <a:bodyPr/>
        <a:lstStyle/>
        <a:p>
          <a:pPr rtl="0"/>
          <a:r>
            <a:rPr lang="en-US" sz="1200" b="1" dirty="0" smtClean="0"/>
            <a:t>Support Coordinator Record Review – 94.4%</a:t>
          </a:r>
          <a:endParaRPr lang="en-US" sz="1200" b="1" dirty="0"/>
        </a:p>
      </dgm:t>
    </dgm:pt>
    <dgm:pt modelId="{F68261AB-4F2E-4F2D-90A5-3C2A444EAD85}" type="parTrans" cxnId="{037A892F-94CF-4D0A-87DB-E3CDB989A6C9}">
      <dgm:prSet/>
      <dgm:spPr/>
      <dgm:t>
        <a:bodyPr/>
        <a:lstStyle/>
        <a:p>
          <a:endParaRPr lang="en-US"/>
        </a:p>
      </dgm:t>
    </dgm:pt>
    <dgm:pt modelId="{FD5920AD-9E1D-40B5-9C4F-9FCFAD6975B6}" type="sibTrans" cxnId="{037A892F-94CF-4D0A-87DB-E3CDB989A6C9}">
      <dgm:prSet/>
      <dgm:spPr/>
      <dgm:t>
        <a:bodyPr/>
        <a:lstStyle/>
        <a:p>
          <a:endParaRPr lang="en-US"/>
        </a:p>
      </dgm:t>
    </dgm:pt>
    <dgm:pt modelId="{23348A4E-E6B1-4945-AFEE-741BF6FD4F42}">
      <dgm:prSet custT="1"/>
      <dgm:spPr>
        <a:solidFill>
          <a:schemeClr val="accent5">
            <a:lumMod val="75000"/>
          </a:schemeClr>
        </a:solidFill>
      </dgm:spPr>
      <dgm:t>
        <a:bodyPr/>
        <a:lstStyle/>
        <a:p>
          <a:pPr rtl="0"/>
          <a:r>
            <a:rPr lang="en-US" sz="1200" b="1" dirty="0" smtClean="0"/>
            <a:t>CDC+ Consultant Record Review – 97.0%</a:t>
          </a:r>
          <a:endParaRPr lang="en-US" sz="1200" b="1" dirty="0"/>
        </a:p>
      </dgm:t>
    </dgm:pt>
    <dgm:pt modelId="{8FE8D4EE-924D-43D6-B9A4-A248751F5BA1}" type="parTrans" cxnId="{1623E7A7-925B-4CD8-8C68-0084A11FAE9B}">
      <dgm:prSet/>
      <dgm:spPr/>
      <dgm:t>
        <a:bodyPr/>
        <a:lstStyle/>
        <a:p>
          <a:endParaRPr lang="en-US"/>
        </a:p>
      </dgm:t>
    </dgm:pt>
    <dgm:pt modelId="{970648AD-2C0D-4E1C-8AFB-1C7A25ACF1C1}" type="sibTrans" cxnId="{1623E7A7-925B-4CD8-8C68-0084A11FAE9B}">
      <dgm:prSet/>
      <dgm:spPr/>
      <dgm:t>
        <a:bodyPr/>
        <a:lstStyle/>
        <a:p>
          <a:endParaRPr lang="en-US"/>
        </a:p>
      </dgm:t>
    </dgm:pt>
    <dgm:pt modelId="{C7A3F06D-D595-4CAD-AEED-72A31ABB8206}">
      <dgm:prSet custT="1"/>
      <dgm:spPr>
        <a:solidFill>
          <a:schemeClr val="accent5">
            <a:lumMod val="75000"/>
          </a:schemeClr>
        </a:solidFill>
      </dgm:spPr>
      <dgm:t>
        <a:bodyPr/>
        <a:lstStyle/>
        <a:p>
          <a:pPr rtl="0"/>
          <a:r>
            <a:rPr lang="en-US" sz="1200" b="1" dirty="0" smtClean="0"/>
            <a:t>CDC+ Representative Review – 93.2%</a:t>
          </a:r>
          <a:endParaRPr lang="en-US" sz="1200" b="1" dirty="0"/>
        </a:p>
      </dgm:t>
    </dgm:pt>
    <dgm:pt modelId="{741E7BDB-CBC8-4497-9ED0-1F155B39791C}" type="parTrans" cxnId="{BAC203C6-1630-462C-A782-21E0912F40F5}">
      <dgm:prSet/>
      <dgm:spPr/>
      <dgm:t>
        <a:bodyPr/>
        <a:lstStyle/>
        <a:p>
          <a:endParaRPr lang="en-US"/>
        </a:p>
      </dgm:t>
    </dgm:pt>
    <dgm:pt modelId="{6BC3003E-665B-4F3F-812C-B1FF244DC69B}" type="sibTrans" cxnId="{BAC203C6-1630-462C-A782-21E0912F40F5}">
      <dgm:prSet/>
      <dgm:spPr/>
      <dgm:t>
        <a:bodyPr/>
        <a:lstStyle/>
        <a:p>
          <a:endParaRPr lang="en-US"/>
        </a:p>
      </dgm:t>
    </dgm:pt>
    <dgm:pt modelId="{DF077904-79B4-4269-A738-BDAD01C8E250}">
      <dgm:prSet custT="1"/>
      <dgm:spPr>
        <a:solidFill>
          <a:schemeClr val="accent5">
            <a:lumMod val="75000"/>
          </a:schemeClr>
        </a:solidFill>
      </dgm:spPr>
      <dgm:t>
        <a:bodyPr/>
        <a:lstStyle/>
        <a:p>
          <a:pPr rtl="0"/>
          <a:r>
            <a:rPr lang="en-US" sz="1200" b="1" dirty="0" smtClean="0"/>
            <a:t>Individual Interview (CDC+) – 97.7%</a:t>
          </a:r>
          <a:endParaRPr lang="en-US" sz="1200" b="1" dirty="0"/>
        </a:p>
      </dgm:t>
    </dgm:pt>
    <dgm:pt modelId="{B77D16F6-A95B-4B65-9D05-DCD78F813CB8}" type="sibTrans" cxnId="{D2139B11-32BF-4EA8-BB6B-2CE32A01320E}">
      <dgm:prSet/>
      <dgm:spPr/>
      <dgm:t>
        <a:bodyPr/>
        <a:lstStyle/>
        <a:p>
          <a:endParaRPr lang="en-US"/>
        </a:p>
      </dgm:t>
    </dgm:pt>
    <dgm:pt modelId="{FF7F4957-94EB-4FB2-BC08-FA7C0E8FC4CB}" type="parTrans" cxnId="{D2139B11-32BF-4EA8-BB6B-2CE32A01320E}">
      <dgm:prSet/>
      <dgm:spPr/>
      <dgm:t>
        <a:bodyPr/>
        <a:lstStyle/>
        <a:p>
          <a:endParaRPr lang="en-US"/>
        </a:p>
      </dgm:t>
    </dgm:pt>
    <dgm:pt modelId="{9DB9E66A-C6EE-4A4D-8D91-713B4C8D018E}">
      <dgm:prSet custT="1"/>
      <dgm:spPr>
        <a:solidFill>
          <a:schemeClr val="accent5">
            <a:lumMod val="75000"/>
          </a:schemeClr>
        </a:solidFill>
      </dgm:spPr>
      <dgm:t>
        <a:bodyPr/>
        <a:lstStyle/>
        <a:p>
          <a:pPr rtl="0"/>
          <a:r>
            <a:rPr lang="en-US" sz="1200" b="1" dirty="0"/>
            <a:t>CDC+ Consultant Interview - 98.9%</a:t>
          </a:r>
        </a:p>
      </dgm:t>
    </dgm:pt>
    <dgm:pt modelId="{DC2F1C92-84E8-41AD-A425-A9C76C19891C}" type="parTrans" cxnId="{7C564875-28C1-4CE9-9932-1C1A92356E04}">
      <dgm:prSet/>
      <dgm:spPr/>
      <dgm:t>
        <a:bodyPr/>
        <a:lstStyle/>
        <a:p>
          <a:endParaRPr lang="en-US"/>
        </a:p>
      </dgm:t>
    </dgm:pt>
    <dgm:pt modelId="{6A294289-BF0C-4677-8AFD-D49ABFD341A7}" type="sibTrans" cxnId="{7C564875-28C1-4CE9-9932-1C1A92356E04}">
      <dgm:prSet/>
      <dgm:spPr/>
      <dgm:t>
        <a:bodyPr/>
        <a:lstStyle/>
        <a:p>
          <a:endParaRPr lang="en-US"/>
        </a:p>
      </dgm:t>
    </dgm:pt>
    <dgm:pt modelId="{55A1D4FA-1CC0-472E-8E63-53968928B011}" type="pres">
      <dgm:prSet presAssocID="{7D1E1B3A-E46E-46BF-830E-1317C18F136C}" presName="Name0" presStyleCnt="0">
        <dgm:presLayoutVars>
          <dgm:dir/>
          <dgm:animLvl val="lvl"/>
          <dgm:resizeHandles val="exact"/>
        </dgm:presLayoutVars>
      </dgm:prSet>
      <dgm:spPr/>
      <dgm:t>
        <a:bodyPr/>
        <a:lstStyle/>
        <a:p>
          <a:endParaRPr lang="en-US"/>
        </a:p>
      </dgm:t>
    </dgm:pt>
    <dgm:pt modelId="{C8DA2259-91BB-4428-BDBF-A3AE233BB153}" type="pres">
      <dgm:prSet presAssocID="{E4E1BE7E-F2AD-4686-80E3-D329167AF1D3}" presName="linNode" presStyleCnt="0"/>
      <dgm:spPr/>
    </dgm:pt>
    <dgm:pt modelId="{D8BA2630-89EC-4724-A63A-33355D50F33D}" type="pres">
      <dgm:prSet presAssocID="{E4E1BE7E-F2AD-4686-80E3-D329167AF1D3}" presName="parentText" presStyleLbl="node1" presStyleIdx="0" presStyleCnt="7" custScaleX="274061">
        <dgm:presLayoutVars>
          <dgm:chMax val="1"/>
          <dgm:bulletEnabled val="1"/>
        </dgm:presLayoutVars>
      </dgm:prSet>
      <dgm:spPr/>
      <dgm:t>
        <a:bodyPr/>
        <a:lstStyle/>
        <a:p>
          <a:endParaRPr lang="en-US"/>
        </a:p>
      </dgm:t>
    </dgm:pt>
    <dgm:pt modelId="{BD3332C2-B2D0-4AAE-B1AB-C94C7F411023}" type="pres">
      <dgm:prSet presAssocID="{0ABA20AC-6E48-488C-BF04-5B5604C35C95}" presName="sp" presStyleCnt="0"/>
      <dgm:spPr/>
    </dgm:pt>
    <dgm:pt modelId="{38F935E6-340D-45F4-89DE-E986F187C512}" type="pres">
      <dgm:prSet presAssocID="{DF077904-79B4-4269-A738-BDAD01C8E250}" presName="linNode" presStyleCnt="0"/>
      <dgm:spPr/>
    </dgm:pt>
    <dgm:pt modelId="{16913C5C-F8E6-4B91-9589-E57A8D9644A9}" type="pres">
      <dgm:prSet presAssocID="{DF077904-79B4-4269-A738-BDAD01C8E250}" presName="parentText" presStyleLbl="node1" presStyleIdx="1" presStyleCnt="7" custScaleX="274061">
        <dgm:presLayoutVars>
          <dgm:chMax val="1"/>
          <dgm:bulletEnabled val="1"/>
        </dgm:presLayoutVars>
      </dgm:prSet>
      <dgm:spPr/>
      <dgm:t>
        <a:bodyPr/>
        <a:lstStyle/>
        <a:p>
          <a:endParaRPr lang="en-US"/>
        </a:p>
      </dgm:t>
    </dgm:pt>
    <dgm:pt modelId="{1D34EEF6-BA2D-4CFB-AA1D-8574F611C83E}" type="pres">
      <dgm:prSet presAssocID="{B77D16F6-A95B-4B65-9D05-DCD78F813CB8}" presName="sp" presStyleCnt="0"/>
      <dgm:spPr/>
    </dgm:pt>
    <dgm:pt modelId="{6D11D414-36BF-4E78-8C57-C5F86AAFA385}" type="pres">
      <dgm:prSet presAssocID="{2F2DD207-6FA9-4740-9FC1-BE1FD3F57316}" presName="linNode" presStyleCnt="0"/>
      <dgm:spPr/>
    </dgm:pt>
    <dgm:pt modelId="{E988944D-5DD8-4859-8E59-901D9A18139B}" type="pres">
      <dgm:prSet presAssocID="{2F2DD207-6FA9-4740-9FC1-BE1FD3F57316}" presName="parentText" presStyleLbl="node1" presStyleIdx="2" presStyleCnt="7" custScaleX="274061">
        <dgm:presLayoutVars>
          <dgm:chMax val="1"/>
          <dgm:bulletEnabled val="1"/>
        </dgm:presLayoutVars>
      </dgm:prSet>
      <dgm:spPr/>
      <dgm:t>
        <a:bodyPr/>
        <a:lstStyle/>
        <a:p>
          <a:endParaRPr lang="en-US"/>
        </a:p>
      </dgm:t>
    </dgm:pt>
    <dgm:pt modelId="{42BDEBBA-98C2-4FCD-91D4-B3851F850F95}" type="pres">
      <dgm:prSet presAssocID="{3B0B5F97-093F-44B3-A5A1-A50429BE0CB7}" presName="sp" presStyleCnt="0"/>
      <dgm:spPr/>
    </dgm:pt>
    <dgm:pt modelId="{31C18C41-1782-46F7-8E0D-D987B380EFF8}" type="pres">
      <dgm:prSet presAssocID="{9DB9E66A-C6EE-4A4D-8D91-713B4C8D018E}" presName="linNode" presStyleCnt="0"/>
      <dgm:spPr/>
    </dgm:pt>
    <dgm:pt modelId="{565E7549-6B76-4F38-83F7-8CF7901053A6}" type="pres">
      <dgm:prSet presAssocID="{9DB9E66A-C6EE-4A4D-8D91-713B4C8D018E}" presName="parentText" presStyleLbl="node1" presStyleIdx="3" presStyleCnt="7" custScaleX="274524">
        <dgm:presLayoutVars>
          <dgm:chMax val="1"/>
          <dgm:bulletEnabled val="1"/>
        </dgm:presLayoutVars>
      </dgm:prSet>
      <dgm:spPr/>
      <dgm:t>
        <a:bodyPr/>
        <a:lstStyle/>
        <a:p>
          <a:endParaRPr lang="en-US"/>
        </a:p>
      </dgm:t>
    </dgm:pt>
    <dgm:pt modelId="{C65271D0-D5F0-4A87-91E4-F8633326D155}" type="pres">
      <dgm:prSet presAssocID="{6A294289-BF0C-4677-8AFD-D49ABFD341A7}" presName="sp" presStyleCnt="0"/>
      <dgm:spPr/>
    </dgm:pt>
    <dgm:pt modelId="{F9A535E0-91E1-4FA1-BF14-90221C4E8E5C}" type="pres">
      <dgm:prSet presAssocID="{88929A52-983E-4523-AC2B-B7A982661C40}" presName="linNode" presStyleCnt="0"/>
      <dgm:spPr/>
    </dgm:pt>
    <dgm:pt modelId="{64CB5956-7649-4CCF-83A9-5184FA55536E}" type="pres">
      <dgm:prSet presAssocID="{88929A52-983E-4523-AC2B-B7A982661C40}" presName="parentText" presStyleLbl="node1" presStyleIdx="4" presStyleCnt="7" custScaleX="274061">
        <dgm:presLayoutVars>
          <dgm:chMax val="1"/>
          <dgm:bulletEnabled val="1"/>
        </dgm:presLayoutVars>
      </dgm:prSet>
      <dgm:spPr/>
      <dgm:t>
        <a:bodyPr/>
        <a:lstStyle/>
        <a:p>
          <a:endParaRPr lang="en-US"/>
        </a:p>
      </dgm:t>
    </dgm:pt>
    <dgm:pt modelId="{2A1BB58F-BC9B-4400-8778-937500272E7B}" type="pres">
      <dgm:prSet presAssocID="{FD5920AD-9E1D-40B5-9C4F-9FCFAD6975B6}" presName="sp" presStyleCnt="0"/>
      <dgm:spPr/>
    </dgm:pt>
    <dgm:pt modelId="{922629E8-5563-423F-BC4F-B6C5A16A84D7}" type="pres">
      <dgm:prSet presAssocID="{23348A4E-E6B1-4945-AFEE-741BF6FD4F42}" presName="linNode" presStyleCnt="0"/>
      <dgm:spPr/>
    </dgm:pt>
    <dgm:pt modelId="{E5CD1B79-6F6A-4F65-9B36-4180863580C9}" type="pres">
      <dgm:prSet presAssocID="{23348A4E-E6B1-4945-AFEE-741BF6FD4F42}" presName="parentText" presStyleLbl="node1" presStyleIdx="5" presStyleCnt="7" custScaleX="274061">
        <dgm:presLayoutVars>
          <dgm:chMax val="1"/>
          <dgm:bulletEnabled val="1"/>
        </dgm:presLayoutVars>
      </dgm:prSet>
      <dgm:spPr/>
      <dgm:t>
        <a:bodyPr/>
        <a:lstStyle/>
        <a:p>
          <a:endParaRPr lang="en-US"/>
        </a:p>
      </dgm:t>
    </dgm:pt>
    <dgm:pt modelId="{360A6F66-1E4A-4321-A08C-9BB024D1A79A}" type="pres">
      <dgm:prSet presAssocID="{970648AD-2C0D-4E1C-8AFB-1C7A25ACF1C1}" presName="sp" presStyleCnt="0"/>
      <dgm:spPr/>
    </dgm:pt>
    <dgm:pt modelId="{EC0B8CD1-A019-4907-B026-25FBFC156E89}" type="pres">
      <dgm:prSet presAssocID="{C7A3F06D-D595-4CAD-AEED-72A31ABB8206}" presName="linNode" presStyleCnt="0"/>
      <dgm:spPr/>
    </dgm:pt>
    <dgm:pt modelId="{E761265B-4BCF-4366-97D9-7DD7081174E1}" type="pres">
      <dgm:prSet presAssocID="{C7A3F06D-D595-4CAD-AEED-72A31ABB8206}" presName="parentText" presStyleLbl="node1" presStyleIdx="6" presStyleCnt="7" custScaleX="274061">
        <dgm:presLayoutVars>
          <dgm:chMax val="1"/>
          <dgm:bulletEnabled val="1"/>
        </dgm:presLayoutVars>
      </dgm:prSet>
      <dgm:spPr/>
      <dgm:t>
        <a:bodyPr/>
        <a:lstStyle/>
        <a:p>
          <a:endParaRPr lang="en-US"/>
        </a:p>
      </dgm:t>
    </dgm:pt>
  </dgm:ptLst>
  <dgm:cxnLst>
    <dgm:cxn modelId="{DEBE2CC1-532D-4D40-95A8-FF496CB4A4B7}" type="presOf" srcId="{7D1E1B3A-E46E-46BF-830E-1317C18F136C}" destId="{55A1D4FA-1CC0-472E-8E63-53968928B011}" srcOrd="0" destOrd="0" presId="urn:microsoft.com/office/officeart/2005/8/layout/vList5"/>
    <dgm:cxn modelId="{CB4701D1-65FE-47F2-8C30-0838A9C1F51E}" type="presOf" srcId="{DF077904-79B4-4269-A738-BDAD01C8E250}" destId="{16913C5C-F8E6-4B91-9589-E57A8D9644A9}" srcOrd="0" destOrd="0" presId="urn:microsoft.com/office/officeart/2005/8/layout/vList5"/>
    <dgm:cxn modelId="{6DA274EC-FD86-46AC-AB05-BE03365A71DA}" srcId="{7D1E1B3A-E46E-46BF-830E-1317C18F136C}" destId="{E4E1BE7E-F2AD-4686-80E3-D329167AF1D3}" srcOrd="0" destOrd="0" parTransId="{69D7FB87-CA75-4646-AE71-7CC8941BBDBB}" sibTransId="{0ABA20AC-6E48-488C-BF04-5B5604C35C95}"/>
    <dgm:cxn modelId="{B3F3C793-277F-407E-9993-389E832A7F20}" srcId="{7D1E1B3A-E46E-46BF-830E-1317C18F136C}" destId="{2F2DD207-6FA9-4740-9FC1-BE1FD3F57316}" srcOrd="2" destOrd="0" parTransId="{A36A4174-54D3-475C-BB0D-E8674E3DC006}" sibTransId="{3B0B5F97-093F-44B3-A5A1-A50429BE0CB7}"/>
    <dgm:cxn modelId="{BAC203C6-1630-462C-A782-21E0912F40F5}" srcId="{7D1E1B3A-E46E-46BF-830E-1317C18F136C}" destId="{C7A3F06D-D595-4CAD-AEED-72A31ABB8206}" srcOrd="6" destOrd="0" parTransId="{741E7BDB-CBC8-4497-9ED0-1F155B39791C}" sibTransId="{6BC3003E-665B-4F3F-812C-B1FF244DC69B}"/>
    <dgm:cxn modelId="{21509E33-95FD-4FA3-B478-A6B61D0ED036}" type="presOf" srcId="{C7A3F06D-D595-4CAD-AEED-72A31ABB8206}" destId="{E761265B-4BCF-4366-97D9-7DD7081174E1}" srcOrd="0" destOrd="0" presId="urn:microsoft.com/office/officeart/2005/8/layout/vList5"/>
    <dgm:cxn modelId="{D2139B11-32BF-4EA8-BB6B-2CE32A01320E}" srcId="{7D1E1B3A-E46E-46BF-830E-1317C18F136C}" destId="{DF077904-79B4-4269-A738-BDAD01C8E250}" srcOrd="1" destOrd="0" parTransId="{FF7F4957-94EB-4FB2-BC08-FA7C0E8FC4CB}" sibTransId="{B77D16F6-A95B-4B65-9D05-DCD78F813CB8}"/>
    <dgm:cxn modelId="{8FF349F3-41EB-4164-AFCB-815DD76C174F}" type="presOf" srcId="{E4E1BE7E-F2AD-4686-80E3-D329167AF1D3}" destId="{D8BA2630-89EC-4724-A63A-33355D50F33D}" srcOrd="0" destOrd="0" presId="urn:microsoft.com/office/officeart/2005/8/layout/vList5"/>
    <dgm:cxn modelId="{A4963398-C0E7-403D-8C77-E3FB007ED2A9}" type="presOf" srcId="{2F2DD207-6FA9-4740-9FC1-BE1FD3F57316}" destId="{E988944D-5DD8-4859-8E59-901D9A18139B}" srcOrd="0" destOrd="0" presId="urn:microsoft.com/office/officeart/2005/8/layout/vList5"/>
    <dgm:cxn modelId="{1409CA49-0B80-4793-9B6C-88DC9431669B}" type="presOf" srcId="{23348A4E-E6B1-4945-AFEE-741BF6FD4F42}" destId="{E5CD1B79-6F6A-4F65-9B36-4180863580C9}" srcOrd="0" destOrd="0" presId="urn:microsoft.com/office/officeart/2005/8/layout/vList5"/>
    <dgm:cxn modelId="{037A892F-94CF-4D0A-87DB-E3CDB989A6C9}" srcId="{7D1E1B3A-E46E-46BF-830E-1317C18F136C}" destId="{88929A52-983E-4523-AC2B-B7A982661C40}" srcOrd="4" destOrd="0" parTransId="{F68261AB-4F2E-4F2D-90A5-3C2A444EAD85}" sibTransId="{FD5920AD-9E1D-40B5-9C4F-9FCFAD6975B6}"/>
    <dgm:cxn modelId="{ABA81061-3944-44AA-A3C3-E7879045A0FB}" type="presOf" srcId="{9DB9E66A-C6EE-4A4D-8D91-713B4C8D018E}" destId="{565E7549-6B76-4F38-83F7-8CF7901053A6}" srcOrd="0" destOrd="0" presId="urn:microsoft.com/office/officeart/2005/8/layout/vList5"/>
    <dgm:cxn modelId="{1623E7A7-925B-4CD8-8C68-0084A11FAE9B}" srcId="{7D1E1B3A-E46E-46BF-830E-1317C18F136C}" destId="{23348A4E-E6B1-4945-AFEE-741BF6FD4F42}" srcOrd="5" destOrd="0" parTransId="{8FE8D4EE-924D-43D6-B9A4-A248751F5BA1}" sibTransId="{970648AD-2C0D-4E1C-8AFB-1C7A25ACF1C1}"/>
    <dgm:cxn modelId="{7C564875-28C1-4CE9-9932-1C1A92356E04}" srcId="{7D1E1B3A-E46E-46BF-830E-1317C18F136C}" destId="{9DB9E66A-C6EE-4A4D-8D91-713B4C8D018E}" srcOrd="3" destOrd="0" parTransId="{DC2F1C92-84E8-41AD-A425-A9C76C19891C}" sibTransId="{6A294289-BF0C-4677-8AFD-D49ABFD341A7}"/>
    <dgm:cxn modelId="{861274AC-21E9-4B32-BF5F-2BA7376044C0}" type="presOf" srcId="{88929A52-983E-4523-AC2B-B7A982661C40}" destId="{64CB5956-7649-4CCF-83A9-5184FA55536E}" srcOrd="0" destOrd="0" presId="urn:microsoft.com/office/officeart/2005/8/layout/vList5"/>
    <dgm:cxn modelId="{8E9A4632-AEAB-4A5E-80E8-B888185848EF}" type="presParOf" srcId="{55A1D4FA-1CC0-472E-8E63-53968928B011}" destId="{C8DA2259-91BB-4428-BDBF-A3AE233BB153}" srcOrd="0" destOrd="0" presId="urn:microsoft.com/office/officeart/2005/8/layout/vList5"/>
    <dgm:cxn modelId="{4D4C871A-6C39-4A7B-A9BF-63DB10029D2A}" type="presParOf" srcId="{C8DA2259-91BB-4428-BDBF-A3AE233BB153}" destId="{D8BA2630-89EC-4724-A63A-33355D50F33D}" srcOrd="0" destOrd="0" presId="urn:microsoft.com/office/officeart/2005/8/layout/vList5"/>
    <dgm:cxn modelId="{29833205-09D4-4358-AD8D-3BA4D2D2867C}" type="presParOf" srcId="{55A1D4FA-1CC0-472E-8E63-53968928B011}" destId="{BD3332C2-B2D0-4AAE-B1AB-C94C7F411023}" srcOrd="1" destOrd="0" presId="urn:microsoft.com/office/officeart/2005/8/layout/vList5"/>
    <dgm:cxn modelId="{C81EE2B7-2AD4-48C1-955C-14FA02E66A22}" type="presParOf" srcId="{55A1D4FA-1CC0-472E-8E63-53968928B011}" destId="{38F935E6-340D-45F4-89DE-E986F187C512}" srcOrd="2" destOrd="0" presId="urn:microsoft.com/office/officeart/2005/8/layout/vList5"/>
    <dgm:cxn modelId="{142BAF85-E38E-4C18-B559-B4B33752B275}" type="presParOf" srcId="{38F935E6-340D-45F4-89DE-E986F187C512}" destId="{16913C5C-F8E6-4B91-9589-E57A8D9644A9}" srcOrd="0" destOrd="0" presId="urn:microsoft.com/office/officeart/2005/8/layout/vList5"/>
    <dgm:cxn modelId="{8E7EEC74-0CFD-46D9-9969-CD47E128B616}" type="presParOf" srcId="{55A1D4FA-1CC0-472E-8E63-53968928B011}" destId="{1D34EEF6-BA2D-4CFB-AA1D-8574F611C83E}" srcOrd="3" destOrd="0" presId="urn:microsoft.com/office/officeart/2005/8/layout/vList5"/>
    <dgm:cxn modelId="{2A4C8C5E-6E56-4B90-B40D-9DD5CA620401}" type="presParOf" srcId="{55A1D4FA-1CC0-472E-8E63-53968928B011}" destId="{6D11D414-36BF-4E78-8C57-C5F86AAFA385}" srcOrd="4" destOrd="0" presId="urn:microsoft.com/office/officeart/2005/8/layout/vList5"/>
    <dgm:cxn modelId="{76CB6D71-3D47-422D-90A4-1408DEAEB237}" type="presParOf" srcId="{6D11D414-36BF-4E78-8C57-C5F86AAFA385}" destId="{E988944D-5DD8-4859-8E59-901D9A18139B}" srcOrd="0" destOrd="0" presId="urn:microsoft.com/office/officeart/2005/8/layout/vList5"/>
    <dgm:cxn modelId="{5A6D10EA-4AEB-4A95-A520-DD1C16E4E448}" type="presParOf" srcId="{55A1D4FA-1CC0-472E-8E63-53968928B011}" destId="{42BDEBBA-98C2-4FCD-91D4-B3851F850F95}" srcOrd="5" destOrd="0" presId="urn:microsoft.com/office/officeart/2005/8/layout/vList5"/>
    <dgm:cxn modelId="{20FD30AF-E733-49E2-8402-C1923072371E}" type="presParOf" srcId="{55A1D4FA-1CC0-472E-8E63-53968928B011}" destId="{31C18C41-1782-46F7-8E0D-D987B380EFF8}" srcOrd="6" destOrd="0" presId="urn:microsoft.com/office/officeart/2005/8/layout/vList5"/>
    <dgm:cxn modelId="{AF75D9B9-1AA2-482D-A290-352D6CEA83C4}" type="presParOf" srcId="{31C18C41-1782-46F7-8E0D-D987B380EFF8}" destId="{565E7549-6B76-4F38-83F7-8CF7901053A6}" srcOrd="0" destOrd="0" presId="urn:microsoft.com/office/officeart/2005/8/layout/vList5"/>
    <dgm:cxn modelId="{AA00F512-C7D2-4BDF-BF3F-1997A5367E23}" type="presParOf" srcId="{55A1D4FA-1CC0-472E-8E63-53968928B011}" destId="{C65271D0-D5F0-4A87-91E4-F8633326D155}" srcOrd="7" destOrd="0" presId="urn:microsoft.com/office/officeart/2005/8/layout/vList5"/>
    <dgm:cxn modelId="{7CBA362C-20FD-4E32-900B-3157E22EFC07}" type="presParOf" srcId="{55A1D4FA-1CC0-472E-8E63-53968928B011}" destId="{F9A535E0-91E1-4FA1-BF14-90221C4E8E5C}" srcOrd="8" destOrd="0" presId="urn:microsoft.com/office/officeart/2005/8/layout/vList5"/>
    <dgm:cxn modelId="{019399C9-5A6C-40DC-B73A-5591310CEB48}" type="presParOf" srcId="{F9A535E0-91E1-4FA1-BF14-90221C4E8E5C}" destId="{64CB5956-7649-4CCF-83A9-5184FA55536E}" srcOrd="0" destOrd="0" presId="urn:microsoft.com/office/officeart/2005/8/layout/vList5"/>
    <dgm:cxn modelId="{B4FF289B-B366-46A4-B7FE-9437CB446D1D}" type="presParOf" srcId="{55A1D4FA-1CC0-472E-8E63-53968928B011}" destId="{2A1BB58F-BC9B-4400-8778-937500272E7B}" srcOrd="9" destOrd="0" presId="urn:microsoft.com/office/officeart/2005/8/layout/vList5"/>
    <dgm:cxn modelId="{34C384AC-CC80-4EA3-B9B9-A2F991C12A86}" type="presParOf" srcId="{55A1D4FA-1CC0-472E-8E63-53968928B011}" destId="{922629E8-5563-423F-BC4F-B6C5A16A84D7}" srcOrd="10" destOrd="0" presId="urn:microsoft.com/office/officeart/2005/8/layout/vList5"/>
    <dgm:cxn modelId="{F61F78A7-3112-4EC9-8FE0-109277B9179F}" type="presParOf" srcId="{922629E8-5563-423F-BC4F-B6C5A16A84D7}" destId="{E5CD1B79-6F6A-4F65-9B36-4180863580C9}" srcOrd="0" destOrd="0" presId="urn:microsoft.com/office/officeart/2005/8/layout/vList5"/>
    <dgm:cxn modelId="{1819387E-BF39-43E9-BF6D-B6ACF34A0503}" type="presParOf" srcId="{55A1D4FA-1CC0-472E-8E63-53968928B011}" destId="{360A6F66-1E4A-4321-A08C-9BB024D1A79A}" srcOrd="11" destOrd="0" presId="urn:microsoft.com/office/officeart/2005/8/layout/vList5"/>
    <dgm:cxn modelId="{C82E5E95-BCAF-4397-8B65-56B7C87D59E1}" type="presParOf" srcId="{55A1D4FA-1CC0-472E-8E63-53968928B011}" destId="{EC0B8CD1-A019-4907-B026-25FBFC156E89}" srcOrd="12" destOrd="0" presId="urn:microsoft.com/office/officeart/2005/8/layout/vList5"/>
    <dgm:cxn modelId="{6780094D-E8DF-4061-8170-C901DC8CE85E}" type="presParOf" srcId="{EC0B8CD1-A019-4907-B026-25FBFC156E89}" destId="{E761265B-4BCF-4366-97D9-7DD7081174E1}" srcOrd="0" destOrd="0" presId="urn:microsoft.com/office/officeart/2005/8/layout/vList5"/>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7D1E1B3A-E46E-46BF-830E-1317C18F136C}"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en-US"/>
        </a:p>
      </dgm:t>
    </dgm:pt>
    <dgm:pt modelId="{E4E1BE7E-F2AD-4686-80E3-D329167AF1D3}">
      <dgm:prSet custT="1"/>
      <dgm:spPr>
        <a:xfrm>
          <a:off x="39790" y="812"/>
          <a:ext cx="5867995" cy="473001"/>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rtl="0"/>
          <a:r>
            <a:rPr lang="en-US" sz="1200" b="1" dirty="0" smtClean="0">
              <a:solidFill>
                <a:sysClr val="window" lastClr="FFFFFF"/>
              </a:solidFill>
              <a:latin typeface="Calibri"/>
              <a:ea typeface="+mn-ea"/>
              <a:cs typeface="+mn-cs"/>
            </a:rPr>
            <a:t>Individual Interview – 96.7%</a:t>
          </a:r>
          <a:endParaRPr lang="en-US" sz="1200" b="1" dirty="0">
            <a:solidFill>
              <a:sysClr val="window" lastClr="FFFFFF"/>
            </a:solidFill>
            <a:latin typeface="Calibri"/>
            <a:ea typeface="+mn-ea"/>
            <a:cs typeface="+mn-cs"/>
          </a:endParaRPr>
        </a:p>
      </dgm:t>
    </dgm:pt>
    <dgm:pt modelId="{69D7FB87-CA75-4646-AE71-7CC8941BBDBB}" type="parTrans" cxnId="{6DA274EC-FD86-46AC-AB05-BE03365A71DA}">
      <dgm:prSet/>
      <dgm:spPr/>
      <dgm:t>
        <a:bodyPr/>
        <a:lstStyle/>
        <a:p>
          <a:endParaRPr lang="en-US"/>
        </a:p>
      </dgm:t>
    </dgm:pt>
    <dgm:pt modelId="{0ABA20AC-6E48-488C-BF04-5B5604C35C95}" type="sibTrans" cxnId="{6DA274EC-FD86-46AC-AB05-BE03365A71DA}">
      <dgm:prSet/>
      <dgm:spPr/>
      <dgm:t>
        <a:bodyPr/>
        <a:lstStyle/>
        <a:p>
          <a:endParaRPr lang="en-US"/>
        </a:p>
      </dgm:t>
    </dgm:pt>
    <dgm:pt modelId="{DF077904-79B4-4269-A738-BDAD01C8E250}">
      <dgm:prSet custT="1"/>
      <dgm:spPr>
        <a:xfrm>
          <a:off x="39790" y="497464"/>
          <a:ext cx="5867995" cy="473001"/>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rtl="0"/>
          <a:r>
            <a:rPr lang="en-US" sz="1200" b="1" dirty="0" smtClean="0">
              <a:solidFill>
                <a:sysClr val="window" lastClr="FFFFFF"/>
              </a:solidFill>
              <a:latin typeface="Calibri"/>
              <a:ea typeface="+mn-ea"/>
              <a:cs typeface="+mn-cs"/>
            </a:rPr>
            <a:t>Staff  Interview  – 97.1%</a:t>
          </a:r>
          <a:endParaRPr lang="en-US" sz="1200" b="1" dirty="0">
            <a:solidFill>
              <a:sysClr val="window" lastClr="FFFFFF"/>
            </a:solidFill>
            <a:latin typeface="Calibri"/>
            <a:ea typeface="+mn-ea"/>
            <a:cs typeface="+mn-cs"/>
          </a:endParaRPr>
        </a:p>
      </dgm:t>
    </dgm:pt>
    <dgm:pt modelId="{FF7F4957-94EB-4FB2-BC08-FA7C0E8FC4CB}" type="parTrans" cxnId="{D2139B11-32BF-4EA8-BB6B-2CE32A01320E}">
      <dgm:prSet/>
      <dgm:spPr/>
      <dgm:t>
        <a:bodyPr/>
        <a:lstStyle/>
        <a:p>
          <a:endParaRPr lang="en-US"/>
        </a:p>
      </dgm:t>
    </dgm:pt>
    <dgm:pt modelId="{B77D16F6-A95B-4B65-9D05-DCD78F813CB8}" type="sibTrans" cxnId="{D2139B11-32BF-4EA8-BB6B-2CE32A01320E}">
      <dgm:prSet/>
      <dgm:spPr/>
      <dgm:t>
        <a:bodyPr/>
        <a:lstStyle/>
        <a:p>
          <a:endParaRPr lang="en-US"/>
        </a:p>
      </dgm:t>
    </dgm:pt>
    <dgm:pt modelId="{2F2DD207-6FA9-4740-9FC1-BE1FD3F57316}">
      <dgm:prSet custT="1"/>
      <dgm:spPr>
        <a:xfrm>
          <a:off x="39790" y="994115"/>
          <a:ext cx="5867995" cy="473001"/>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rtl="0"/>
          <a:r>
            <a:rPr lang="en-US" sz="1200" b="1" dirty="0" smtClean="0">
              <a:solidFill>
                <a:sysClr val="window" lastClr="FFFFFF"/>
              </a:solidFill>
              <a:latin typeface="Calibri"/>
              <a:ea typeface="+mn-ea"/>
              <a:cs typeface="+mn-cs"/>
            </a:rPr>
            <a:t>Observations  –  LSD 3 98.6%  ;  LRF 96.2%</a:t>
          </a:r>
          <a:endParaRPr lang="en-US" sz="1200" b="1" dirty="0">
            <a:solidFill>
              <a:sysClr val="window" lastClr="FFFFFF"/>
            </a:solidFill>
            <a:latin typeface="Calibri"/>
            <a:ea typeface="+mn-ea"/>
            <a:cs typeface="+mn-cs"/>
          </a:endParaRPr>
        </a:p>
      </dgm:t>
    </dgm:pt>
    <dgm:pt modelId="{A36A4174-54D3-475C-BB0D-E8674E3DC006}" type="parTrans" cxnId="{B3F3C793-277F-407E-9993-389E832A7F20}">
      <dgm:prSet/>
      <dgm:spPr/>
      <dgm:t>
        <a:bodyPr/>
        <a:lstStyle/>
        <a:p>
          <a:endParaRPr lang="en-US"/>
        </a:p>
      </dgm:t>
    </dgm:pt>
    <dgm:pt modelId="{3B0B5F97-093F-44B3-A5A1-A50429BE0CB7}" type="sibTrans" cxnId="{B3F3C793-277F-407E-9993-389E832A7F20}">
      <dgm:prSet/>
      <dgm:spPr/>
      <dgm:t>
        <a:bodyPr/>
        <a:lstStyle/>
        <a:p>
          <a:endParaRPr lang="en-US"/>
        </a:p>
      </dgm:t>
    </dgm:pt>
    <dgm:pt modelId="{23348A4E-E6B1-4945-AFEE-741BF6FD4F42}">
      <dgm:prSet custT="1"/>
      <dgm:spPr>
        <a:xfrm>
          <a:off x="39790" y="1987419"/>
          <a:ext cx="5867995" cy="473001"/>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rtl="0"/>
          <a:r>
            <a:rPr lang="en-US" sz="1200" b="1" dirty="0" smtClean="0">
              <a:solidFill>
                <a:sysClr val="window" lastClr="FFFFFF"/>
              </a:solidFill>
              <a:latin typeface="Calibri"/>
              <a:ea typeface="+mn-ea"/>
              <a:cs typeface="+mn-cs"/>
            </a:rPr>
            <a:t>Policies and Procedures  –  Service Providers  92.6%  ;  WSC 98.2%</a:t>
          </a:r>
          <a:endParaRPr lang="en-US" sz="1200" b="1" dirty="0">
            <a:solidFill>
              <a:sysClr val="window" lastClr="FFFFFF"/>
            </a:solidFill>
            <a:latin typeface="Calibri"/>
            <a:ea typeface="+mn-ea"/>
            <a:cs typeface="+mn-cs"/>
          </a:endParaRPr>
        </a:p>
      </dgm:t>
    </dgm:pt>
    <dgm:pt modelId="{8FE8D4EE-924D-43D6-B9A4-A248751F5BA1}" type="parTrans" cxnId="{1623E7A7-925B-4CD8-8C68-0084A11FAE9B}">
      <dgm:prSet/>
      <dgm:spPr/>
      <dgm:t>
        <a:bodyPr/>
        <a:lstStyle/>
        <a:p>
          <a:endParaRPr lang="en-US"/>
        </a:p>
      </dgm:t>
    </dgm:pt>
    <dgm:pt modelId="{970648AD-2C0D-4E1C-8AFB-1C7A25ACF1C1}" type="sibTrans" cxnId="{1623E7A7-925B-4CD8-8C68-0084A11FAE9B}">
      <dgm:prSet/>
      <dgm:spPr/>
      <dgm:t>
        <a:bodyPr/>
        <a:lstStyle/>
        <a:p>
          <a:endParaRPr lang="en-US"/>
        </a:p>
      </dgm:t>
    </dgm:pt>
    <dgm:pt modelId="{C7A3F06D-D595-4CAD-AEED-72A31ABB8206}">
      <dgm:prSet custT="1"/>
      <dgm:spPr>
        <a:xfrm>
          <a:off x="39790" y="2484070"/>
          <a:ext cx="5867995" cy="473001"/>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rtl="0"/>
          <a:r>
            <a:rPr lang="en-US" sz="1200" b="1" dirty="0" smtClean="0">
              <a:solidFill>
                <a:sysClr val="window" lastClr="FFFFFF"/>
              </a:solidFill>
              <a:latin typeface="Calibri"/>
              <a:ea typeface="+mn-ea"/>
              <a:cs typeface="+mn-cs"/>
            </a:rPr>
            <a:t>Qualifications and Training  –  Service Providers  96.0%  ;  WSC 96.9%</a:t>
          </a:r>
          <a:endParaRPr lang="en-US" sz="1200" b="1" dirty="0">
            <a:solidFill>
              <a:sysClr val="window" lastClr="FFFFFF"/>
            </a:solidFill>
            <a:latin typeface="Calibri"/>
            <a:ea typeface="+mn-ea"/>
            <a:cs typeface="+mn-cs"/>
          </a:endParaRPr>
        </a:p>
      </dgm:t>
    </dgm:pt>
    <dgm:pt modelId="{741E7BDB-CBC8-4497-9ED0-1F155B39791C}" type="parTrans" cxnId="{BAC203C6-1630-462C-A782-21E0912F40F5}">
      <dgm:prSet/>
      <dgm:spPr/>
      <dgm:t>
        <a:bodyPr/>
        <a:lstStyle/>
        <a:p>
          <a:endParaRPr lang="en-US"/>
        </a:p>
      </dgm:t>
    </dgm:pt>
    <dgm:pt modelId="{6BC3003E-665B-4F3F-812C-B1FF244DC69B}" type="sibTrans" cxnId="{BAC203C6-1630-462C-A782-21E0912F40F5}">
      <dgm:prSet/>
      <dgm:spPr/>
      <dgm:t>
        <a:bodyPr/>
        <a:lstStyle/>
        <a:p>
          <a:endParaRPr lang="en-US"/>
        </a:p>
      </dgm:t>
    </dgm:pt>
    <dgm:pt modelId="{39FE624F-A7C5-4B8A-AA53-F5A1BDB9D4B2}">
      <dgm:prSet custT="1"/>
      <dgm:spPr>
        <a:xfrm>
          <a:off x="39790" y="1490767"/>
          <a:ext cx="5867995" cy="473001"/>
        </a:xfrm>
        <a:solidFill>
          <a:srgbClr val="4BACC6">
            <a:lumMod val="75000"/>
          </a:srgbClr>
        </a:solidFill>
        <a:ln w="25400" cap="flat" cmpd="sng" algn="ctr">
          <a:solidFill>
            <a:sysClr val="window" lastClr="FFFFFF">
              <a:hueOff val="0"/>
              <a:satOff val="0"/>
              <a:lumOff val="0"/>
              <a:alphaOff val="0"/>
            </a:sysClr>
          </a:solidFill>
          <a:prstDash val="solid"/>
        </a:ln>
        <a:effectLst/>
      </dgm:spPr>
      <dgm:t>
        <a:bodyPr/>
        <a:lstStyle/>
        <a:p>
          <a:pPr rtl="0"/>
          <a:r>
            <a:rPr lang="en-US" sz="1200" b="1" dirty="0" smtClean="0">
              <a:solidFill>
                <a:sysClr val="window" lastClr="FFFFFF"/>
              </a:solidFill>
              <a:latin typeface="Calibri"/>
              <a:ea typeface="+mn-ea"/>
              <a:cs typeface="+mn-cs"/>
            </a:rPr>
            <a:t>Service Specific Record Reviews– 94.3%</a:t>
          </a:r>
          <a:endParaRPr lang="en-US" sz="1200" b="1" dirty="0">
            <a:solidFill>
              <a:sysClr val="window" lastClr="FFFFFF"/>
            </a:solidFill>
            <a:latin typeface="Calibri"/>
            <a:ea typeface="+mn-ea"/>
            <a:cs typeface="+mn-cs"/>
          </a:endParaRPr>
        </a:p>
      </dgm:t>
    </dgm:pt>
    <dgm:pt modelId="{7ECBF526-5F73-4519-ADB7-8499922B9486}" type="parTrans" cxnId="{DD60D4E8-6502-49E6-BB80-938849F6E62A}">
      <dgm:prSet/>
      <dgm:spPr/>
      <dgm:t>
        <a:bodyPr/>
        <a:lstStyle/>
        <a:p>
          <a:endParaRPr lang="en-US"/>
        </a:p>
      </dgm:t>
    </dgm:pt>
    <dgm:pt modelId="{E2A62BC8-BC7E-4AFC-BF32-A725C272E6CE}" type="sibTrans" cxnId="{DD60D4E8-6502-49E6-BB80-938849F6E62A}">
      <dgm:prSet/>
      <dgm:spPr/>
      <dgm:t>
        <a:bodyPr/>
        <a:lstStyle/>
        <a:p>
          <a:endParaRPr lang="en-US"/>
        </a:p>
      </dgm:t>
    </dgm:pt>
    <dgm:pt modelId="{55A1D4FA-1CC0-472E-8E63-53968928B011}" type="pres">
      <dgm:prSet presAssocID="{7D1E1B3A-E46E-46BF-830E-1317C18F136C}" presName="Name0" presStyleCnt="0">
        <dgm:presLayoutVars>
          <dgm:dir/>
          <dgm:animLvl val="lvl"/>
          <dgm:resizeHandles val="exact"/>
        </dgm:presLayoutVars>
      </dgm:prSet>
      <dgm:spPr/>
      <dgm:t>
        <a:bodyPr/>
        <a:lstStyle/>
        <a:p>
          <a:endParaRPr lang="en-US"/>
        </a:p>
      </dgm:t>
    </dgm:pt>
    <dgm:pt modelId="{C8DA2259-91BB-4428-BDBF-A3AE233BB153}" type="pres">
      <dgm:prSet presAssocID="{E4E1BE7E-F2AD-4686-80E3-D329167AF1D3}" presName="linNode" presStyleCnt="0"/>
      <dgm:spPr/>
    </dgm:pt>
    <dgm:pt modelId="{D8BA2630-89EC-4724-A63A-33355D50F33D}" type="pres">
      <dgm:prSet presAssocID="{E4E1BE7E-F2AD-4686-80E3-D329167AF1D3}" presName="parentText" presStyleLbl="node1" presStyleIdx="0" presStyleCnt="6" custScaleX="274061">
        <dgm:presLayoutVars>
          <dgm:chMax val="1"/>
          <dgm:bulletEnabled val="1"/>
        </dgm:presLayoutVars>
      </dgm:prSet>
      <dgm:spPr>
        <a:prstGeom prst="roundRect">
          <a:avLst/>
        </a:prstGeom>
      </dgm:spPr>
      <dgm:t>
        <a:bodyPr/>
        <a:lstStyle/>
        <a:p>
          <a:endParaRPr lang="en-US"/>
        </a:p>
      </dgm:t>
    </dgm:pt>
    <dgm:pt modelId="{BD3332C2-B2D0-4AAE-B1AB-C94C7F411023}" type="pres">
      <dgm:prSet presAssocID="{0ABA20AC-6E48-488C-BF04-5B5604C35C95}" presName="sp" presStyleCnt="0"/>
      <dgm:spPr/>
    </dgm:pt>
    <dgm:pt modelId="{38F935E6-340D-45F4-89DE-E986F187C512}" type="pres">
      <dgm:prSet presAssocID="{DF077904-79B4-4269-A738-BDAD01C8E250}" presName="linNode" presStyleCnt="0"/>
      <dgm:spPr/>
    </dgm:pt>
    <dgm:pt modelId="{16913C5C-F8E6-4B91-9589-E57A8D9644A9}" type="pres">
      <dgm:prSet presAssocID="{DF077904-79B4-4269-A738-BDAD01C8E250}" presName="parentText" presStyleLbl="node1" presStyleIdx="1" presStyleCnt="6" custScaleX="274061">
        <dgm:presLayoutVars>
          <dgm:chMax val="1"/>
          <dgm:bulletEnabled val="1"/>
        </dgm:presLayoutVars>
      </dgm:prSet>
      <dgm:spPr>
        <a:prstGeom prst="roundRect">
          <a:avLst/>
        </a:prstGeom>
      </dgm:spPr>
      <dgm:t>
        <a:bodyPr/>
        <a:lstStyle/>
        <a:p>
          <a:endParaRPr lang="en-US"/>
        </a:p>
      </dgm:t>
    </dgm:pt>
    <dgm:pt modelId="{1D34EEF6-BA2D-4CFB-AA1D-8574F611C83E}" type="pres">
      <dgm:prSet presAssocID="{B77D16F6-A95B-4B65-9D05-DCD78F813CB8}" presName="sp" presStyleCnt="0"/>
      <dgm:spPr/>
    </dgm:pt>
    <dgm:pt modelId="{6D11D414-36BF-4E78-8C57-C5F86AAFA385}" type="pres">
      <dgm:prSet presAssocID="{2F2DD207-6FA9-4740-9FC1-BE1FD3F57316}" presName="linNode" presStyleCnt="0"/>
      <dgm:spPr/>
    </dgm:pt>
    <dgm:pt modelId="{E988944D-5DD8-4859-8E59-901D9A18139B}" type="pres">
      <dgm:prSet presAssocID="{2F2DD207-6FA9-4740-9FC1-BE1FD3F57316}" presName="parentText" presStyleLbl="node1" presStyleIdx="2" presStyleCnt="6" custScaleX="274061">
        <dgm:presLayoutVars>
          <dgm:chMax val="1"/>
          <dgm:bulletEnabled val="1"/>
        </dgm:presLayoutVars>
      </dgm:prSet>
      <dgm:spPr>
        <a:prstGeom prst="roundRect">
          <a:avLst/>
        </a:prstGeom>
      </dgm:spPr>
      <dgm:t>
        <a:bodyPr/>
        <a:lstStyle/>
        <a:p>
          <a:endParaRPr lang="en-US"/>
        </a:p>
      </dgm:t>
    </dgm:pt>
    <dgm:pt modelId="{42BDEBBA-98C2-4FCD-91D4-B3851F850F95}" type="pres">
      <dgm:prSet presAssocID="{3B0B5F97-093F-44B3-A5A1-A50429BE0CB7}" presName="sp" presStyleCnt="0"/>
      <dgm:spPr/>
    </dgm:pt>
    <dgm:pt modelId="{13B4A0B7-5697-4A13-A00A-DA66292CB754}" type="pres">
      <dgm:prSet presAssocID="{39FE624F-A7C5-4B8A-AA53-F5A1BDB9D4B2}" presName="linNode" presStyleCnt="0"/>
      <dgm:spPr/>
    </dgm:pt>
    <dgm:pt modelId="{6E71E0F0-A01C-4FCA-A8CD-253D2E4A6D40}" type="pres">
      <dgm:prSet presAssocID="{39FE624F-A7C5-4B8A-AA53-F5A1BDB9D4B2}" presName="parentText" presStyleLbl="node1" presStyleIdx="3" presStyleCnt="6" custScaleX="274061">
        <dgm:presLayoutVars>
          <dgm:chMax val="1"/>
          <dgm:bulletEnabled val="1"/>
        </dgm:presLayoutVars>
      </dgm:prSet>
      <dgm:spPr>
        <a:prstGeom prst="roundRect">
          <a:avLst/>
        </a:prstGeom>
      </dgm:spPr>
      <dgm:t>
        <a:bodyPr/>
        <a:lstStyle/>
        <a:p>
          <a:endParaRPr lang="en-US"/>
        </a:p>
      </dgm:t>
    </dgm:pt>
    <dgm:pt modelId="{3E452CDE-BFFF-4050-820D-BBCA5125166A}" type="pres">
      <dgm:prSet presAssocID="{E2A62BC8-BC7E-4AFC-BF32-A725C272E6CE}" presName="sp" presStyleCnt="0"/>
      <dgm:spPr/>
    </dgm:pt>
    <dgm:pt modelId="{922629E8-5563-423F-BC4F-B6C5A16A84D7}" type="pres">
      <dgm:prSet presAssocID="{23348A4E-E6B1-4945-AFEE-741BF6FD4F42}" presName="linNode" presStyleCnt="0"/>
      <dgm:spPr/>
    </dgm:pt>
    <dgm:pt modelId="{E5CD1B79-6F6A-4F65-9B36-4180863580C9}" type="pres">
      <dgm:prSet presAssocID="{23348A4E-E6B1-4945-AFEE-741BF6FD4F42}" presName="parentText" presStyleLbl="node1" presStyleIdx="4" presStyleCnt="6" custScaleX="274061">
        <dgm:presLayoutVars>
          <dgm:chMax val="1"/>
          <dgm:bulletEnabled val="1"/>
        </dgm:presLayoutVars>
      </dgm:prSet>
      <dgm:spPr>
        <a:prstGeom prst="roundRect">
          <a:avLst/>
        </a:prstGeom>
      </dgm:spPr>
      <dgm:t>
        <a:bodyPr/>
        <a:lstStyle/>
        <a:p>
          <a:endParaRPr lang="en-US"/>
        </a:p>
      </dgm:t>
    </dgm:pt>
    <dgm:pt modelId="{360A6F66-1E4A-4321-A08C-9BB024D1A79A}" type="pres">
      <dgm:prSet presAssocID="{970648AD-2C0D-4E1C-8AFB-1C7A25ACF1C1}" presName="sp" presStyleCnt="0"/>
      <dgm:spPr/>
    </dgm:pt>
    <dgm:pt modelId="{EC0B8CD1-A019-4907-B026-25FBFC156E89}" type="pres">
      <dgm:prSet presAssocID="{C7A3F06D-D595-4CAD-AEED-72A31ABB8206}" presName="linNode" presStyleCnt="0"/>
      <dgm:spPr/>
    </dgm:pt>
    <dgm:pt modelId="{E761265B-4BCF-4366-97D9-7DD7081174E1}" type="pres">
      <dgm:prSet presAssocID="{C7A3F06D-D595-4CAD-AEED-72A31ABB8206}" presName="parentText" presStyleLbl="node1" presStyleIdx="5" presStyleCnt="6" custScaleX="274061">
        <dgm:presLayoutVars>
          <dgm:chMax val="1"/>
          <dgm:bulletEnabled val="1"/>
        </dgm:presLayoutVars>
      </dgm:prSet>
      <dgm:spPr>
        <a:prstGeom prst="roundRect">
          <a:avLst/>
        </a:prstGeom>
      </dgm:spPr>
      <dgm:t>
        <a:bodyPr/>
        <a:lstStyle/>
        <a:p>
          <a:endParaRPr lang="en-US"/>
        </a:p>
      </dgm:t>
    </dgm:pt>
  </dgm:ptLst>
  <dgm:cxnLst>
    <dgm:cxn modelId="{4BC835FC-3B7C-4731-AC2E-46A65284F7E2}" type="presOf" srcId="{7D1E1B3A-E46E-46BF-830E-1317C18F136C}" destId="{55A1D4FA-1CC0-472E-8E63-53968928B011}" srcOrd="0" destOrd="0" presId="urn:microsoft.com/office/officeart/2005/8/layout/vList5"/>
    <dgm:cxn modelId="{EE961497-E1AF-47C1-B97C-85DCBBF2CFFC}" type="presOf" srcId="{23348A4E-E6B1-4945-AFEE-741BF6FD4F42}" destId="{E5CD1B79-6F6A-4F65-9B36-4180863580C9}" srcOrd="0" destOrd="0" presId="urn:microsoft.com/office/officeart/2005/8/layout/vList5"/>
    <dgm:cxn modelId="{1623E7A7-925B-4CD8-8C68-0084A11FAE9B}" srcId="{7D1E1B3A-E46E-46BF-830E-1317C18F136C}" destId="{23348A4E-E6B1-4945-AFEE-741BF6FD4F42}" srcOrd="4" destOrd="0" parTransId="{8FE8D4EE-924D-43D6-B9A4-A248751F5BA1}" sibTransId="{970648AD-2C0D-4E1C-8AFB-1C7A25ACF1C1}"/>
    <dgm:cxn modelId="{DD60D4E8-6502-49E6-BB80-938849F6E62A}" srcId="{7D1E1B3A-E46E-46BF-830E-1317C18F136C}" destId="{39FE624F-A7C5-4B8A-AA53-F5A1BDB9D4B2}" srcOrd="3" destOrd="0" parTransId="{7ECBF526-5F73-4519-ADB7-8499922B9486}" sibTransId="{E2A62BC8-BC7E-4AFC-BF32-A725C272E6CE}"/>
    <dgm:cxn modelId="{FDA6F56A-2F49-469C-8DE8-64EC9FCA8698}" type="presOf" srcId="{C7A3F06D-D595-4CAD-AEED-72A31ABB8206}" destId="{E761265B-4BCF-4366-97D9-7DD7081174E1}" srcOrd="0" destOrd="0" presId="urn:microsoft.com/office/officeart/2005/8/layout/vList5"/>
    <dgm:cxn modelId="{B3F3C793-277F-407E-9993-389E832A7F20}" srcId="{7D1E1B3A-E46E-46BF-830E-1317C18F136C}" destId="{2F2DD207-6FA9-4740-9FC1-BE1FD3F57316}" srcOrd="2" destOrd="0" parTransId="{A36A4174-54D3-475C-BB0D-E8674E3DC006}" sibTransId="{3B0B5F97-093F-44B3-A5A1-A50429BE0CB7}"/>
    <dgm:cxn modelId="{3EC385B1-B9F0-4BC1-9920-8B772B5A4712}" type="presOf" srcId="{DF077904-79B4-4269-A738-BDAD01C8E250}" destId="{16913C5C-F8E6-4B91-9589-E57A8D9644A9}" srcOrd="0" destOrd="0" presId="urn:microsoft.com/office/officeart/2005/8/layout/vList5"/>
    <dgm:cxn modelId="{E42CF161-AD43-4103-B8FF-794EB948756E}" type="presOf" srcId="{E4E1BE7E-F2AD-4686-80E3-D329167AF1D3}" destId="{D8BA2630-89EC-4724-A63A-33355D50F33D}" srcOrd="0" destOrd="0" presId="urn:microsoft.com/office/officeart/2005/8/layout/vList5"/>
    <dgm:cxn modelId="{D2139B11-32BF-4EA8-BB6B-2CE32A01320E}" srcId="{7D1E1B3A-E46E-46BF-830E-1317C18F136C}" destId="{DF077904-79B4-4269-A738-BDAD01C8E250}" srcOrd="1" destOrd="0" parTransId="{FF7F4957-94EB-4FB2-BC08-FA7C0E8FC4CB}" sibTransId="{B77D16F6-A95B-4B65-9D05-DCD78F813CB8}"/>
    <dgm:cxn modelId="{6DA274EC-FD86-46AC-AB05-BE03365A71DA}" srcId="{7D1E1B3A-E46E-46BF-830E-1317C18F136C}" destId="{E4E1BE7E-F2AD-4686-80E3-D329167AF1D3}" srcOrd="0" destOrd="0" parTransId="{69D7FB87-CA75-4646-AE71-7CC8941BBDBB}" sibTransId="{0ABA20AC-6E48-488C-BF04-5B5604C35C95}"/>
    <dgm:cxn modelId="{2C50AFA3-2032-4F4C-A261-8920F3F6351D}" type="presOf" srcId="{2F2DD207-6FA9-4740-9FC1-BE1FD3F57316}" destId="{E988944D-5DD8-4859-8E59-901D9A18139B}" srcOrd="0" destOrd="0" presId="urn:microsoft.com/office/officeart/2005/8/layout/vList5"/>
    <dgm:cxn modelId="{BAC203C6-1630-462C-A782-21E0912F40F5}" srcId="{7D1E1B3A-E46E-46BF-830E-1317C18F136C}" destId="{C7A3F06D-D595-4CAD-AEED-72A31ABB8206}" srcOrd="5" destOrd="0" parTransId="{741E7BDB-CBC8-4497-9ED0-1F155B39791C}" sibTransId="{6BC3003E-665B-4F3F-812C-B1FF244DC69B}"/>
    <dgm:cxn modelId="{B56E7F63-F908-4F4C-B48B-D8E09AD33D6A}" type="presOf" srcId="{39FE624F-A7C5-4B8A-AA53-F5A1BDB9D4B2}" destId="{6E71E0F0-A01C-4FCA-A8CD-253D2E4A6D40}" srcOrd="0" destOrd="0" presId="urn:microsoft.com/office/officeart/2005/8/layout/vList5"/>
    <dgm:cxn modelId="{AEDE8920-296A-44F5-AB03-7040B2AD26A6}" type="presParOf" srcId="{55A1D4FA-1CC0-472E-8E63-53968928B011}" destId="{C8DA2259-91BB-4428-BDBF-A3AE233BB153}" srcOrd="0" destOrd="0" presId="urn:microsoft.com/office/officeart/2005/8/layout/vList5"/>
    <dgm:cxn modelId="{3A7939A7-176F-4928-AD18-2FF3B40CDEC4}" type="presParOf" srcId="{C8DA2259-91BB-4428-BDBF-A3AE233BB153}" destId="{D8BA2630-89EC-4724-A63A-33355D50F33D}" srcOrd="0" destOrd="0" presId="urn:microsoft.com/office/officeart/2005/8/layout/vList5"/>
    <dgm:cxn modelId="{48CEB572-9590-4439-A4F2-8B80F4CC3807}" type="presParOf" srcId="{55A1D4FA-1CC0-472E-8E63-53968928B011}" destId="{BD3332C2-B2D0-4AAE-B1AB-C94C7F411023}" srcOrd="1" destOrd="0" presId="urn:microsoft.com/office/officeart/2005/8/layout/vList5"/>
    <dgm:cxn modelId="{53039585-3723-4C6E-868B-65816F93292A}" type="presParOf" srcId="{55A1D4FA-1CC0-472E-8E63-53968928B011}" destId="{38F935E6-340D-45F4-89DE-E986F187C512}" srcOrd="2" destOrd="0" presId="urn:microsoft.com/office/officeart/2005/8/layout/vList5"/>
    <dgm:cxn modelId="{6FF27977-C531-4BDD-8502-8C9EEE1FCA1A}" type="presParOf" srcId="{38F935E6-340D-45F4-89DE-E986F187C512}" destId="{16913C5C-F8E6-4B91-9589-E57A8D9644A9}" srcOrd="0" destOrd="0" presId="urn:microsoft.com/office/officeart/2005/8/layout/vList5"/>
    <dgm:cxn modelId="{110EF27A-0A0D-41E6-8CC8-077C04CDF7DB}" type="presParOf" srcId="{55A1D4FA-1CC0-472E-8E63-53968928B011}" destId="{1D34EEF6-BA2D-4CFB-AA1D-8574F611C83E}" srcOrd="3" destOrd="0" presId="urn:microsoft.com/office/officeart/2005/8/layout/vList5"/>
    <dgm:cxn modelId="{6ED224A9-7796-4AFD-BE87-1E30035EAE31}" type="presParOf" srcId="{55A1D4FA-1CC0-472E-8E63-53968928B011}" destId="{6D11D414-36BF-4E78-8C57-C5F86AAFA385}" srcOrd="4" destOrd="0" presId="urn:microsoft.com/office/officeart/2005/8/layout/vList5"/>
    <dgm:cxn modelId="{EF5EEA77-33A0-462A-A643-A1CC037E2718}" type="presParOf" srcId="{6D11D414-36BF-4E78-8C57-C5F86AAFA385}" destId="{E988944D-5DD8-4859-8E59-901D9A18139B}" srcOrd="0" destOrd="0" presId="urn:microsoft.com/office/officeart/2005/8/layout/vList5"/>
    <dgm:cxn modelId="{44906DFA-120E-46E3-962B-18B18E747335}" type="presParOf" srcId="{55A1D4FA-1CC0-472E-8E63-53968928B011}" destId="{42BDEBBA-98C2-4FCD-91D4-B3851F850F95}" srcOrd="5" destOrd="0" presId="urn:microsoft.com/office/officeart/2005/8/layout/vList5"/>
    <dgm:cxn modelId="{0F8526DD-0AC7-4C13-AD6D-076D2FAE086E}" type="presParOf" srcId="{55A1D4FA-1CC0-472E-8E63-53968928B011}" destId="{13B4A0B7-5697-4A13-A00A-DA66292CB754}" srcOrd="6" destOrd="0" presId="urn:microsoft.com/office/officeart/2005/8/layout/vList5"/>
    <dgm:cxn modelId="{ED32AB07-EF6E-4B1C-B291-68E6D25CEE91}" type="presParOf" srcId="{13B4A0B7-5697-4A13-A00A-DA66292CB754}" destId="{6E71E0F0-A01C-4FCA-A8CD-253D2E4A6D40}" srcOrd="0" destOrd="0" presId="urn:microsoft.com/office/officeart/2005/8/layout/vList5"/>
    <dgm:cxn modelId="{4358FC2C-817D-4EF4-B151-1464E41471F9}" type="presParOf" srcId="{55A1D4FA-1CC0-472E-8E63-53968928B011}" destId="{3E452CDE-BFFF-4050-820D-BBCA5125166A}" srcOrd="7" destOrd="0" presId="urn:microsoft.com/office/officeart/2005/8/layout/vList5"/>
    <dgm:cxn modelId="{0D370E38-C3FC-4F79-938E-0E39DDD02118}" type="presParOf" srcId="{55A1D4FA-1CC0-472E-8E63-53968928B011}" destId="{922629E8-5563-423F-BC4F-B6C5A16A84D7}" srcOrd="8" destOrd="0" presId="urn:microsoft.com/office/officeart/2005/8/layout/vList5"/>
    <dgm:cxn modelId="{98C558D2-8DF8-4658-8703-7567B8F5E9EF}" type="presParOf" srcId="{922629E8-5563-423F-BC4F-B6C5A16A84D7}" destId="{E5CD1B79-6F6A-4F65-9B36-4180863580C9}" srcOrd="0" destOrd="0" presId="urn:microsoft.com/office/officeart/2005/8/layout/vList5"/>
    <dgm:cxn modelId="{5AF8CD12-7777-477B-9326-71ADDF36884D}" type="presParOf" srcId="{55A1D4FA-1CC0-472E-8E63-53968928B011}" destId="{360A6F66-1E4A-4321-A08C-9BB024D1A79A}" srcOrd="9" destOrd="0" presId="urn:microsoft.com/office/officeart/2005/8/layout/vList5"/>
    <dgm:cxn modelId="{1C6E0E62-BFA7-4E44-8EB4-ECD2EE8B11F1}" type="presParOf" srcId="{55A1D4FA-1CC0-472E-8E63-53968928B011}" destId="{EC0B8CD1-A019-4907-B026-25FBFC156E89}" srcOrd="10" destOrd="0" presId="urn:microsoft.com/office/officeart/2005/8/layout/vList5"/>
    <dgm:cxn modelId="{D5A26DB8-1710-4866-8625-CD0B2E04635F}" type="presParOf" srcId="{EC0B8CD1-A019-4907-B026-25FBFC156E89}" destId="{E761265B-4BCF-4366-97D9-7DD7081174E1}" srcOrd="0" destOrd="0" presId="urn:microsoft.com/office/officeart/2005/8/layout/vList5"/>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B4651-1F56-4B83-BF9B-4C9D77683E23}">
      <dsp:nvSpPr>
        <dsp:cNvPr id="0" name=""/>
        <dsp:cNvSpPr/>
      </dsp:nvSpPr>
      <dsp:spPr>
        <a:xfrm>
          <a:off x="0" y="564"/>
          <a:ext cx="5493715" cy="485195"/>
        </a:xfrm>
        <a:prstGeom prst="round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Person is provideand facilitated the Quality Council meeting for statewide stakeholders.  d education/information about social roles in the community (79.3%; N=613).</a:t>
          </a:r>
        </a:p>
      </dsp:txBody>
      <dsp:txXfrm>
        <a:off x="23685" y="24249"/>
        <a:ext cx="5446345" cy="437825"/>
      </dsp:txXfrm>
    </dsp:sp>
    <dsp:sp modelId="{AC2EAC08-D231-4D8B-8696-1CCF195984A6}">
      <dsp:nvSpPr>
        <dsp:cNvPr id="0" name=""/>
        <dsp:cNvSpPr/>
      </dsp:nvSpPr>
      <dsp:spPr>
        <a:xfrm>
          <a:off x="0" y="496237"/>
          <a:ext cx="5493715" cy="485195"/>
        </a:xfrm>
        <a:prstGeom prst="round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Person's preferences concerning social roles in the community are addressed (86.3%; N=608).</a:t>
          </a:r>
        </a:p>
      </dsp:txBody>
      <dsp:txXfrm>
        <a:off x="23685" y="519922"/>
        <a:ext cx="5446345" cy="437825"/>
      </dsp:txXfrm>
    </dsp:sp>
    <dsp:sp modelId="{BE3DD3D0-D626-4410-A715-949B528243A1}">
      <dsp:nvSpPr>
        <dsp:cNvPr id="0" name=""/>
        <dsp:cNvSpPr/>
      </dsp:nvSpPr>
      <dsp:spPr>
        <a:xfrm>
          <a:off x="0" y="991909"/>
          <a:ext cx="5493715" cy="485195"/>
        </a:xfrm>
        <a:prstGeom prst="roundRect">
          <a:avLst/>
        </a:prstGeom>
        <a:solidFill>
          <a:schemeClr val="accent4">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t>Person has had more than only limited opportunities to develop new friendships/relationships (85.1%; N=623)</a:t>
          </a:r>
        </a:p>
      </dsp:txBody>
      <dsp:txXfrm>
        <a:off x="23685" y="1015594"/>
        <a:ext cx="5446345" cy="4378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3DD3D0-D626-4410-A715-949B528243A1}">
      <dsp:nvSpPr>
        <dsp:cNvPr id="0" name=""/>
        <dsp:cNvSpPr/>
      </dsp:nvSpPr>
      <dsp:spPr>
        <a:xfrm>
          <a:off x="0" y="7891"/>
          <a:ext cx="5486400" cy="542880"/>
        </a:xfrm>
        <a:prstGeom prst="roundRect">
          <a:avLst/>
        </a:prstGeom>
        <a:solidFill>
          <a:srgbClr val="8064A2">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Calibri"/>
              <a:ea typeface="+mn-ea"/>
              <a:cs typeface="+mn-cs"/>
            </a:rPr>
            <a:t>Person has had more than only limited opportunities to develop new friendships/relationships (86.6%; N=149)</a:t>
          </a:r>
        </a:p>
      </dsp:txBody>
      <dsp:txXfrm>
        <a:off x="26501" y="34392"/>
        <a:ext cx="5433398" cy="489878"/>
      </dsp:txXfrm>
    </dsp:sp>
    <dsp:sp modelId="{3DF216B4-F960-4C46-A2A8-55F0C44CCC39}">
      <dsp:nvSpPr>
        <dsp:cNvPr id="0" name=""/>
        <dsp:cNvSpPr/>
      </dsp:nvSpPr>
      <dsp:spPr>
        <a:xfrm>
          <a:off x="0" y="634291"/>
          <a:ext cx="5486400" cy="542880"/>
        </a:xfrm>
        <a:prstGeom prst="roundRect">
          <a:avLst/>
        </a:prstGeom>
        <a:solidFill>
          <a:srgbClr val="8064A2">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Calibri"/>
              <a:ea typeface="+mn-ea"/>
              <a:cs typeface="+mn-cs"/>
            </a:rPr>
            <a:t>Person indicates adaptive equipment is not in good working condition (89.6%; N=96) </a:t>
          </a:r>
        </a:p>
      </dsp:txBody>
      <dsp:txXfrm>
        <a:off x="26501" y="660792"/>
        <a:ext cx="5433398" cy="48987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621F3C-D492-4880-A867-972075D28B69}">
      <dsp:nvSpPr>
        <dsp:cNvPr id="0" name=""/>
        <dsp:cNvSpPr/>
      </dsp:nvSpPr>
      <dsp:spPr>
        <a:xfrm>
          <a:off x="0" y="190828"/>
          <a:ext cx="5502302" cy="580450"/>
        </a:xfrm>
        <a:prstGeom prst="roundRect">
          <a:avLst/>
        </a:prstGeom>
        <a:solidFill>
          <a:schemeClr val="accent2">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Calibri"/>
              <a:ea typeface="+mn-ea"/>
              <a:cs typeface="+mn-cs"/>
            </a:rPr>
            <a:t>Support Coordinator provides education/information to the person about social roles in the community (84.4%)</a:t>
          </a:r>
        </a:p>
      </dsp:txBody>
      <dsp:txXfrm>
        <a:off x="28335" y="219163"/>
        <a:ext cx="5445632" cy="5237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B4651-1F56-4B83-BF9B-4C9D77683E23}">
      <dsp:nvSpPr>
        <dsp:cNvPr id="0" name=""/>
        <dsp:cNvSpPr/>
      </dsp:nvSpPr>
      <dsp:spPr>
        <a:xfrm>
          <a:off x="0" y="2140"/>
          <a:ext cx="5493715" cy="473849"/>
        </a:xfrm>
        <a:prstGeom prst="roundRect">
          <a:avLst/>
        </a:prstGeom>
        <a:solidFill>
          <a:schemeClr val="accent6">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Calibri"/>
              <a:ea typeface="+mn-ea"/>
              <a:cs typeface="+mn-cs"/>
            </a:rPr>
            <a:t>Person's preferences concerning social roles in the community are solicited. (87.6%; N=760).</a:t>
          </a:r>
        </a:p>
      </dsp:txBody>
      <dsp:txXfrm>
        <a:off x="23131" y="25271"/>
        <a:ext cx="5447453" cy="427587"/>
      </dsp:txXfrm>
    </dsp:sp>
    <dsp:sp modelId="{AC2EAC08-D231-4D8B-8696-1CCF195984A6}">
      <dsp:nvSpPr>
        <dsp:cNvPr id="0" name=""/>
        <dsp:cNvSpPr/>
      </dsp:nvSpPr>
      <dsp:spPr>
        <a:xfrm>
          <a:off x="0" y="501910"/>
          <a:ext cx="5493715" cy="473849"/>
        </a:xfrm>
        <a:prstGeom prst="roundRect">
          <a:avLst/>
        </a:prstGeom>
        <a:solidFill>
          <a:schemeClr val="accent6">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Calibri"/>
              <a:ea typeface="+mn-ea"/>
              <a:cs typeface="+mn-cs"/>
            </a:rPr>
            <a:t>Person is provided information about social roles in the community. (82.3%; N=761).</a:t>
          </a:r>
        </a:p>
      </dsp:txBody>
      <dsp:txXfrm>
        <a:off x="23131" y="525041"/>
        <a:ext cx="5447453" cy="427587"/>
      </dsp:txXfrm>
    </dsp:sp>
    <dsp:sp modelId="{BE3DD3D0-D626-4410-A715-949B528243A1}">
      <dsp:nvSpPr>
        <dsp:cNvPr id="0" name=""/>
        <dsp:cNvSpPr/>
      </dsp:nvSpPr>
      <dsp:spPr>
        <a:xfrm>
          <a:off x="0" y="1001679"/>
          <a:ext cx="5493715" cy="473849"/>
        </a:xfrm>
        <a:prstGeom prst="roundRect">
          <a:avLst/>
        </a:prstGeom>
        <a:solidFill>
          <a:schemeClr val="accent6">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Calibri"/>
              <a:ea typeface="+mn-ea"/>
              <a:cs typeface="+mn-cs"/>
            </a:rPr>
            <a:t>Person has had more than only limited opportunities to develop new friendships/relationships (87.9%; N=766)</a:t>
          </a:r>
        </a:p>
      </dsp:txBody>
      <dsp:txXfrm>
        <a:off x="23131" y="1024810"/>
        <a:ext cx="5447453" cy="42758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AB4651-1F56-4B83-BF9B-4C9D77683E23}">
      <dsp:nvSpPr>
        <dsp:cNvPr id="0" name=""/>
        <dsp:cNvSpPr/>
      </dsp:nvSpPr>
      <dsp:spPr>
        <a:xfrm>
          <a:off x="0" y="1470"/>
          <a:ext cx="5502301" cy="561600"/>
        </a:xfrm>
        <a:prstGeom prst="roundRect">
          <a:avLst/>
        </a:prstGeom>
        <a:solidFill>
          <a:schemeClr val="accent6">
            <a:lumMod val="50000"/>
          </a:scheme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kern="1200">
              <a:solidFill>
                <a:sysClr val="window" lastClr="FFFFFF"/>
              </a:solidFill>
              <a:latin typeface="Calibri"/>
              <a:ea typeface="+mn-ea"/>
              <a:cs typeface="+mn-cs"/>
            </a:rPr>
            <a:t>Person is provided information about potential social roles in the community. (83.3%; N=796).</a:t>
          </a:r>
        </a:p>
      </dsp:txBody>
      <dsp:txXfrm>
        <a:off x="27415" y="28885"/>
        <a:ext cx="5447471" cy="5067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F3586-C869-4B50-AD7F-C88E12607BF7}">
      <dsp:nvSpPr>
        <dsp:cNvPr id="0" name=""/>
        <dsp:cNvSpPr/>
      </dsp:nvSpPr>
      <dsp:spPr>
        <a:xfrm>
          <a:off x="0" y="17561"/>
          <a:ext cx="5470496" cy="393119"/>
        </a:xfrm>
        <a:prstGeom prst="round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t>Individuals have a key to their home. (57.5%, N=398)</a:t>
          </a:r>
        </a:p>
      </dsp:txBody>
      <dsp:txXfrm>
        <a:off x="19190" y="36751"/>
        <a:ext cx="5432116" cy="354739"/>
      </dsp:txXfrm>
    </dsp:sp>
    <dsp:sp modelId="{3A274D81-2D21-4A90-8A0C-049C25C02686}">
      <dsp:nvSpPr>
        <dsp:cNvPr id="0" name=""/>
        <dsp:cNvSpPr/>
      </dsp:nvSpPr>
      <dsp:spPr>
        <a:xfrm>
          <a:off x="0" y="471161"/>
          <a:ext cx="5470496" cy="393119"/>
        </a:xfrm>
        <a:prstGeom prst="round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t>Individuals can lock the bedroom door. (80.4%, N=414)</a:t>
          </a:r>
        </a:p>
      </dsp:txBody>
      <dsp:txXfrm>
        <a:off x="19190" y="490351"/>
        <a:ext cx="5432116" cy="354739"/>
      </dsp:txXfrm>
    </dsp:sp>
    <dsp:sp modelId="{6C59C46C-B513-4B4E-8094-0A1258D88A83}">
      <dsp:nvSpPr>
        <dsp:cNvPr id="0" name=""/>
        <dsp:cNvSpPr/>
      </dsp:nvSpPr>
      <dsp:spPr>
        <a:xfrm>
          <a:off x="0" y="924761"/>
          <a:ext cx="5470496" cy="393119"/>
        </a:xfrm>
        <a:prstGeom prst="round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t>Individuals participate in the development of the 'house rules.' (80.7%, N= 410)</a:t>
          </a:r>
        </a:p>
      </dsp:txBody>
      <dsp:txXfrm>
        <a:off x="19190" y="943951"/>
        <a:ext cx="5432116" cy="354739"/>
      </dsp:txXfrm>
    </dsp:sp>
    <dsp:sp modelId="{0143DF29-FF88-4A57-BD34-5C4F4C4A0A28}">
      <dsp:nvSpPr>
        <dsp:cNvPr id="0" name=""/>
        <dsp:cNvSpPr/>
      </dsp:nvSpPr>
      <dsp:spPr>
        <a:xfrm>
          <a:off x="0" y="1378361"/>
          <a:ext cx="5470496" cy="393119"/>
        </a:xfrm>
        <a:prstGeom prst="roundRect">
          <a:avLst/>
        </a:prstGeom>
        <a:solidFill>
          <a:schemeClr val="accent3">
            <a:lumMod val="5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endParaRPr lang="en-US" sz="1200" kern="1200"/>
        </a:p>
      </dsp:txBody>
      <dsp:txXfrm>
        <a:off x="19190" y="1397551"/>
        <a:ext cx="5432116" cy="354739"/>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BA2630-89EC-4724-A63A-33355D50F33D}">
      <dsp:nvSpPr>
        <dsp:cNvPr id="0" name=""/>
        <dsp:cNvSpPr/>
      </dsp:nvSpPr>
      <dsp:spPr>
        <a:xfrm>
          <a:off x="34088" y="133"/>
          <a:ext cx="5742476" cy="213450"/>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t>Individual Interview (Waiver) – 95.2%</a:t>
          </a:r>
          <a:endParaRPr lang="en-US" sz="1200" b="1" kern="1200" dirty="0"/>
        </a:p>
      </dsp:txBody>
      <dsp:txXfrm>
        <a:off x="44508" y="10553"/>
        <a:ext cx="5721636" cy="192610"/>
      </dsp:txXfrm>
    </dsp:sp>
    <dsp:sp modelId="{16913C5C-F8E6-4B91-9589-E57A8D9644A9}">
      <dsp:nvSpPr>
        <dsp:cNvPr id="0" name=""/>
        <dsp:cNvSpPr/>
      </dsp:nvSpPr>
      <dsp:spPr>
        <a:xfrm>
          <a:off x="34088" y="224256"/>
          <a:ext cx="5742476" cy="213450"/>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t>Individual Interview (CDC+) – 97.7%</a:t>
          </a:r>
          <a:endParaRPr lang="en-US" sz="1200" b="1" kern="1200" dirty="0"/>
        </a:p>
      </dsp:txBody>
      <dsp:txXfrm>
        <a:off x="44508" y="234676"/>
        <a:ext cx="5721636" cy="192610"/>
      </dsp:txXfrm>
    </dsp:sp>
    <dsp:sp modelId="{E988944D-5DD8-4859-8E59-901D9A18139B}">
      <dsp:nvSpPr>
        <dsp:cNvPr id="0" name=""/>
        <dsp:cNvSpPr/>
      </dsp:nvSpPr>
      <dsp:spPr>
        <a:xfrm>
          <a:off x="34088" y="448379"/>
          <a:ext cx="5742476" cy="213450"/>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t>WSC Interview – 97.6%</a:t>
          </a:r>
          <a:endParaRPr lang="en-US" sz="1200" b="1" kern="1200" dirty="0"/>
        </a:p>
      </dsp:txBody>
      <dsp:txXfrm>
        <a:off x="44508" y="458799"/>
        <a:ext cx="5721636" cy="192610"/>
      </dsp:txXfrm>
    </dsp:sp>
    <dsp:sp modelId="{565E7549-6B76-4F38-83F7-8CF7901053A6}">
      <dsp:nvSpPr>
        <dsp:cNvPr id="0" name=""/>
        <dsp:cNvSpPr/>
      </dsp:nvSpPr>
      <dsp:spPr>
        <a:xfrm>
          <a:off x="34088" y="672502"/>
          <a:ext cx="5752177" cy="213450"/>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a:t>CDC+ Consultant Interview - 98.9%</a:t>
          </a:r>
        </a:p>
      </dsp:txBody>
      <dsp:txXfrm>
        <a:off x="44508" y="682922"/>
        <a:ext cx="5731337" cy="192610"/>
      </dsp:txXfrm>
    </dsp:sp>
    <dsp:sp modelId="{64CB5956-7649-4CCF-83A9-5184FA55536E}">
      <dsp:nvSpPr>
        <dsp:cNvPr id="0" name=""/>
        <dsp:cNvSpPr/>
      </dsp:nvSpPr>
      <dsp:spPr>
        <a:xfrm>
          <a:off x="34088" y="896625"/>
          <a:ext cx="5742476" cy="213450"/>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t>Support Coordinator Record Review – 94.4%</a:t>
          </a:r>
          <a:endParaRPr lang="en-US" sz="1200" b="1" kern="1200" dirty="0"/>
        </a:p>
      </dsp:txBody>
      <dsp:txXfrm>
        <a:off x="44508" y="907045"/>
        <a:ext cx="5721636" cy="192610"/>
      </dsp:txXfrm>
    </dsp:sp>
    <dsp:sp modelId="{E5CD1B79-6F6A-4F65-9B36-4180863580C9}">
      <dsp:nvSpPr>
        <dsp:cNvPr id="0" name=""/>
        <dsp:cNvSpPr/>
      </dsp:nvSpPr>
      <dsp:spPr>
        <a:xfrm>
          <a:off x="34088" y="1120748"/>
          <a:ext cx="5742476" cy="213450"/>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t>CDC+ Consultant Record Review – 97.0%</a:t>
          </a:r>
          <a:endParaRPr lang="en-US" sz="1200" b="1" kern="1200" dirty="0"/>
        </a:p>
      </dsp:txBody>
      <dsp:txXfrm>
        <a:off x="44508" y="1131168"/>
        <a:ext cx="5721636" cy="192610"/>
      </dsp:txXfrm>
    </dsp:sp>
    <dsp:sp modelId="{E761265B-4BCF-4366-97D9-7DD7081174E1}">
      <dsp:nvSpPr>
        <dsp:cNvPr id="0" name=""/>
        <dsp:cNvSpPr/>
      </dsp:nvSpPr>
      <dsp:spPr>
        <a:xfrm>
          <a:off x="34088" y="1344871"/>
          <a:ext cx="5742476" cy="213450"/>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t>CDC+ Representative Review – 93.2%</a:t>
          </a:r>
          <a:endParaRPr lang="en-US" sz="1200" b="1" kern="1200" dirty="0"/>
        </a:p>
      </dsp:txBody>
      <dsp:txXfrm>
        <a:off x="44508" y="1355291"/>
        <a:ext cx="5721636" cy="192610"/>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BA2630-89EC-4724-A63A-33355D50F33D}">
      <dsp:nvSpPr>
        <dsp:cNvPr id="0" name=""/>
        <dsp:cNvSpPr/>
      </dsp:nvSpPr>
      <dsp:spPr>
        <a:xfrm>
          <a:off x="39788" y="488"/>
          <a:ext cx="5867681" cy="284258"/>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Individual Interview – 96.7%</a:t>
          </a:r>
          <a:endParaRPr lang="en-US" sz="1200" b="1" kern="1200" dirty="0">
            <a:solidFill>
              <a:sysClr val="window" lastClr="FFFFFF"/>
            </a:solidFill>
            <a:latin typeface="Calibri"/>
            <a:ea typeface="+mn-ea"/>
            <a:cs typeface="+mn-cs"/>
          </a:endParaRPr>
        </a:p>
      </dsp:txBody>
      <dsp:txXfrm>
        <a:off x="53664" y="14364"/>
        <a:ext cx="5839929" cy="256506"/>
      </dsp:txXfrm>
    </dsp:sp>
    <dsp:sp modelId="{16913C5C-F8E6-4B91-9589-E57A8D9644A9}">
      <dsp:nvSpPr>
        <dsp:cNvPr id="0" name=""/>
        <dsp:cNvSpPr/>
      </dsp:nvSpPr>
      <dsp:spPr>
        <a:xfrm>
          <a:off x="39788" y="298959"/>
          <a:ext cx="5867681" cy="284258"/>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Staff  Interview  – 97.1%</a:t>
          </a:r>
          <a:endParaRPr lang="en-US" sz="1200" b="1" kern="1200" dirty="0">
            <a:solidFill>
              <a:sysClr val="window" lastClr="FFFFFF"/>
            </a:solidFill>
            <a:latin typeface="Calibri"/>
            <a:ea typeface="+mn-ea"/>
            <a:cs typeface="+mn-cs"/>
          </a:endParaRPr>
        </a:p>
      </dsp:txBody>
      <dsp:txXfrm>
        <a:off x="53664" y="312835"/>
        <a:ext cx="5839929" cy="256506"/>
      </dsp:txXfrm>
    </dsp:sp>
    <dsp:sp modelId="{E988944D-5DD8-4859-8E59-901D9A18139B}">
      <dsp:nvSpPr>
        <dsp:cNvPr id="0" name=""/>
        <dsp:cNvSpPr/>
      </dsp:nvSpPr>
      <dsp:spPr>
        <a:xfrm>
          <a:off x="39788" y="597431"/>
          <a:ext cx="5867681" cy="284258"/>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Observations  –  LSD 3 98.6%  ;  LRF 96.2%</a:t>
          </a:r>
          <a:endParaRPr lang="en-US" sz="1200" b="1" kern="1200" dirty="0">
            <a:solidFill>
              <a:sysClr val="window" lastClr="FFFFFF"/>
            </a:solidFill>
            <a:latin typeface="Calibri"/>
            <a:ea typeface="+mn-ea"/>
            <a:cs typeface="+mn-cs"/>
          </a:endParaRPr>
        </a:p>
      </dsp:txBody>
      <dsp:txXfrm>
        <a:off x="53664" y="611307"/>
        <a:ext cx="5839929" cy="256506"/>
      </dsp:txXfrm>
    </dsp:sp>
    <dsp:sp modelId="{6E71E0F0-A01C-4FCA-A8CD-253D2E4A6D40}">
      <dsp:nvSpPr>
        <dsp:cNvPr id="0" name=""/>
        <dsp:cNvSpPr/>
      </dsp:nvSpPr>
      <dsp:spPr>
        <a:xfrm>
          <a:off x="39788" y="895903"/>
          <a:ext cx="5867681" cy="284258"/>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Service Specific Record Reviews– 94.3%</a:t>
          </a:r>
          <a:endParaRPr lang="en-US" sz="1200" b="1" kern="1200" dirty="0">
            <a:solidFill>
              <a:sysClr val="window" lastClr="FFFFFF"/>
            </a:solidFill>
            <a:latin typeface="Calibri"/>
            <a:ea typeface="+mn-ea"/>
            <a:cs typeface="+mn-cs"/>
          </a:endParaRPr>
        </a:p>
      </dsp:txBody>
      <dsp:txXfrm>
        <a:off x="53664" y="909779"/>
        <a:ext cx="5839929" cy="256506"/>
      </dsp:txXfrm>
    </dsp:sp>
    <dsp:sp modelId="{E5CD1B79-6F6A-4F65-9B36-4180863580C9}">
      <dsp:nvSpPr>
        <dsp:cNvPr id="0" name=""/>
        <dsp:cNvSpPr/>
      </dsp:nvSpPr>
      <dsp:spPr>
        <a:xfrm>
          <a:off x="39788" y="1194375"/>
          <a:ext cx="5867681" cy="284258"/>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Policies and Procedures  –  Service Providers  92.6%  ;  WSC 98.2%</a:t>
          </a:r>
          <a:endParaRPr lang="en-US" sz="1200" b="1" kern="1200" dirty="0">
            <a:solidFill>
              <a:sysClr val="window" lastClr="FFFFFF"/>
            </a:solidFill>
            <a:latin typeface="Calibri"/>
            <a:ea typeface="+mn-ea"/>
            <a:cs typeface="+mn-cs"/>
          </a:endParaRPr>
        </a:p>
      </dsp:txBody>
      <dsp:txXfrm>
        <a:off x="53664" y="1208251"/>
        <a:ext cx="5839929" cy="256506"/>
      </dsp:txXfrm>
    </dsp:sp>
    <dsp:sp modelId="{E761265B-4BCF-4366-97D9-7DD7081174E1}">
      <dsp:nvSpPr>
        <dsp:cNvPr id="0" name=""/>
        <dsp:cNvSpPr/>
      </dsp:nvSpPr>
      <dsp:spPr>
        <a:xfrm>
          <a:off x="39788" y="1492846"/>
          <a:ext cx="5867681" cy="284258"/>
        </a:xfrm>
        <a:prstGeom prst="roundRect">
          <a:avLst/>
        </a:prstGeom>
        <a:solidFill>
          <a:srgbClr val="4BACC6">
            <a:lumMod val="7500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rtl="0">
            <a:lnSpc>
              <a:spcPct val="90000"/>
            </a:lnSpc>
            <a:spcBef>
              <a:spcPct val="0"/>
            </a:spcBef>
            <a:spcAft>
              <a:spcPct val="35000"/>
            </a:spcAft>
          </a:pPr>
          <a:r>
            <a:rPr lang="en-US" sz="1200" b="1" kern="1200" dirty="0" smtClean="0">
              <a:solidFill>
                <a:sysClr val="window" lastClr="FFFFFF"/>
              </a:solidFill>
              <a:latin typeface="Calibri"/>
              <a:ea typeface="+mn-ea"/>
              <a:cs typeface="+mn-cs"/>
            </a:rPr>
            <a:t>Qualifications and Training  –  Service Providers  96.0%  ;  WSC 96.9%</a:t>
          </a:r>
          <a:endParaRPr lang="en-US" sz="1200" b="1" kern="1200" dirty="0">
            <a:solidFill>
              <a:sysClr val="window" lastClr="FFFFFF"/>
            </a:solidFill>
            <a:latin typeface="Calibri"/>
            <a:ea typeface="+mn-ea"/>
            <a:cs typeface="+mn-cs"/>
          </a:endParaRPr>
        </a:p>
      </dsp:txBody>
      <dsp:txXfrm>
        <a:off x="53664" y="1506722"/>
        <a:ext cx="5839929" cy="25650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93BB9B704DA147862BB7B120CD03F4" ma:contentTypeVersion="7" ma:contentTypeDescription="Create a new document." ma:contentTypeScope="" ma:versionID="0f714f15bac91b9b3c6b6562f7d95356">
  <xsd:schema xmlns:xsd="http://www.w3.org/2001/XMLSchema" xmlns:xs="http://www.w3.org/2001/XMLSchema" xmlns:p="http://schemas.microsoft.com/office/2006/metadata/properties" xmlns:ns2="6e9b8435-1346-43cd-b817-8aa95282fcec" targetNamespace="http://schemas.microsoft.com/office/2006/metadata/properties" ma:root="true" ma:fieldsID="a8c7a144ea561037d37c076d63aa0d86" ns2:_="">
    <xsd:import namespace="6e9b8435-1346-43cd-b817-8aa95282fcec"/>
    <xsd:element name="properties">
      <xsd:complexType>
        <xsd:sequence>
          <xsd:element name="documentManagement">
            <xsd:complexType>
              <xsd:all>
                <xsd:element ref="ns2:AxSourceListID" minOccurs="0"/>
                <xsd:element ref="ns2:AxSourceItem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b8435-1346-43cd-b817-8aa95282fcec" elementFormDefault="qualified">
    <xsd:import namespace="http://schemas.microsoft.com/office/2006/documentManagement/types"/>
    <xsd:import namespace="http://schemas.microsoft.com/office/infopath/2007/PartnerControls"/>
    <xsd:element name="AxSourceListID" ma:index="8" nillable="true" ma:displayName="AxSourceListID" ma:hidden="true" ma:internalName="AxSourceListID">
      <xsd:simpleType>
        <xsd:restriction base="dms:Unknown"/>
      </xsd:simpleType>
    </xsd:element>
    <xsd:element name="AxSourceItemID" ma:index="9" nillable="true" ma:displayName="AxSourceItemID" ma:hidden="true" ma:internalName="AxSourceItemID">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AxSourceItemID xmlns="6e9b8435-1346-43cd-b817-8aa95282fcec" xsi:nil="true"/>
    <AxSourceListID xmlns="6e9b8435-1346-43cd-b817-8aa95282fce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076C3D-3BE2-4D69-A309-391CFA5ABD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b8435-1346-43cd-b817-8aa95282fc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33F9C1-9487-406D-960A-A30F9E5132A3}">
  <ds:schemaRefs>
    <ds:schemaRef ds:uri="http://purl.org/dc/dcmitype/"/>
    <ds:schemaRef ds:uri="http://purl.org/dc/terms/"/>
    <ds:schemaRef ds:uri="http://schemas.microsoft.com/office/2006/metadata/properties"/>
    <ds:schemaRef ds:uri="http://purl.org/dc/elements/1.1/"/>
    <ds:schemaRef ds:uri="http://schemas.openxmlformats.org/package/2006/metadata/core-properties"/>
    <ds:schemaRef ds:uri="http://schemas.microsoft.com/office/2006/documentManagement/types"/>
    <ds:schemaRef ds:uri="http://schemas.microsoft.com/office/infopath/2007/PartnerControls"/>
    <ds:schemaRef ds:uri="6e9b8435-1346-43cd-b817-8aa95282fcec"/>
    <ds:schemaRef ds:uri="http://www.w3.org/XML/1998/namespace"/>
  </ds:schemaRefs>
</ds:datastoreItem>
</file>

<file path=customXml/itemProps3.xml><?xml version="1.0" encoding="utf-8"?>
<ds:datastoreItem xmlns:ds="http://schemas.openxmlformats.org/officeDocument/2006/customXml" ds:itemID="{97AC120C-A57F-45A9-BFD8-144A8679D7A4}">
  <ds:schemaRefs>
    <ds:schemaRef ds:uri="http://schemas.microsoft.com/sharepoint/v3/contenttype/forms"/>
  </ds:schemaRefs>
</ds:datastoreItem>
</file>

<file path=customXml/itemProps4.xml><?xml version="1.0" encoding="utf-8"?>
<ds:datastoreItem xmlns:ds="http://schemas.openxmlformats.org/officeDocument/2006/customXml" ds:itemID="{F299B43B-CE33-44A8-8FA7-A0A1FF46B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13208</Words>
  <Characters>75292</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fsqap yr7q2 report</vt:lpstr>
    </vt:vector>
  </TitlesOfParts>
  <Company>DFMC</Company>
  <LinksUpToDate>false</LinksUpToDate>
  <CharactersWithSpaces>88324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fsqap yr7q2 report</dc:title>
  <dc:creator>kellys</dc:creator>
  <cp:lastModifiedBy>Charlene Henry</cp:lastModifiedBy>
  <cp:revision>2</cp:revision>
  <cp:lastPrinted>2016-08-15T22:15:00Z</cp:lastPrinted>
  <dcterms:created xsi:type="dcterms:W3CDTF">2023-03-29T16:39:00Z</dcterms:created>
  <dcterms:modified xsi:type="dcterms:W3CDTF">2023-03-29T16:39:00Z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0x010100B593BB9B704DA147862BB7B120CD03F4</vt:lpwstr>
  </property>
  <property fmtid="{D5CDD505-2E9C-101B-9397-08002B2CF9AE}" pid="3" name="xd_ProgID">
    <vt:lpwstr/>
  </property>
  <property fmtid="{D5CDD505-2E9C-101B-9397-08002B2CF9AE}" pid="4" name="TemplateUrl">
    <vt:lpwstr/>
  </property>
</Properties>
</file>